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3A1" w:rsidRPr="00BD6239" w:rsidRDefault="0041351B" w:rsidP="007065C3">
      <w:pPr>
        <w:pStyle w:val="3"/>
        <w:jc w:val="left"/>
        <w:rPr>
          <w:rFonts w:asciiTheme="minorBidi" w:hAnsiTheme="minorBidi" w:cstheme="minorBidi"/>
          <w:b/>
          <w:bCs/>
          <w:color w:val="auto"/>
          <w:rtl/>
        </w:rPr>
      </w:pPr>
      <w:r>
        <w:rPr>
          <w:rFonts w:asciiTheme="minorBidi" w:hAnsiTheme="minorBidi" w:cstheme="minorBidi"/>
          <w:b/>
          <w:bCs/>
          <w:color w:val="auto"/>
          <w:rtl/>
        </w:rPr>
        <w:t>הר</w:t>
      </w:r>
      <w:r w:rsidR="009F2278">
        <w:rPr>
          <w:rFonts w:asciiTheme="minorBidi" w:hAnsiTheme="minorBidi" w:cstheme="minorBidi" w:hint="cs"/>
          <w:b/>
          <w:bCs/>
          <w:color w:val="auto"/>
          <w:rtl/>
        </w:rPr>
        <w:t xml:space="preserve">ב </w:t>
      </w:r>
      <w:r w:rsidR="007065C3">
        <w:rPr>
          <w:rFonts w:asciiTheme="minorBidi" w:hAnsiTheme="minorBidi" w:cstheme="minorBidi" w:hint="cs"/>
          <w:b/>
          <w:bCs/>
          <w:color w:val="auto"/>
          <w:rtl/>
        </w:rPr>
        <w:t xml:space="preserve">יהודה </w:t>
      </w:r>
      <w:proofErr w:type="spellStart"/>
      <w:r w:rsidR="007065C3">
        <w:rPr>
          <w:rFonts w:asciiTheme="minorBidi" w:hAnsiTheme="minorBidi" w:cstheme="minorBidi" w:hint="cs"/>
          <w:b/>
          <w:bCs/>
          <w:color w:val="auto"/>
          <w:rtl/>
        </w:rPr>
        <w:t>עמיטל</w:t>
      </w:r>
      <w:proofErr w:type="spellEnd"/>
      <w:r w:rsidR="007065C3">
        <w:rPr>
          <w:rFonts w:asciiTheme="minorBidi" w:hAnsiTheme="minorBidi" w:cstheme="minorBidi" w:hint="cs"/>
          <w:b/>
          <w:bCs/>
          <w:color w:val="auto"/>
          <w:rtl/>
        </w:rPr>
        <w:t xml:space="preserve"> זצ"ל</w:t>
      </w:r>
    </w:p>
    <w:p w:rsidR="00B103A1" w:rsidRPr="00BD6239" w:rsidRDefault="001E20E0" w:rsidP="009F2278">
      <w:pPr>
        <w:pStyle w:val="af0"/>
        <w:spacing w:before="0" w:line="360" w:lineRule="auto"/>
        <w:rPr>
          <w:rFonts w:asciiTheme="minorBidi" w:hAnsiTheme="minorBidi" w:cstheme="minorBidi"/>
          <w:rtl/>
        </w:rPr>
      </w:pPr>
      <w:r>
        <w:rPr>
          <w:rFonts w:asciiTheme="minorBidi" w:hAnsiTheme="minorBidi" w:cstheme="minorBidi"/>
          <w:rtl/>
        </w:rPr>
        <w:t>שיחה ל</w:t>
      </w:r>
      <w:r>
        <w:rPr>
          <w:rFonts w:asciiTheme="minorBidi" w:hAnsiTheme="minorBidi" w:cstheme="minorBidi" w:hint="cs"/>
          <w:rtl/>
        </w:rPr>
        <w:t>פרש</w:t>
      </w:r>
      <w:r w:rsidR="007065C3">
        <w:rPr>
          <w:rFonts w:asciiTheme="minorBidi" w:hAnsiTheme="minorBidi" w:cstheme="minorBidi" w:hint="cs"/>
          <w:rtl/>
        </w:rPr>
        <w:t>ת קדושים</w:t>
      </w:r>
    </w:p>
    <w:p w:rsidR="00B103A1" w:rsidRDefault="007065C3" w:rsidP="002B1140">
      <w:pPr>
        <w:pStyle w:val="af"/>
        <w:spacing w:line="360" w:lineRule="auto"/>
        <w:rPr>
          <w:rFonts w:asciiTheme="minorBidi" w:hAnsiTheme="minorBidi" w:cstheme="minorBidi"/>
          <w:rtl/>
        </w:rPr>
      </w:pPr>
      <w:r>
        <w:rPr>
          <w:rFonts w:asciiTheme="minorBidi" w:hAnsiTheme="minorBidi" w:cstheme="minorBidi" w:hint="cs"/>
          <w:rtl/>
        </w:rPr>
        <w:t>הסכנה הטמונה בשנאה ובענישה</w:t>
      </w:r>
      <w:r w:rsidR="00B103A1" w:rsidRPr="00BD6239">
        <w:rPr>
          <w:rStyle w:val="aa"/>
          <w:rFonts w:asciiTheme="minorBidi" w:hAnsiTheme="minorBidi" w:cstheme="minorBidi"/>
          <w:rtl/>
        </w:rPr>
        <w:footnoteReference w:customMarkFollows="1" w:id="1"/>
        <w:t>*</w:t>
      </w:r>
    </w:p>
    <w:p w:rsidR="007065C3" w:rsidRDefault="007065C3" w:rsidP="007065C3">
      <w:pPr>
        <w:rPr>
          <w:rtl/>
        </w:rPr>
      </w:pPr>
      <w:r w:rsidRPr="007065C3">
        <w:rPr>
          <w:rtl/>
        </w:rPr>
        <w:t xml:space="preserve">בפרשת קדושים נאמר: "לא תשנא את אחיך בלבבך" </w:t>
      </w:r>
      <w:r w:rsidRPr="007065C3">
        <w:rPr>
          <w:szCs w:val="20"/>
          <w:rtl/>
        </w:rPr>
        <w:t>(</w:t>
      </w:r>
      <w:r w:rsidRPr="007065C3">
        <w:rPr>
          <w:rFonts w:hint="cs"/>
          <w:szCs w:val="20"/>
          <w:rtl/>
        </w:rPr>
        <w:t xml:space="preserve">במדבר </w:t>
      </w:r>
      <w:r w:rsidRPr="007065C3">
        <w:rPr>
          <w:szCs w:val="20"/>
          <w:rtl/>
        </w:rPr>
        <w:t xml:space="preserve">י"ט, </w:t>
      </w:r>
      <w:proofErr w:type="spellStart"/>
      <w:r w:rsidRPr="007065C3">
        <w:rPr>
          <w:szCs w:val="20"/>
          <w:rtl/>
        </w:rPr>
        <w:t>יז</w:t>
      </w:r>
      <w:proofErr w:type="spellEnd"/>
      <w:r w:rsidRPr="007065C3">
        <w:rPr>
          <w:szCs w:val="20"/>
          <w:rtl/>
        </w:rPr>
        <w:t>).</w:t>
      </w:r>
      <w:r w:rsidRPr="007065C3">
        <w:rPr>
          <w:rtl/>
        </w:rPr>
        <w:t xml:space="preserve"> הגמרא במסכת פסחים </w:t>
      </w:r>
      <w:r w:rsidRPr="007065C3">
        <w:rPr>
          <w:szCs w:val="20"/>
          <w:rtl/>
        </w:rPr>
        <w:t>(</w:t>
      </w:r>
      <w:proofErr w:type="spellStart"/>
      <w:r w:rsidRPr="007065C3">
        <w:rPr>
          <w:szCs w:val="20"/>
          <w:rtl/>
        </w:rPr>
        <w:t>קיג</w:t>
      </w:r>
      <w:proofErr w:type="spellEnd"/>
      <w:r w:rsidRPr="007065C3">
        <w:rPr>
          <w:szCs w:val="20"/>
          <w:rtl/>
        </w:rPr>
        <w:t>:)</w:t>
      </w:r>
      <w:r w:rsidRPr="007065C3">
        <w:rPr>
          <w:rtl/>
        </w:rPr>
        <w:t xml:space="preserve"> מקשה על פסוק זה ,האוסר את שנאת  האח לחלוטין, מפסוק אחר בספר שמות האומר: "כי תראה חמור שנאך רבץ תחת מש</w:t>
      </w:r>
      <w:r>
        <w:rPr>
          <w:rtl/>
        </w:rPr>
        <w:t xml:space="preserve">או וחדלת </w:t>
      </w:r>
      <w:proofErr w:type="spellStart"/>
      <w:r>
        <w:rPr>
          <w:rtl/>
        </w:rPr>
        <w:t>מעזב</w:t>
      </w:r>
      <w:proofErr w:type="spellEnd"/>
      <w:r>
        <w:rPr>
          <w:rtl/>
        </w:rPr>
        <w:t xml:space="preserve"> לו עזב </w:t>
      </w:r>
      <w:proofErr w:type="spellStart"/>
      <w:r>
        <w:rPr>
          <w:rtl/>
        </w:rPr>
        <w:t>תעזב</w:t>
      </w:r>
      <w:proofErr w:type="spellEnd"/>
      <w:r>
        <w:rPr>
          <w:rtl/>
        </w:rPr>
        <w:t xml:space="preserve"> עמו" </w:t>
      </w:r>
      <w:r>
        <w:rPr>
          <w:rFonts w:hint="cs"/>
          <w:szCs w:val="20"/>
          <w:rtl/>
        </w:rPr>
        <w:t>(</w:t>
      </w:r>
      <w:r w:rsidRPr="007065C3">
        <w:rPr>
          <w:rFonts w:hint="cs"/>
          <w:szCs w:val="20"/>
          <w:rtl/>
        </w:rPr>
        <w:t xml:space="preserve">שמות </w:t>
      </w:r>
      <w:r>
        <w:rPr>
          <w:szCs w:val="20"/>
          <w:rtl/>
        </w:rPr>
        <w:t>כ"ג, ה)</w:t>
      </w:r>
      <w:r>
        <w:rPr>
          <w:rFonts w:hint="cs"/>
          <w:rtl/>
        </w:rPr>
        <w:t xml:space="preserve">, </w:t>
      </w:r>
      <w:r w:rsidRPr="007065C3">
        <w:rPr>
          <w:rtl/>
        </w:rPr>
        <w:t xml:space="preserve">שממנו משמע שמותר לאדם להתייחס לאדם אחר כאל שונא. הגמרא מנסה ליישב את הסתירה בכך שהיא מעמידה את הפסוק בספר שמות  באדם שהורשע בבית דין, ולכן הוא נחשב רשע. אולם הגמרא דוחה ניסיון זה, מאחר שאדם כזה אינו ראוי לתואר "שונאך", שהרי הוא אינו שנוא נפשו של אדם פרטי, אלא של החברה בכללה. </w:t>
      </w:r>
    </w:p>
    <w:p w:rsidR="007065C3" w:rsidRDefault="007065C3" w:rsidP="007065C3">
      <w:pPr>
        <w:rPr>
          <w:rtl/>
        </w:rPr>
      </w:pPr>
      <w:r w:rsidRPr="007065C3">
        <w:rPr>
          <w:rtl/>
        </w:rPr>
        <w:t>למסקנה מעמידה הגמרה את הפסוק הנ"ל באדם שעשה דבר ערווה בפני עד אחד- הלא הוא אותו האדם שרואה את חמורו כורע תחת נטל המשא. רק העד למעשה העברה רשאי לשנוא את עובר העברה (לדעת רב נחמן בר יצחק לא זו בלבד שמותר לעד לשנוא אדם כזה, אלא אף מצווה עליו לעשות זאת). הגמרא מניחה כהנחת יסוד שהתורה אינה מדברת על מקרה שבו אין לשנאה כל הצדקה.</w:t>
      </w:r>
    </w:p>
    <w:p w:rsidR="007065C3" w:rsidRDefault="007065C3" w:rsidP="007065C3">
      <w:pPr>
        <w:rPr>
          <w:rtl/>
        </w:rPr>
      </w:pPr>
      <w:r>
        <w:rPr>
          <w:rFonts w:hint="cs"/>
          <w:rtl/>
        </w:rPr>
        <w:t>ה</w:t>
      </w:r>
      <w:r w:rsidRPr="007065C3">
        <w:rPr>
          <w:rtl/>
        </w:rPr>
        <w:t xml:space="preserve">תוספות שם (ד"ה "שראה בו דבר ערווה") מזהים את הפסוק בספר שמות עם הדיון המופיע בגמרא במסכת בבא מציעא (לב:), הדנה במצוות פריקה וטעינה- עזרה לבהמה לפרוק מעליה משא שאינו כפי יכולתה, או עזרה לבעלים להטעין משא על בהמתו. הגמרא שם קובעת שאם אדם צריך לבחור באחד מבין שני החיובים הללו </w:t>
      </w:r>
      <w:r w:rsidRPr="007065C3">
        <w:rPr>
          <w:rtl/>
        </w:rPr>
        <w:lastRenderedPageBreak/>
        <w:t>(פריקה או טעינה), עליו לבחור בפריקה, משום שפריקת הבהמה ממשאה מקצרת את סבלה של הבהמה.</w:t>
      </w:r>
      <w:r w:rsidR="00AB5FD9">
        <w:rPr>
          <w:rFonts w:hint="cs"/>
          <w:rtl/>
        </w:rPr>
        <w:t xml:space="preserve"> על כל פנים,</w:t>
      </w:r>
      <w:r w:rsidRPr="007065C3">
        <w:rPr>
          <w:rtl/>
        </w:rPr>
        <w:t xml:space="preserve"> הגמרא שם מצטטת </w:t>
      </w:r>
      <w:proofErr w:type="spellStart"/>
      <w:r w:rsidRPr="007065C3">
        <w:rPr>
          <w:rtl/>
        </w:rPr>
        <w:t>תוספתא</w:t>
      </w:r>
      <w:proofErr w:type="spellEnd"/>
      <w:r w:rsidRPr="007065C3">
        <w:rPr>
          <w:rtl/>
        </w:rPr>
        <w:t xml:space="preserve"> האומרת שאם הנזקק  לטעינת הבהמה הוא שונא של המסייע, מצווה על המסייע לעזור דווקא לשונא. הגמרא מנמקת דין זה בכך שהתורה רצתה שהאדם יתגבר על שנאתו ויסייע אף לשונאו.</w:t>
      </w:r>
    </w:p>
    <w:p w:rsidR="007065C3" w:rsidRPr="007065C3" w:rsidRDefault="007065C3" w:rsidP="007065C3">
      <w:pPr>
        <w:rPr>
          <w:rtl/>
        </w:rPr>
      </w:pPr>
      <w:r>
        <w:rPr>
          <w:rFonts w:hint="cs"/>
          <w:rtl/>
        </w:rPr>
        <w:t>ה</w:t>
      </w:r>
      <w:r w:rsidRPr="007065C3">
        <w:rPr>
          <w:rtl/>
        </w:rPr>
        <w:t>תוספות</w:t>
      </w:r>
      <w:r>
        <w:rPr>
          <w:rFonts w:hint="cs"/>
          <w:rtl/>
        </w:rPr>
        <w:t xml:space="preserve"> שם שואלים</w:t>
      </w:r>
      <w:r w:rsidRPr="007065C3">
        <w:rPr>
          <w:rtl/>
        </w:rPr>
        <w:t>: אם אכן ישנה הצדקה לשנוא אדם מסוים, כפי שמסבירה הגמרא במסכת פסחים, מדוע מצווה התורה על האדם שבידו לסייע להתגבר על שנאתו ולעזור לשונאו? האם אין הצדקה לשנאתו (ואולי זו אפילו מצווה)?! תוספות מתרצים שאף על פי שי</w:t>
      </w:r>
      <w:r w:rsidR="00AE545D">
        <w:rPr>
          <w:rtl/>
        </w:rPr>
        <w:t xml:space="preserve">ש הצדקה לשנאה, אסור לשונא </w:t>
      </w:r>
      <w:r w:rsidRPr="007065C3">
        <w:rPr>
          <w:rtl/>
        </w:rPr>
        <w:t xml:space="preserve">להראות את שנאתו לעובר העברה כלפי חוץ. אם יעשה זאת, יגיב החוטא  גם הוא בשנאה, ואז יבואו שניהם לידי שנאה גמורה- שנאה אישית פסולה. ולכן מורה הגמרא לאדם </w:t>
      </w:r>
      <w:proofErr w:type="spellStart"/>
      <w:r w:rsidRPr="007065C3">
        <w:rPr>
          <w:rtl/>
        </w:rPr>
        <w:t>לכוף</w:t>
      </w:r>
      <w:proofErr w:type="spellEnd"/>
      <w:r w:rsidRPr="007065C3">
        <w:rPr>
          <w:rtl/>
        </w:rPr>
        <w:t xml:space="preserve"> את יצרו ולסייע לשונאו בטעינה לפני שיסייע לאוהבו בפריקה. נראה כי תוספות מנסים להדגיש  עיקרון, שלפיו יש להגביל את השימוש  בשנאה גם במקרים שבהם מותר לשנוא, ואולי אף צריך לשנוא. גם במצבים כאלו יש לדאוג לכך שהשנאה לא תתרחב ותגדל.</w:t>
      </w:r>
    </w:p>
    <w:p w:rsidR="007065C3" w:rsidRPr="007065C3" w:rsidRDefault="007065C3" w:rsidP="00BE180D">
      <w:pPr>
        <w:rPr>
          <w:rtl/>
        </w:rPr>
      </w:pPr>
      <w:r w:rsidRPr="007065C3">
        <w:rPr>
          <w:rtl/>
        </w:rPr>
        <w:t xml:space="preserve">במקומות רבים, ובין היתר גם בפרשתנו </w:t>
      </w:r>
      <w:r w:rsidRPr="00AE545D">
        <w:rPr>
          <w:szCs w:val="20"/>
          <w:rtl/>
        </w:rPr>
        <w:t>(פרק כ')</w:t>
      </w:r>
      <w:r w:rsidR="00AE545D">
        <w:rPr>
          <w:rFonts w:hint="cs"/>
          <w:rtl/>
        </w:rPr>
        <w:t xml:space="preserve">, </w:t>
      </w:r>
      <w:r w:rsidRPr="007065C3">
        <w:rPr>
          <w:rtl/>
        </w:rPr>
        <w:t>מטילה התורה עונשים חמורים על חטאים מסוימים. אך מדברי הגמרא עולה בבירור שרק לעתים נדירות עונשים אלו אכן מתגשמים במציאות: התנאים הנצרכים להט</w:t>
      </w:r>
      <w:r w:rsidR="00AE545D">
        <w:rPr>
          <w:rtl/>
        </w:rPr>
        <w:t xml:space="preserve">לת עונשים כאלו כמעט ואינם </w:t>
      </w:r>
      <w:r w:rsidR="00AE545D">
        <w:rPr>
          <w:rFonts w:hint="cs"/>
          <w:rtl/>
        </w:rPr>
        <w:t>אפשריים</w:t>
      </w:r>
      <w:r w:rsidRPr="007065C3">
        <w:rPr>
          <w:rtl/>
        </w:rPr>
        <w:t xml:space="preserve">. דוגמא לקושי ליישם עונשים במציאות ניתן להביא מהגמרא במסכת סנהדרין </w:t>
      </w:r>
      <w:r w:rsidRPr="00BE180D">
        <w:rPr>
          <w:szCs w:val="20"/>
          <w:rtl/>
        </w:rPr>
        <w:t>(מ:)</w:t>
      </w:r>
      <w:r w:rsidRPr="007065C3">
        <w:rPr>
          <w:rtl/>
        </w:rPr>
        <w:t>,</w:t>
      </w:r>
      <w:r w:rsidR="00BE180D">
        <w:rPr>
          <w:rFonts w:hint="cs"/>
          <w:rtl/>
        </w:rPr>
        <w:t xml:space="preserve"> </w:t>
      </w:r>
      <w:r w:rsidRPr="007065C3">
        <w:rPr>
          <w:rtl/>
        </w:rPr>
        <w:t>הקובעת שאדם נהרג על מעשיו רק אם לפני ביצוע המעשה התרו בו שמעשהו יגרור אחריו עונש מוות, הוא ענה שהוא עושה מעשה זה אף על פי כן</w:t>
      </w:r>
      <w:r w:rsidR="00BE180D">
        <w:rPr>
          <w:rFonts w:hint="cs"/>
          <w:rtl/>
        </w:rPr>
        <w:t>,</w:t>
      </w:r>
      <w:r w:rsidR="00BE180D">
        <w:rPr>
          <w:rStyle w:val="aa"/>
          <w:rtl/>
        </w:rPr>
        <w:footnoteReference w:id="2"/>
      </w:r>
      <w:r w:rsidR="00BE180D">
        <w:rPr>
          <w:rtl/>
        </w:rPr>
        <w:t xml:space="preserve"> ועשה את מעשה העברה בתו</w:t>
      </w:r>
      <w:r w:rsidR="00BE180D">
        <w:rPr>
          <w:rFonts w:hint="cs"/>
          <w:rtl/>
        </w:rPr>
        <w:t>ך שלוש</w:t>
      </w:r>
      <w:r w:rsidRPr="007065C3">
        <w:rPr>
          <w:rtl/>
        </w:rPr>
        <w:t xml:space="preserve"> שניות מרגע ההתראה. שום אדם נורמלי לא יעשה דבר כזה! הקושי שבהטלת עונש מוות עולה גם מדברי המשנה במסכת </w:t>
      </w:r>
      <w:r w:rsidRPr="007065C3">
        <w:rPr>
          <w:rtl/>
        </w:rPr>
        <w:lastRenderedPageBreak/>
        <w:t xml:space="preserve">מכות </w:t>
      </w:r>
      <w:r w:rsidRPr="00BE180D">
        <w:rPr>
          <w:szCs w:val="20"/>
          <w:rtl/>
        </w:rPr>
        <w:t>(ז.)</w:t>
      </w:r>
      <w:r w:rsidRPr="007065C3">
        <w:rPr>
          <w:rtl/>
        </w:rPr>
        <w:t>, המביאה דעות שונות לגבי השאלה איזו סנהדרין נחשבת סנהדרין קטלנית. לפי הדעה הראשונה במשנה, סנהדרין ההורגת פעם בשבע שנים מכונה "סנהדרין קטלנית". רבי אלעזר בן עזריה סבור, שאפילו גזר דין מוות אחד במשך 70 שנה מספיק כדי להחיל הגדרה זו על הסנהדרין, ואילו ר' טרפון ור' עקיבא אומרים שאילו היו יושבים בסנהדרין לא היה נהרג</w:t>
      </w:r>
      <w:r w:rsidR="00BE180D">
        <w:rPr>
          <w:rtl/>
        </w:rPr>
        <w:t xml:space="preserve"> בה אדם מעולם. ממקומות אלו עולה</w:t>
      </w:r>
      <w:r w:rsidR="00BE180D">
        <w:rPr>
          <w:rFonts w:hint="cs"/>
          <w:rtl/>
        </w:rPr>
        <w:t xml:space="preserve"> </w:t>
      </w:r>
      <w:r w:rsidRPr="007065C3">
        <w:rPr>
          <w:rtl/>
        </w:rPr>
        <w:t>כי עונש מוות היה נדיר מאוד במערכת המשפט היהודית.</w:t>
      </w:r>
    </w:p>
    <w:p w:rsidR="007065C3" w:rsidRPr="007065C3" w:rsidRDefault="007065C3" w:rsidP="007065C3">
      <w:pPr>
        <w:rPr>
          <w:rtl/>
        </w:rPr>
      </w:pPr>
      <w:r w:rsidRPr="007065C3">
        <w:rPr>
          <w:rtl/>
        </w:rPr>
        <w:t xml:space="preserve">ישנן דרכים מסוימות שבהן בית דין יכול להוציא להורג שלא באמצעות ד' מיתות בית דין, במצבים מיוחדים. בנוגע לעונשים אלו קובע החזון איש </w:t>
      </w:r>
      <w:r w:rsidR="00BE180D">
        <w:rPr>
          <w:szCs w:val="20"/>
          <w:rtl/>
        </w:rPr>
        <w:t>(יורה דעה ב', ט"ז ד"ה "ונראה")</w:t>
      </w:r>
      <w:r w:rsidR="00BE180D">
        <w:rPr>
          <w:rFonts w:hint="cs"/>
          <w:rtl/>
        </w:rPr>
        <w:t xml:space="preserve">, </w:t>
      </w:r>
      <w:r w:rsidRPr="007065C3">
        <w:rPr>
          <w:rtl/>
        </w:rPr>
        <w:t>שבית דין רשאים להשתמש בהם רק בשעה שכל העם מרגיש בהשראת שכינה. הוא מסביר שרק במצב כזה, שבו כל העם חש בהשראת שכינה, יבינו בני האדם שהענשת החוטאים היא חלק מתיקון הרע בעולם. במצב שבו אין השגחה גלויה, עונשים כאלו נתפסים כאלימות גרידא. כתוצאה מכך, אין הם מועילים לחברה, ולכן הם אסורים בשימוש.</w:t>
      </w:r>
    </w:p>
    <w:p w:rsidR="00BE180D" w:rsidRDefault="007065C3" w:rsidP="00BE180D">
      <w:pPr>
        <w:rPr>
          <w:rtl/>
        </w:rPr>
      </w:pPr>
      <w:r w:rsidRPr="007065C3">
        <w:rPr>
          <w:rtl/>
        </w:rPr>
        <w:t xml:space="preserve">לשני עניינים אלה- צמצום השנאה אפילו כאשר היא מותרת, והטלת עונשים רק כשהם נתפסים כאמצעי תיקון- ישנן השלכות חשובות על חברתנו. ניקח לדוגמא את הוויכוחים הרבים הקיימים בין הציבור הדתי לציבור הכללי בישראל </w:t>
      </w:r>
      <w:proofErr w:type="spellStart"/>
      <w:r w:rsidRPr="007065C3">
        <w:rPr>
          <w:rtl/>
        </w:rPr>
        <w:t>דהיום</w:t>
      </w:r>
      <w:proofErr w:type="spellEnd"/>
      <w:r w:rsidRPr="007065C3">
        <w:rPr>
          <w:rtl/>
        </w:rPr>
        <w:t>. חשוב להבין את נקודת המבט ואת הרקע של שאר הקבוצות כדי לשפר את יחסנו אתן. חלקים גדולים של הציבור הדתי אינם מקבלים גישה זאת, משום שלטענתם אם הם ינסו להבין את נקודת המבט של הציבור החילוני הם יושפעו ממנה. אך אנו יודעים, שכדי ליצור יחס חיובי עם יהודים אחרים חשוב מאוד להבין את השקפותיהם.</w:t>
      </w:r>
    </w:p>
    <w:p w:rsidR="00BE180D" w:rsidRDefault="00BE180D" w:rsidP="00BE180D">
      <w:pPr>
        <w:rPr>
          <w:rtl/>
        </w:rPr>
      </w:pPr>
    </w:p>
    <w:p w:rsidR="00BE180D" w:rsidRDefault="007065C3" w:rsidP="00BE180D">
      <w:pPr>
        <w:rPr>
          <w:rtl/>
        </w:rPr>
      </w:pPr>
      <w:r w:rsidRPr="007065C3">
        <w:rPr>
          <w:rtl/>
        </w:rPr>
        <w:t xml:space="preserve">אי אפשר לשפוט אנשים רק על סמך השקפתם הדתית בהווה. היום אני אדם דתי, אולם מי יודע מה היה קורה אילו הייתי נולד וגדל בסביבה חילונית? מי מאתנו מבין כיצד שופט הקב"ה את בני האדם? האם יש מישהו שיודע בוודאות שיקבל שכר בשמים רק משום שהכריז על עצמו כעל אדם דתי? שומה עלינו להיזהר בשפיטת </w:t>
      </w:r>
      <w:r w:rsidRPr="007065C3">
        <w:rPr>
          <w:rtl/>
        </w:rPr>
        <w:lastRenderedPageBreak/>
        <w:t>אנשים אחרים, משום שאין אנו יודעים אילו גורמים הובילו אותם למצבם בהווה.</w:t>
      </w:r>
    </w:p>
    <w:p w:rsidR="00AB5FD9" w:rsidRDefault="007065C3" w:rsidP="00AB5FD9">
      <w:pPr>
        <w:rPr>
          <w:rtl/>
        </w:rPr>
      </w:pPr>
      <w:r w:rsidRPr="007065C3">
        <w:rPr>
          <w:rtl/>
        </w:rPr>
        <w:t>מעבר לצורך להימנע מלשפוט אנשים אחרים, חשוב גם לטפל בנושאים הקשורים לציבור החילוני מתוך ניסיון להבין את השקפתם בעניין. בוויכוח האחרון שבין החרדים לחילונים בעניין סגירת רחוב בר אילן לתנועת רכבים בשבת, נקראתי לדבר בפני הוועדה המייעצת. אמרתי להם, שלדעתי על הרחוב להיות סגור למעבר כלי רכב בשבת, אך לא בגלל האיסור לנסוע בשבת. ברור לי כשמש שגם אם רחוב זה ייסגר לא תיפסק נסיעת יהודים בשבת. אולם בכל זאת, אני חושב כי זו דרישה מתקבלת על הדעת לבקש מאנשים מסוימים שישנו את מסלול נסיעתם כדי לא להפריע לאווירת השבת בשכונה דתית. באותה נשימה אף הוספתי, שלא יפריע לי אם אותם יהודים שאינם שומרי שבת ירצו לפתוח בתי קולנוע ותאטרון בשבת.</w:t>
      </w:r>
    </w:p>
    <w:p w:rsidR="007065C3" w:rsidRDefault="007065C3" w:rsidP="00AB5FD9">
      <w:pPr>
        <w:rPr>
          <w:rtl/>
        </w:rPr>
      </w:pPr>
      <w:r w:rsidRPr="007065C3">
        <w:rPr>
          <w:rtl/>
        </w:rPr>
        <w:t>יש שהתלוננו בפניי על כך שאמירה כזו מכירה בחילול שבת. עניתי, שהציבור החילוני בירושלים חי בלחץ מתמיד מצד הציבור הדתי, וחשוב שהם ירגישו שהם יכולים להמשיך לחיות את חייהם בשלווה. ברור שהמצב האידאלי הוא שגם אנשים אלו ישמרו שבת (ושאר מצוות), אולם הדרך להגיע למצב כזה אינה באמצעות חקיקה וכפייה דתית. שינוי משמעותי יתאפשר רק בדרכי נועם. לעתים קרובות מתעורר בציבור החילוני הצורך ביותר יהדות. אפשר להיענות לצורך הזה, אולם רק באמצעים חיוביים (בהתאם לקו העולה מדברי החזון איש), ולא על ידי עונשים שאינם מתקבלים בהבנה על ידי הציבור.</w:t>
      </w:r>
    </w:p>
    <w:p w:rsidR="00AB5FD9" w:rsidRDefault="00AB5FD9" w:rsidP="00AB5FD9">
      <w:pPr>
        <w:rPr>
          <w:rtl/>
        </w:rPr>
      </w:pPr>
    </w:p>
    <w:tbl>
      <w:tblPr>
        <w:tblpPr w:leftFromText="180" w:rightFromText="180" w:vertAnchor="text" w:horzAnchor="margin" w:tblpY="2303"/>
        <w:bidiVisual/>
        <w:tblW w:w="4678" w:type="dxa"/>
        <w:tblLayout w:type="fixed"/>
        <w:tblLook w:val="0000" w:firstRow="0" w:lastRow="0" w:firstColumn="0" w:lastColumn="0" w:noHBand="0" w:noVBand="0"/>
      </w:tblPr>
      <w:tblGrid>
        <w:gridCol w:w="283"/>
        <w:gridCol w:w="4111"/>
        <w:gridCol w:w="284"/>
      </w:tblGrid>
      <w:tr w:rsidR="00AB5FD9" w:rsidTr="006D36B0">
        <w:trPr>
          <w:trHeight w:val="63"/>
        </w:trPr>
        <w:tc>
          <w:tcPr>
            <w:tcW w:w="283" w:type="dxa"/>
            <w:tcBorders>
              <w:top w:val="nil"/>
              <w:left w:val="nil"/>
              <w:bottom w:val="nil"/>
              <w:right w:val="nil"/>
            </w:tcBorders>
          </w:tcPr>
          <w:p w:rsidR="00AB5FD9" w:rsidRDefault="00AB5FD9" w:rsidP="006D36B0">
            <w:pPr>
              <w:pStyle w:val="ae"/>
              <w:rPr>
                <w:noProof w:val="0"/>
              </w:rPr>
            </w:pPr>
            <w:r>
              <w:rPr>
                <w:noProof w:val="0"/>
                <w:rtl/>
              </w:rPr>
              <w:t>*</w:t>
            </w:r>
          </w:p>
        </w:tc>
        <w:tc>
          <w:tcPr>
            <w:tcW w:w="4111" w:type="dxa"/>
            <w:tcBorders>
              <w:top w:val="nil"/>
              <w:left w:val="nil"/>
              <w:bottom w:val="nil"/>
              <w:right w:val="nil"/>
            </w:tcBorders>
          </w:tcPr>
          <w:p w:rsidR="00AB5FD9" w:rsidRDefault="00AB5FD9" w:rsidP="006D36B0">
            <w:pPr>
              <w:pStyle w:val="ae"/>
              <w:ind w:left="-170" w:right="-170"/>
              <w:rPr>
                <w:noProof w:val="0"/>
              </w:rPr>
            </w:pPr>
            <w:r>
              <w:rPr>
                <w:noProof w:val="0"/>
                <w:rtl/>
              </w:rPr>
              <w:t>***************************************************************</w:t>
            </w:r>
          </w:p>
        </w:tc>
        <w:tc>
          <w:tcPr>
            <w:tcW w:w="284" w:type="dxa"/>
            <w:tcBorders>
              <w:top w:val="nil"/>
              <w:left w:val="nil"/>
              <w:bottom w:val="nil"/>
              <w:right w:val="nil"/>
            </w:tcBorders>
          </w:tcPr>
          <w:p w:rsidR="00AB5FD9" w:rsidRDefault="00AB5FD9" w:rsidP="006D36B0">
            <w:pPr>
              <w:pStyle w:val="ae"/>
              <w:rPr>
                <w:noProof w:val="0"/>
              </w:rPr>
            </w:pPr>
            <w:r>
              <w:rPr>
                <w:noProof w:val="0"/>
                <w:rtl/>
              </w:rPr>
              <w:t>*</w:t>
            </w:r>
          </w:p>
        </w:tc>
      </w:tr>
      <w:tr w:rsidR="00AB5FD9" w:rsidTr="006D36B0">
        <w:tc>
          <w:tcPr>
            <w:tcW w:w="283" w:type="dxa"/>
            <w:tcBorders>
              <w:top w:val="nil"/>
              <w:left w:val="nil"/>
              <w:bottom w:val="nil"/>
              <w:right w:val="nil"/>
            </w:tcBorders>
          </w:tcPr>
          <w:p w:rsidR="00AB5FD9" w:rsidRDefault="00AB5FD9" w:rsidP="006D36B0">
            <w:pPr>
              <w:pStyle w:val="ae"/>
              <w:rPr>
                <w:noProof w:val="0"/>
              </w:rPr>
            </w:pPr>
            <w:r>
              <w:rPr>
                <w:noProof w:val="0"/>
                <w:rtl/>
              </w:rPr>
              <w:t>* * * * * * * * * *</w:t>
            </w:r>
          </w:p>
        </w:tc>
        <w:tc>
          <w:tcPr>
            <w:tcW w:w="4111" w:type="dxa"/>
            <w:tcBorders>
              <w:top w:val="nil"/>
              <w:left w:val="nil"/>
              <w:bottom w:val="nil"/>
              <w:right w:val="nil"/>
            </w:tcBorders>
          </w:tcPr>
          <w:p w:rsidR="00AB5FD9" w:rsidRDefault="00AB5FD9" w:rsidP="00AB5FD9">
            <w:pPr>
              <w:pStyle w:val="ae"/>
              <w:rPr>
                <w:noProof w:val="0"/>
                <w:rtl/>
              </w:rPr>
            </w:pPr>
            <w:r>
              <w:rPr>
                <w:noProof w:val="0"/>
                <w:rtl/>
              </w:rPr>
              <w:t>כל הזכויות שמורות לישיבת הר עציון</w:t>
            </w:r>
            <w:r>
              <w:rPr>
                <w:rFonts w:hint="cs"/>
                <w:noProof w:val="0"/>
                <w:rtl/>
              </w:rPr>
              <w:t xml:space="preserve"> ולרב יהודה עמיטל זצ"ל</w:t>
            </w:r>
          </w:p>
          <w:p w:rsidR="00AB5FD9" w:rsidRPr="00C5614D" w:rsidRDefault="00AB5FD9" w:rsidP="006D36B0">
            <w:pPr>
              <w:pStyle w:val="ae"/>
              <w:rPr>
                <w:rFonts w:ascii="Times New Roman" w:hAnsi="Times New Roman" w:cs="Times New Roman"/>
                <w:noProof w:val="0"/>
                <w:rtl/>
              </w:rPr>
            </w:pPr>
            <w:r>
              <w:rPr>
                <w:rFonts w:hint="cs"/>
                <w:noProof w:val="0"/>
                <w:rtl/>
              </w:rPr>
              <w:t>עורך: אלישע אורון, תשע"ט</w:t>
            </w:r>
          </w:p>
          <w:p w:rsidR="00AB5FD9" w:rsidRDefault="00AB5FD9" w:rsidP="006D36B0">
            <w:pPr>
              <w:pStyle w:val="ae"/>
              <w:rPr>
                <w:noProof w:val="0"/>
                <w:rtl/>
              </w:rPr>
            </w:pPr>
            <w:r>
              <w:rPr>
                <w:noProof w:val="0"/>
                <w:rtl/>
              </w:rPr>
              <w:t>*******************************************************</w:t>
            </w:r>
          </w:p>
          <w:p w:rsidR="00AB5FD9" w:rsidRDefault="00AB5FD9" w:rsidP="006D36B0">
            <w:pPr>
              <w:pStyle w:val="ae"/>
              <w:rPr>
                <w:noProof w:val="0"/>
                <w:rtl/>
              </w:rPr>
            </w:pPr>
          </w:p>
          <w:p w:rsidR="00AB5FD9" w:rsidRDefault="00AB5FD9" w:rsidP="006D36B0">
            <w:pPr>
              <w:pStyle w:val="ae"/>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rsidR="00AB5FD9" w:rsidRDefault="00B4717A" w:rsidP="006D36B0">
            <w:pPr>
              <w:pStyle w:val="ae"/>
              <w:rPr>
                <w:noProof w:val="0"/>
                <w:rtl/>
              </w:rPr>
            </w:pPr>
            <w:hyperlink r:id="rId7" w:history="1">
              <w:r w:rsidR="00AB5FD9">
                <w:rPr>
                  <w:rStyle w:val="Hyperlink"/>
                  <w:rFonts w:eastAsiaTheme="majorEastAsia"/>
                </w:rPr>
                <w:t>http://www.etzion.org.il</w:t>
              </w:r>
            </w:hyperlink>
          </w:p>
          <w:p w:rsidR="00AB5FD9" w:rsidRDefault="00AB5FD9" w:rsidP="006D36B0">
            <w:pPr>
              <w:pStyle w:val="ae"/>
              <w:rPr>
                <w:noProof w:val="0"/>
                <w:rtl/>
              </w:rPr>
            </w:pPr>
          </w:p>
          <w:p w:rsidR="00AB5FD9" w:rsidRDefault="00AB5FD9" w:rsidP="006D36B0">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AB5FD9" w:rsidRDefault="00AB5FD9" w:rsidP="006D36B0">
            <w:pPr>
              <w:pStyle w:val="ae"/>
              <w:rPr>
                <w:noProof w:val="0"/>
              </w:rPr>
            </w:pPr>
            <w:r>
              <w:rPr>
                <w:noProof w:val="0"/>
                <w:rtl/>
              </w:rPr>
              <w:t xml:space="preserve">דואל: </w:t>
            </w:r>
            <w:hyperlink r:id="rId8" w:history="1">
              <w:r>
                <w:rPr>
                  <w:rStyle w:val="Hyperlink"/>
                  <w:rFonts w:eastAsiaTheme="majorEastAsia"/>
                </w:rPr>
                <w:t>office@etzion.org.il</w:t>
              </w:r>
            </w:hyperlink>
          </w:p>
        </w:tc>
        <w:tc>
          <w:tcPr>
            <w:tcW w:w="284" w:type="dxa"/>
            <w:tcBorders>
              <w:top w:val="nil"/>
              <w:left w:val="nil"/>
              <w:bottom w:val="nil"/>
              <w:right w:val="nil"/>
            </w:tcBorders>
          </w:tcPr>
          <w:p w:rsidR="00AB5FD9" w:rsidRDefault="00AB5FD9" w:rsidP="006D36B0">
            <w:pPr>
              <w:pStyle w:val="ae"/>
              <w:rPr>
                <w:noProof w:val="0"/>
              </w:rPr>
            </w:pPr>
            <w:r>
              <w:rPr>
                <w:noProof w:val="0"/>
                <w:rtl/>
              </w:rPr>
              <w:t xml:space="preserve">* * * * * * * * * * </w:t>
            </w:r>
          </w:p>
        </w:tc>
      </w:tr>
      <w:tr w:rsidR="00AB5FD9" w:rsidTr="006D36B0">
        <w:tc>
          <w:tcPr>
            <w:tcW w:w="283" w:type="dxa"/>
            <w:tcBorders>
              <w:top w:val="nil"/>
              <w:left w:val="nil"/>
              <w:bottom w:val="nil"/>
              <w:right w:val="nil"/>
            </w:tcBorders>
          </w:tcPr>
          <w:p w:rsidR="00AB5FD9" w:rsidRDefault="00AB5FD9" w:rsidP="006D36B0">
            <w:pPr>
              <w:pStyle w:val="ae"/>
              <w:rPr>
                <w:noProof w:val="0"/>
              </w:rPr>
            </w:pPr>
            <w:r>
              <w:rPr>
                <w:noProof w:val="0"/>
                <w:rtl/>
              </w:rPr>
              <w:t>*</w:t>
            </w:r>
          </w:p>
        </w:tc>
        <w:tc>
          <w:tcPr>
            <w:tcW w:w="4111" w:type="dxa"/>
            <w:tcBorders>
              <w:top w:val="nil"/>
              <w:left w:val="nil"/>
              <w:bottom w:val="nil"/>
              <w:right w:val="nil"/>
            </w:tcBorders>
          </w:tcPr>
          <w:p w:rsidR="00AB5FD9" w:rsidRDefault="00AB5FD9" w:rsidP="006D36B0">
            <w:pPr>
              <w:pStyle w:val="ae"/>
              <w:ind w:left="-227" w:right="-227"/>
              <w:rPr>
                <w:noProof w:val="0"/>
              </w:rPr>
            </w:pPr>
            <w:r>
              <w:rPr>
                <w:noProof w:val="0"/>
                <w:rtl/>
              </w:rPr>
              <w:t>***************************************************************</w:t>
            </w:r>
          </w:p>
        </w:tc>
        <w:tc>
          <w:tcPr>
            <w:tcW w:w="284" w:type="dxa"/>
            <w:tcBorders>
              <w:top w:val="nil"/>
              <w:left w:val="nil"/>
              <w:bottom w:val="nil"/>
              <w:right w:val="nil"/>
            </w:tcBorders>
          </w:tcPr>
          <w:p w:rsidR="00AB5FD9" w:rsidRDefault="00AB5FD9" w:rsidP="006D36B0">
            <w:pPr>
              <w:pStyle w:val="ae"/>
              <w:rPr>
                <w:noProof w:val="0"/>
                <w:rtl/>
              </w:rPr>
            </w:pPr>
            <w:r>
              <w:rPr>
                <w:noProof w:val="0"/>
                <w:rtl/>
              </w:rPr>
              <w:t>*</w:t>
            </w:r>
          </w:p>
        </w:tc>
      </w:tr>
    </w:tbl>
    <w:p w:rsidR="00AB5FD9" w:rsidRPr="007065C3" w:rsidRDefault="00AB5FD9" w:rsidP="00AB5FD9">
      <w:pPr>
        <w:rPr>
          <w:rtl/>
        </w:rPr>
      </w:pPr>
    </w:p>
    <w:sectPr w:rsidR="00AB5FD9" w:rsidRPr="007065C3" w:rsidSect="005F7985">
      <w:headerReference w:type="default" r:id="rId9"/>
      <w:headerReference w:type="first" r:id="rId10"/>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5BA" w:rsidRDefault="006F55BA" w:rsidP="005F7985">
      <w:pPr>
        <w:spacing w:after="0" w:line="240" w:lineRule="auto"/>
      </w:pPr>
      <w:r>
        <w:separator/>
      </w:r>
    </w:p>
  </w:endnote>
  <w:endnote w:type="continuationSeparator" w:id="0">
    <w:p w:rsidR="006F55BA" w:rsidRDefault="006F55BA"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 w:name="FrankRuehl">
    <w:panose1 w:val="020E050306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5BA" w:rsidRDefault="006F55BA" w:rsidP="005F7985">
      <w:pPr>
        <w:spacing w:after="0" w:line="240" w:lineRule="auto"/>
      </w:pPr>
      <w:r>
        <w:separator/>
      </w:r>
    </w:p>
  </w:footnote>
  <w:footnote w:type="continuationSeparator" w:id="0">
    <w:p w:rsidR="006F55BA" w:rsidRDefault="006F55BA" w:rsidP="005F7985">
      <w:pPr>
        <w:spacing w:after="0" w:line="240" w:lineRule="auto"/>
      </w:pPr>
      <w:r>
        <w:continuationSeparator/>
      </w:r>
    </w:p>
  </w:footnote>
  <w:footnote w:id="1">
    <w:p w:rsidR="00E66D5D" w:rsidRDefault="00B103A1" w:rsidP="00B4717A">
      <w:pPr>
        <w:pStyle w:val="a8"/>
        <w:ind w:left="225"/>
      </w:pPr>
      <w:r>
        <w:rPr>
          <w:rStyle w:val="aa"/>
          <w:rtl/>
        </w:rPr>
        <w:t>*</w:t>
      </w:r>
      <w:r>
        <w:rPr>
          <w:rtl/>
        </w:rPr>
        <w:t xml:space="preserve"> </w:t>
      </w:r>
      <w:r>
        <w:rPr>
          <w:rtl/>
        </w:rPr>
        <w:tab/>
      </w:r>
      <w:r w:rsidR="00BD6239">
        <w:rPr>
          <w:rFonts w:hint="cs"/>
          <w:rtl/>
        </w:rPr>
        <w:t xml:space="preserve">השיחה נאמרה </w:t>
      </w:r>
      <w:r w:rsidR="001E20E0">
        <w:rPr>
          <w:rFonts w:hint="cs"/>
          <w:rtl/>
        </w:rPr>
        <w:t>ב</w:t>
      </w:r>
      <w:r w:rsidR="00E1259A">
        <w:rPr>
          <w:rFonts w:hint="cs"/>
          <w:rtl/>
        </w:rPr>
        <w:t xml:space="preserve">סעודה שלישית </w:t>
      </w:r>
      <w:r w:rsidR="001E20E0">
        <w:rPr>
          <w:rFonts w:hint="cs"/>
          <w:rtl/>
        </w:rPr>
        <w:t>שבת פרש</w:t>
      </w:r>
      <w:r w:rsidR="0041351B">
        <w:rPr>
          <w:rFonts w:hint="cs"/>
          <w:rtl/>
        </w:rPr>
        <w:t>ת תזריע-מצורע ה'תש</w:t>
      </w:r>
      <w:r w:rsidR="00B4717A">
        <w:rPr>
          <w:rFonts w:hint="cs"/>
          <w:rtl/>
        </w:rPr>
        <w:t>נ</w:t>
      </w:r>
      <w:bookmarkStart w:id="0" w:name="_GoBack"/>
      <w:bookmarkEnd w:id="0"/>
      <w:r w:rsidR="0041351B">
        <w:rPr>
          <w:rFonts w:hint="cs"/>
          <w:rtl/>
        </w:rPr>
        <w:t>"</w:t>
      </w:r>
      <w:r w:rsidR="00167637">
        <w:rPr>
          <w:rFonts w:hint="cs"/>
          <w:rtl/>
        </w:rPr>
        <w:t xml:space="preserve">ז, </w:t>
      </w:r>
      <w:r w:rsidR="00E1259A">
        <w:rPr>
          <w:rFonts w:hint="cs"/>
          <w:rtl/>
        </w:rPr>
        <w:t>סוכמה ע"י יאיר אוסטר</w:t>
      </w:r>
      <w:r w:rsidR="00167637">
        <w:rPr>
          <w:rFonts w:hint="cs"/>
          <w:rtl/>
        </w:rPr>
        <w:t xml:space="preserve"> ונערכה ע"י אלישע אורון</w:t>
      </w:r>
      <w:r w:rsidR="0041351B">
        <w:rPr>
          <w:rFonts w:hint="cs"/>
          <w:rtl/>
        </w:rPr>
        <w:t xml:space="preserve">. </w:t>
      </w:r>
      <w:r w:rsidR="001E20E0">
        <w:rPr>
          <w:rFonts w:hint="cs"/>
          <w:rtl/>
        </w:rPr>
        <w:t>סיכום השיחה לא עבר את ביקורת הרב.</w:t>
      </w:r>
    </w:p>
  </w:footnote>
  <w:footnote w:id="2">
    <w:p w:rsidR="00BE180D" w:rsidRDefault="00BE180D">
      <w:pPr>
        <w:pStyle w:val="a8"/>
        <w:rPr>
          <w:rtl/>
        </w:rPr>
      </w:pPr>
      <w:r>
        <w:rPr>
          <w:rStyle w:val="aa"/>
        </w:rPr>
        <w:footnoteRef/>
      </w:r>
      <w:r>
        <w:rPr>
          <w:rtl/>
        </w:rPr>
        <w:t xml:space="preserve"> </w:t>
      </w:r>
      <w:r w:rsidRPr="007065C3">
        <w:rPr>
          <w:rtl/>
        </w:rPr>
        <w:t>או "על מ</w:t>
      </w:r>
      <w:r>
        <w:rPr>
          <w:rtl/>
        </w:rPr>
        <w:t>נת כן" לפי דברי רש"י ד"ה "התיר"</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872" w:rsidRDefault="00A67BCC">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B4717A">
      <w:rPr>
        <w:b/>
        <w:bCs/>
        <w:noProof/>
        <w:sz w:val="21"/>
        <w:rtl/>
      </w:rPr>
      <w:t>2</w:t>
    </w:r>
    <w:r>
      <w:rPr>
        <w:b/>
        <w:bCs/>
        <w:sz w:val="21"/>
        <w:rtl/>
      </w:rPr>
      <w:fldChar w:fldCharType="end"/>
    </w:r>
    <w:r>
      <w:rPr>
        <w:b/>
        <w:bCs/>
        <w:sz w:val="21"/>
        <w:rtl/>
      </w:rPr>
      <w:t xml:space="preserve"> -</w:t>
    </w:r>
  </w:p>
  <w:p w:rsidR="00C05872" w:rsidRDefault="00B4717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C05872">
      <w:tc>
        <w:tcPr>
          <w:tcW w:w="4927" w:type="dxa"/>
          <w:tcBorders>
            <w:top w:val="nil"/>
            <w:left w:val="nil"/>
            <w:bottom w:val="double" w:sz="4" w:space="0" w:color="auto"/>
            <w:right w:val="nil"/>
          </w:tcBorders>
        </w:tcPr>
        <w:p w:rsidR="00C05872" w:rsidRDefault="00A67BCC">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rsidR="00C05872" w:rsidRDefault="00A67BCC">
          <w:pPr>
            <w:pStyle w:val="ab"/>
            <w:tabs>
              <w:tab w:val="clear" w:pos="4153"/>
              <w:tab w:val="clear" w:pos="8306"/>
              <w:tab w:val="center" w:pos="4818"/>
              <w:tab w:val="right" w:pos="8220"/>
            </w:tabs>
            <w:spacing w:after="0"/>
            <w:rPr>
              <w:sz w:val="21"/>
              <w:rtl/>
            </w:rPr>
          </w:pPr>
          <w:r>
            <w:rPr>
              <w:sz w:val="21"/>
              <w:rtl/>
            </w:rPr>
            <w:t>שליד ישיבת הר עציון</w:t>
          </w:r>
        </w:p>
        <w:p w:rsidR="00C05872" w:rsidRDefault="00A67BCC">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rsidR="00C05872" w:rsidRDefault="00A67BCC" w:rsidP="00CB6C0A">
          <w:pPr>
            <w:pStyle w:val="ab"/>
            <w:tabs>
              <w:tab w:val="clear" w:pos="4153"/>
              <w:tab w:val="clear" w:pos="8306"/>
              <w:tab w:val="right" w:pos="8220"/>
            </w:tabs>
            <w:bidi w:val="0"/>
            <w:spacing w:after="0" w:line="240" w:lineRule="auto"/>
            <w:jc w:val="left"/>
            <w:rPr>
              <w:sz w:val="28"/>
            </w:rPr>
          </w:pPr>
          <w:r>
            <w:rPr>
              <w:b/>
              <w:bCs/>
              <w:sz w:val="28"/>
            </w:rPr>
            <w:t>www.etzion.org.il</w:t>
          </w:r>
        </w:p>
      </w:tc>
    </w:tr>
  </w:tbl>
  <w:p w:rsidR="00C05872" w:rsidRDefault="00B4717A">
    <w:pPr>
      <w:pStyle w:val="ab"/>
      <w:rPr>
        <w:sz w:val="21"/>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5"/>
    <w:rsid w:val="00007104"/>
    <w:rsid w:val="00016FCE"/>
    <w:rsid w:val="000458BC"/>
    <w:rsid w:val="00067E9B"/>
    <w:rsid w:val="000827D2"/>
    <w:rsid w:val="000A18FC"/>
    <w:rsid w:val="000B2BEA"/>
    <w:rsid w:val="000D00CA"/>
    <w:rsid w:val="000D6D0C"/>
    <w:rsid w:val="000E5AFD"/>
    <w:rsid w:val="001032CB"/>
    <w:rsid w:val="00117B74"/>
    <w:rsid w:val="001502DB"/>
    <w:rsid w:val="00167637"/>
    <w:rsid w:val="001A2419"/>
    <w:rsid w:val="001C08DD"/>
    <w:rsid w:val="001D51B9"/>
    <w:rsid w:val="001E20E0"/>
    <w:rsid w:val="001F137C"/>
    <w:rsid w:val="00272817"/>
    <w:rsid w:val="0028771E"/>
    <w:rsid w:val="002A394A"/>
    <w:rsid w:val="002B1140"/>
    <w:rsid w:val="002D0B80"/>
    <w:rsid w:val="002D3217"/>
    <w:rsid w:val="002F287D"/>
    <w:rsid w:val="00301D0C"/>
    <w:rsid w:val="00315192"/>
    <w:rsid w:val="0033127E"/>
    <w:rsid w:val="00345D27"/>
    <w:rsid w:val="00367E56"/>
    <w:rsid w:val="00380328"/>
    <w:rsid w:val="003B502B"/>
    <w:rsid w:val="003D7721"/>
    <w:rsid w:val="003E768B"/>
    <w:rsid w:val="003F7890"/>
    <w:rsid w:val="00402C36"/>
    <w:rsid w:val="0041351B"/>
    <w:rsid w:val="00420F26"/>
    <w:rsid w:val="004360C9"/>
    <w:rsid w:val="00455395"/>
    <w:rsid w:val="004829C8"/>
    <w:rsid w:val="005149C3"/>
    <w:rsid w:val="00543BFF"/>
    <w:rsid w:val="00544704"/>
    <w:rsid w:val="00552BEB"/>
    <w:rsid w:val="00563957"/>
    <w:rsid w:val="005647CD"/>
    <w:rsid w:val="005751F1"/>
    <w:rsid w:val="005B76C2"/>
    <w:rsid w:val="005E44BA"/>
    <w:rsid w:val="005F7985"/>
    <w:rsid w:val="006064E4"/>
    <w:rsid w:val="0061649C"/>
    <w:rsid w:val="00655523"/>
    <w:rsid w:val="00683AD6"/>
    <w:rsid w:val="006B1EF3"/>
    <w:rsid w:val="006B332C"/>
    <w:rsid w:val="006F55BA"/>
    <w:rsid w:val="0070000E"/>
    <w:rsid w:val="007065C3"/>
    <w:rsid w:val="00707A86"/>
    <w:rsid w:val="00713A3A"/>
    <w:rsid w:val="007176D1"/>
    <w:rsid w:val="0077090A"/>
    <w:rsid w:val="00773F69"/>
    <w:rsid w:val="007873C0"/>
    <w:rsid w:val="007A6AB1"/>
    <w:rsid w:val="007B0711"/>
    <w:rsid w:val="007C5FA6"/>
    <w:rsid w:val="007E45DB"/>
    <w:rsid w:val="007E507C"/>
    <w:rsid w:val="007E7500"/>
    <w:rsid w:val="00835345"/>
    <w:rsid w:val="0085108B"/>
    <w:rsid w:val="0086008D"/>
    <w:rsid w:val="00865437"/>
    <w:rsid w:val="00875FBB"/>
    <w:rsid w:val="0088360E"/>
    <w:rsid w:val="008C0DB5"/>
    <w:rsid w:val="008C5B82"/>
    <w:rsid w:val="008C7523"/>
    <w:rsid w:val="008D309C"/>
    <w:rsid w:val="008E56C4"/>
    <w:rsid w:val="008F4D4A"/>
    <w:rsid w:val="009002A5"/>
    <w:rsid w:val="009120C5"/>
    <w:rsid w:val="00913898"/>
    <w:rsid w:val="009215D9"/>
    <w:rsid w:val="0093798A"/>
    <w:rsid w:val="009724A7"/>
    <w:rsid w:val="0098126F"/>
    <w:rsid w:val="009A6A04"/>
    <w:rsid w:val="009B70F2"/>
    <w:rsid w:val="009C6C3A"/>
    <w:rsid w:val="009F1F91"/>
    <w:rsid w:val="009F2278"/>
    <w:rsid w:val="009F301F"/>
    <w:rsid w:val="009F32DA"/>
    <w:rsid w:val="00A05D74"/>
    <w:rsid w:val="00A17CC0"/>
    <w:rsid w:val="00A67BCC"/>
    <w:rsid w:val="00AB5FD9"/>
    <w:rsid w:val="00AC4207"/>
    <w:rsid w:val="00AE1BD0"/>
    <w:rsid w:val="00AE545D"/>
    <w:rsid w:val="00AE71F8"/>
    <w:rsid w:val="00B103A1"/>
    <w:rsid w:val="00B2236F"/>
    <w:rsid w:val="00B243F4"/>
    <w:rsid w:val="00B4717A"/>
    <w:rsid w:val="00B65D5E"/>
    <w:rsid w:val="00B7243D"/>
    <w:rsid w:val="00B86A06"/>
    <w:rsid w:val="00BA11BC"/>
    <w:rsid w:val="00BC7C5F"/>
    <w:rsid w:val="00BD32A3"/>
    <w:rsid w:val="00BD38AD"/>
    <w:rsid w:val="00BD6239"/>
    <w:rsid w:val="00BE1240"/>
    <w:rsid w:val="00BE180D"/>
    <w:rsid w:val="00C25383"/>
    <w:rsid w:val="00C906EA"/>
    <w:rsid w:val="00CA3B41"/>
    <w:rsid w:val="00CB11E4"/>
    <w:rsid w:val="00CB6C0A"/>
    <w:rsid w:val="00CB73CC"/>
    <w:rsid w:val="00CC778C"/>
    <w:rsid w:val="00CD7A60"/>
    <w:rsid w:val="00CE56E1"/>
    <w:rsid w:val="00CF363C"/>
    <w:rsid w:val="00D70DEE"/>
    <w:rsid w:val="00DB0EBF"/>
    <w:rsid w:val="00DC6632"/>
    <w:rsid w:val="00DD7D4E"/>
    <w:rsid w:val="00DF1868"/>
    <w:rsid w:val="00E1259A"/>
    <w:rsid w:val="00E31FEE"/>
    <w:rsid w:val="00E526E4"/>
    <w:rsid w:val="00E53C48"/>
    <w:rsid w:val="00E66D5D"/>
    <w:rsid w:val="00E82DA9"/>
    <w:rsid w:val="00EA205A"/>
    <w:rsid w:val="00EA261D"/>
    <w:rsid w:val="00EA3490"/>
    <w:rsid w:val="00EC4407"/>
    <w:rsid w:val="00ED4AE0"/>
    <w:rsid w:val="00F325DB"/>
    <w:rsid w:val="00F95556"/>
    <w:rsid w:val="00F9705F"/>
    <w:rsid w:val="00FA6FEC"/>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597F6-F9D5-4183-94DE-17DF72BBF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07C"/>
    <w:pPr>
      <w:autoSpaceDE w:val="0"/>
      <w:autoSpaceDN w:val="0"/>
      <w:bidi/>
      <w:spacing w:after="200" w:line="360"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9120C5"/>
    <w:pPr>
      <w:keepNext/>
      <w:keepLines/>
      <w:spacing w:before="240" w:after="160"/>
      <w:jc w:val="center"/>
      <w:outlineLvl w:val="0"/>
    </w:pPr>
    <w:rPr>
      <w:rFonts w:asciiTheme="minorBidi" w:eastAsiaTheme="majorEastAsia" w:hAnsiTheme="minorBidi" w:cstheme="minorBidi"/>
      <w:bCs/>
      <w:sz w:val="36"/>
      <w:szCs w:val="36"/>
    </w:rPr>
  </w:style>
  <w:style w:type="paragraph" w:styleId="2">
    <w:name w:val="heading 2"/>
    <w:basedOn w:val="a"/>
    <w:next w:val="a"/>
    <w:link w:val="20"/>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3">
    <w:name w:val="heading 3"/>
    <w:basedOn w:val="a"/>
    <w:next w:val="a"/>
    <w:link w:val="30"/>
    <w:uiPriority w:val="9"/>
    <w:unhideWhenUsed/>
    <w:qFormat/>
    <w:rsid w:val="007E45DB"/>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9120C5"/>
    <w:pPr>
      <w:keepNext/>
      <w:spacing w:before="200" w:line="240" w:lineRule="auto"/>
      <w:jc w:val="center"/>
      <w:outlineLvl w:val="3"/>
    </w:pPr>
    <w:rPr>
      <w:rFonts w:asciiTheme="minorBidi" w:hAnsiTheme="minorBidi" w:cstheme="minorBidi"/>
      <w:b/>
      <w:bCs/>
      <w:sz w:val="24"/>
      <w:szCs w:val="26"/>
    </w:rPr>
  </w:style>
  <w:style w:type="paragraph" w:styleId="5">
    <w:name w:val="heading 5"/>
    <w:aliases w:val="מקור"/>
    <w:basedOn w:val="a"/>
    <w:next w:val="a"/>
    <w:link w:val="50"/>
    <w:autoRedefine/>
    <w:uiPriority w:val="99"/>
    <w:qFormat/>
    <w:rsid w:val="007C5FA6"/>
    <w:pPr>
      <w:spacing w:before="120"/>
      <w:jc w:val="right"/>
      <w:outlineLvl w:val="4"/>
    </w:pPr>
    <w:rPr>
      <w:rFonts w:asciiTheme="minorHAnsi" w:hAnsiTheme="minorHAnsi"/>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543BFF"/>
    <w:pPr>
      <w:autoSpaceDE/>
      <w:autoSpaceDN/>
      <w:ind w:left="794"/>
    </w:pPr>
    <w:rPr>
      <w:rFonts w:asciiTheme="minorHAnsi" w:hAnsiTheme="minorHAnsi"/>
      <w:sz w:val="22"/>
    </w:rPr>
  </w:style>
  <w:style w:type="paragraph" w:styleId="a4">
    <w:name w:val="Quote"/>
    <w:basedOn w:val="a"/>
    <w:link w:val="a5"/>
    <w:autoRedefine/>
    <w:uiPriority w:val="29"/>
    <w:qFormat/>
    <w:rsid w:val="007E507C"/>
    <w:pPr>
      <w:tabs>
        <w:tab w:val="right" w:pos="4620"/>
      </w:tabs>
      <w:spacing w:before="240"/>
      <w:ind w:left="567"/>
    </w:pPr>
    <w:rPr>
      <w:rFonts w:asciiTheme="minorHAnsi" w:hAnsiTheme="minorHAnsi"/>
      <w:sz w:val="22"/>
    </w:rPr>
  </w:style>
  <w:style w:type="character" w:customStyle="1" w:styleId="a5">
    <w:name w:val="ציטוט תו"/>
    <w:link w:val="a4"/>
    <w:uiPriority w:val="29"/>
    <w:rsid w:val="007E507C"/>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BC7C5F"/>
    <w:rPr>
      <w:rFonts w:asciiTheme="minorBidi" w:eastAsiaTheme="majorEastAsia" w:hAnsiTheme="minorBidi"/>
      <w:bCs/>
      <w:sz w:val="26"/>
      <w:szCs w:val="26"/>
    </w:rPr>
  </w:style>
  <w:style w:type="character" w:customStyle="1" w:styleId="10">
    <w:name w:val="כותרת 1 תו"/>
    <w:basedOn w:val="a0"/>
    <w:link w:val="1"/>
    <w:uiPriority w:val="99"/>
    <w:rsid w:val="009120C5"/>
    <w:rPr>
      <w:rFonts w:asciiTheme="minorBidi" w:eastAsiaTheme="majorEastAsia" w:hAnsiTheme="minorBidi"/>
      <w:bCs/>
      <w:sz w:val="36"/>
      <w:szCs w:val="36"/>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7C5FA6"/>
    <w:rPr>
      <w:rFonts w:cs="Narkisim"/>
      <w:szCs w:val="20"/>
    </w:rPr>
  </w:style>
  <w:style w:type="character" w:customStyle="1" w:styleId="40">
    <w:name w:val="כותרת 4 תו"/>
    <w:link w:val="4"/>
    <w:uiPriority w:val="99"/>
    <w:rsid w:val="009120C5"/>
    <w:rPr>
      <w:rFonts w:asciiTheme="minorBidi" w:hAnsiTheme="minorBidi"/>
      <w:b/>
      <w:bCs/>
      <w:sz w:val="24"/>
      <w:szCs w:val="26"/>
    </w:rPr>
  </w:style>
  <w:style w:type="paragraph" w:styleId="a8">
    <w:name w:val="footnote text"/>
    <w:aliases w:val="הערת שוליים"/>
    <w:basedOn w:val="a"/>
    <w:link w:val="a9"/>
    <w:uiPriority w:val="99"/>
    <w:qFormat/>
    <w:rsid w:val="005F7985"/>
    <w:pPr>
      <w:spacing w:line="220" w:lineRule="exact"/>
      <w:ind w:left="284" w:hanging="284"/>
    </w:pPr>
    <w:rPr>
      <w:position w:val="6"/>
      <w:szCs w:val="18"/>
    </w:rPr>
  </w:style>
  <w:style w:type="character" w:customStyle="1" w:styleId="a9">
    <w:name w:val="טקסט הערת שוליים תו"/>
    <w:aliases w:val="הערת שוליים תו"/>
    <w:basedOn w:val="a0"/>
    <w:link w:val="a8"/>
    <w:uiPriority w:val="99"/>
    <w:rsid w:val="005F7985"/>
    <w:rPr>
      <w:rFonts w:ascii="Times New Roman" w:hAnsi="Times New Roman" w:cs="Narkisim"/>
      <w:position w:val="6"/>
      <w:sz w:val="20"/>
      <w:szCs w:val="18"/>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כות"/>
    <w:basedOn w:val="a"/>
    <w:uiPriority w:val="99"/>
    <w:rsid w:val="00B103A1"/>
    <w:pPr>
      <w:keepNext/>
      <w:widowControl w:val="0"/>
      <w:spacing w:before="360" w:after="240" w:line="240" w:lineRule="auto"/>
      <w:jc w:val="center"/>
    </w:pPr>
    <w:rPr>
      <w:b/>
      <w:bCs/>
      <w:sz w:val="36"/>
      <w:szCs w:val="36"/>
    </w:rPr>
  </w:style>
  <w:style w:type="paragraph" w:customStyle="1" w:styleId="e7">
    <w:name w:val="לוגו תנe7תון"/>
    <w:basedOn w:val="a"/>
    <w:uiPriority w:val="99"/>
    <w:rsid w:val="00B103A1"/>
    <w:pPr>
      <w:widowControl w:val="0"/>
      <w:tabs>
        <w:tab w:val="right" w:pos="3895"/>
      </w:tabs>
      <w:spacing w:after="0" w:line="240" w:lineRule="auto"/>
      <w:jc w:val="center"/>
    </w:pPr>
    <w:rPr>
      <w:rFonts w:ascii="Arial" w:hAnsi="Arial"/>
      <w:b/>
      <w:bCs/>
      <w:noProof/>
      <w:sz w:val="16"/>
      <w:szCs w:val="16"/>
    </w:rPr>
  </w:style>
  <w:style w:type="paragraph" w:customStyle="1" w:styleId="af0">
    <w:name w:val="מחבר"/>
    <w:basedOn w:val="a"/>
    <w:uiPriority w:val="99"/>
    <w:rsid w:val="00B103A1"/>
    <w:pPr>
      <w:keepNext/>
      <w:widowControl w:val="0"/>
      <w:spacing w:before="240" w:after="0" w:line="240" w:lineRule="auto"/>
      <w:jc w:val="left"/>
    </w:pPr>
    <w:rPr>
      <w:b/>
      <w:bCs/>
      <w:sz w:val="26"/>
      <w:szCs w:val="26"/>
    </w:rPr>
  </w:style>
  <w:style w:type="paragraph" w:styleId="af1">
    <w:name w:val="footer"/>
    <w:basedOn w:val="a"/>
    <w:link w:val="af2"/>
    <w:uiPriority w:val="99"/>
    <w:unhideWhenUsed/>
    <w:rsid w:val="00CB6C0A"/>
    <w:pPr>
      <w:tabs>
        <w:tab w:val="center" w:pos="4153"/>
        <w:tab w:val="right" w:pos="8306"/>
      </w:tabs>
      <w:spacing w:after="0" w:line="240" w:lineRule="auto"/>
    </w:pPr>
  </w:style>
  <w:style w:type="character" w:customStyle="1" w:styleId="af2">
    <w:name w:val="כותרת תחתונה תו"/>
    <w:basedOn w:val="a0"/>
    <w:link w:val="af1"/>
    <w:uiPriority w:val="99"/>
    <w:rsid w:val="00CB6C0A"/>
    <w:rPr>
      <w:rFonts w:ascii="Times New Roman" w:hAnsi="Times New Roman" w:cs="Narkisim"/>
      <w:sz w:val="20"/>
      <w:szCs w:val="24"/>
    </w:rPr>
  </w:style>
  <w:style w:type="character" w:customStyle="1" w:styleId="30">
    <w:name w:val="כותרת 3 תו"/>
    <w:basedOn w:val="a0"/>
    <w:link w:val="3"/>
    <w:uiPriority w:val="9"/>
    <w:rsid w:val="007E45D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14201">
      <w:bodyDiv w:val="1"/>
      <w:marLeft w:val="0"/>
      <w:marRight w:val="0"/>
      <w:marTop w:val="0"/>
      <w:marBottom w:val="0"/>
      <w:divBdr>
        <w:top w:val="none" w:sz="0" w:space="0" w:color="auto"/>
        <w:left w:val="none" w:sz="0" w:space="0" w:color="auto"/>
        <w:bottom w:val="none" w:sz="0" w:space="0" w:color="auto"/>
        <w:right w:val="none" w:sz="0" w:space="0" w:color="auto"/>
      </w:divBdr>
    </w:div>
    <w:div w:id="182323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tzion.org.il" TargetMode="External"/><Relationship Id="rId3" Type="http://schemas.openxmlformats.org/officeDocument/2006/relationships/settings" Target="settings.xml"/><Relationship Id="rId7" Type="http://schemas.openxmlformats.org/officeDocument/2006/relationships/hyperlink" Target="http://www.etzion.org.il/vb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782C1-B349-47F9-9E53-4991E48C4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999</Words>
  <Characters>5000</Characters>
  <Application>Microsoft Office Word</Application>
  <DocSecurity>0</DocSecurity>
  <Lines>41</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דבורה ברקוביץ</cp:lastModifiedBy>
  <cp:revision>2</cp:revision>
  <dcterms:created xsi:type="dcterms:W3CDTF">2019-05-05T10:46:00Z</dcterms:created>
  <dcterms:modified xsi:type="dcterms:W3CDTF">2019-05-05T10:46:00Z</dcterms:modified>
</cp:coreProperties>
</file>