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5E82B9"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YESHIVAT HAR ETZION</w:t>
      </w:r>
    </w:p>
    <w:p w14:paraId="21C9AF74"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ISRAEL KOSCHITZKY VIRTUAL BEIT MIDRASH (VBM)</w:t>
      </w:r>
    </w:p>
    <w:p w14:paraId="515CAA1E"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w:t>
      </w:r>
    </w:p>
    <w:p w14:paraId="6AF70FFC"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p>
    <w:p w14:paraId="232D18DB"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i/>
          <w:iCs/>
          <w:caps/>
          <w:color w:val="222222"/>
          <w:sz w:val="24"/>
          <w:szCs w:val="24"/>
          <w:lang w:bidi="he-IL"/>
        </w:rPr>
        <w:t>SHIVAT TZION</w:t>
      </w:r>
      <w:r>
        <w:rPr>
          <w:rFonts w:asciiTheme="minorBidi" w:eastAsia="Times New Roman" w:hAnsiTheme="minorBidi" w:cstheme="minorBidi"/>
          <w:b/>
          <w:bCs/>
          <w:caps/>
          <w:color w:val="222222"/>
          <w:sz w:val="24"/>
          <w:szCs w:val="24"/>
          <w:lang w:bidi="he-IL"/>
        </w:rPr>
        <w:t>:</w:t>
      </w:r>
    </w:p>
    <w:p w14:paraId="141F4907"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caps/>
          <w:color w:val="222222"/>
          <w:sz w:val="24"/>
          <w:szCs w:val="24"/>
          <w:lang w:bidi="he-IL"/>
        </w:rPr>
        <w:t>INTRODUCTION TO THE PROPHETS OF THE RETURN TO ZION</w:t>
      </w:r>
    </w:p>
    <w:p w14:paraId="0F413F41" w14:textId="77777777" w:rsidR="00A3472E" w:rsidRDefault="00A3472E" w:rsidP="00AF6992">
      <w:pPr>
        <w:shd w:val="clear" w:color="auto" w:fill="FFFFFF"/>
        <w:tabs>
          <w:tab w:val="left" w:pos="720"/>
        </w:tabs>
        <w:spacing w:line="240" w:lineRule="auto"/>
        <w:jc w:val="center"/>
        <w:rPr>
          <w:rFonts w:asciiTheme="minorBidi" w:eastAsia="Times New Roman" w:hAnsiTheme="minorBidi" w:cstheme="minorBidi"/>
          <w:b/>
          <w:bCs/>
          <w:color w:val="222222"/>
          <w:sz w:val="24"/>
          <w:szCs w:val="24"/>
          <w:lang w:bidi="he-IL"/>
        </w:rPr>
      </w:pPr>
      <w:r>
        <w:rPr>
          <w:rFonts w:asciiTheme="minorBidi" w:eastAsia="Times New Roman" w:hAnsiTheme="minorBidi" w:cstheme="minorBidi"/>
          <w:b/>
          <w:bCs/>
          <w:color w:val="222222"/>
          <w:sz w:val="24"/>
          <w:szCs w:val="24"/>
          <w:lang w:bidi="he-IL"/>
        </w:rPr>
        <w:t>By Rav Tzvi Sinensky</w:t>
      </w:r>
    </w:p>
    <w:p w14:paraId="55244C72" w14:textId="77777777" w:rsidR="00A3472E" w:rsidRDefault="00A3472E" w:rsidP="00AF6992">
      <w:pPr>
        <w:pStyle w:val="Normal1"/>
        <w:tabs>
          <w:tab w:val="left" w:pos="720"/>
        </w:tabs>
        <w:spacing w:line="240" w:lineRule="auto"/>
        <w:jc w:val="center"/>
        <w:rPr>
          <w:rFonts w:asciiTheme="minorBidi" w:hAnsiTheme="minorBidi" w:cstheme="minorBidi"/>
          <w:b/>
          <w:sz w:val="24"/>
          <w:szCs w:val="24"/>
        </w:rPr>
      </w:pPr>
    </w:p>
    <w:p w14:paraId="56B88F4E" w14:textId="77777777" w:rsidR="00A3472E" w:rsidRDefault="00A3472E" w:rsidP="00AF6992">
      <w:pPr>
        <w:pStyle w:val="Normal1"/>
        <w:spacing w:line="240" w:lineRule="auto"/>
        <w:jc w:val="both"/>
        <w:rPr>
          <w:b/>
          <w:sz w:val="24"/>
          <w:szCs w:val="24"/>
        </w:rPr>
      </w:pPr>
    </w:p>
    <w:p w14:paraId="1626ECB0" w14:textId="71E873E1" w:rsidR="00E2614A" w:rsidRPr="00E2614A" w:rsidRDefault="00A3472E" w:rsidP="00AF6992">
      <w:pPr>
        <w:pStyle w:val="Normal1"/>
        <w:spacing w:line="240" w:lineRule="auto"/>
        <w:jc w:val="center"/>
        <w:rPr>
          <w:b/>
          <w:sz w:val="24"/>
          <w:szCs w:val="24"/>
        </w:rPr>
      </w:pPr>
      <w:r w:rsidRPr="00AF6992">
        <w:rPr>
          <w:b/>
          <w:sz w:val="24"/>
          <w:szCs w:val="24"/>
        </w:rPr>
        <w:t>Shiur</w:t>
      </w:r>
      <w:r>
        <w:rPr>
          <w:b/>
          <w:sz w:val="24"/>
          <w:szCs w:val="24"/>
        </w:rPr>
        <w:t xml:space="preserve"> #30: </w:t>
      </w:r>
      <w:r w:rsidR="00E2614A" w:rsidRPr="00E2614A">
        <w:rPr>
          <w:b/>
          <w:sz w:val="24"/>
          <w:szCs w:val="24"/>
        </w:rPr>
        <w:t>Shivat Tzion: A Retrospective</w:t>
      </w:r>
    </w:p>
    <w:p w14:paraId="7C6A0A77" w14:textId="77777777" w:rsidR="00E2614A" w:rsidRDefault="00E2614A" w:rsidP="00AF6992">
      <w:pPr>
        <w:pStyle w:val="Normal1"/>
        <w:spacing w:line="240" w:lineRule="auto"/>
        <w:jc w:val="both"/>
        <w:rPr>
          <w:sz w:val="24"/>
          <w:szCs w:val="24"/>
        </w:rPr>
      </w:pPr>
    </w:p>
    <w:p w14:paraId="7DB26EAD" w14:textId="77777777" w:rsidR="00A3472E" w:rsidRDefault="00A3472E" w:rsidP="00AF6992">
      <w:pPr>
        <w:pStyle w:val="Normal1"/>
        <w:spacing w:line="240" w:lineRule="auto"/>
        <w:jc w:val="both"/>
        <w:rPr>
          <w:sz w:val="24"/>
          <w:szCs w:val="24"/>
        </w:rPr>
      </w:pPr>
    </w:p>
    <w:p w14:paraId="124BBD66" w14:textId="40503258" w:rsidR="00040E31" w:rsidRPr="00040E31" w:rsidRDefault="00757CCE" w:rsidP="00AF6992">
      <w:pPr>
        <w:pStyle w:val="Normal1"/>
        <w:spacing w:line="240" w:lineRule="auto"/>
        <w:ind w:firstLine="720"/>
        <w:jc w:val="both"/>
        <w:rPr>
          <w:sz w:val="24"/>
          <w:szCs w:val="24"/>
        </w:rPr>
      </w:pPr>
      <w:r>
        <w:rPr>
          <w:sz w:val="24"/>
          <w:szCs w:val="24"/>
        </w:rPr>
        <w:t>Having completed our study of al</w:t>
      </w:r>
      <w:r w:rsidR="00F03CBF">
        <w:rPr>
          <w:sz w:val="24"/>
          <w:szCs w:val="24"/>
        </w:rPr>
        <w:t>l</w:t>
      </w:r>
      <w:r>
        <w:rPr>
          <w:sz w:val="24"/>
          <w:szCs w:val="24"/>
        </w:rPr>
        <w:t xml:space="preserve"> the works of </w:t>
      </w:r>
      <w:r w:rsidRPr="00E14EF2">
        <w:rPr>
          <w:i/>
          <w:sz w:val="24"/>
          <w:szCs w:val="24"/>
        </w:rPr>
        <w:t>Shivat Tzion</w:t>
      </w:r>
      <w:r>
        <w:rPr>
          <w:sz w:val="24"/>
          <w:szCs w:val="24"/>
        </w:rPr>
        <w:t xml:space="preserve">, let us take a step back and consider some larger thematic questions around which these books revolve. At the chapter’s end, we will consider a number of lessons we may draw from </w:t>
      </w:r>
      <w:r w:rsidRPr="00E14EF2">
        <w:rPr>
          <w:i/>
          <w:sz w:val="24"/>
          <w:szCs w:val="24"/>
        </w:rPr>
        <w:t>Shiva</w:t>
      </w:r>
      <w:r w:rsidR="00E14EF2" w:rsidRPr="00E14EF2">
        <w:rPr>
          <w:i/>
          <w:sz w:val="24"/>
          <w:szCs w:val="24"/>
        </w:rPr>
        <w:t>t</w:t>
      </w:r>
      <w:r w:rsidRPr="00E14EF2">
        <w:rPr>
          <w:i/>
          <w:sz w:val="24"/>
          <w:szCs w:val="24"/>
        </w:rPr>
        <w:t xml:space="preserve"> Tzion </w:t>
      </w:r>
      <w:r>
        <w:rPr>
          <w:sz w:val="24"/>
          <w:szCs w:val="24"/>
        </w:rPr>
        <w:t xml:space="preserve">for the contemporary Jewish landscape.  </w:t>
      </w:r>
    </w:p>
    <w:p w14:paraId="7EAD9AF6" w14:textId="77777777" w:rsidR="00040E31" w:rsidRDefault="00040E31" w:rsidP="00AF6992">
      <w:pPr>
        <w:pStyle w:val="Normal1"/>
        <w:spacing w:line="240" w:lineRule="auto"/>
        <w:jc w:val="both"/>
        <w:rPr>
          <w:b/>
          <w:sz w:val="24"/>
          <w:szCs w:val="24"/>
          <w:u w:val="single"/>
        </w:rPr>
      </w:pPr>
    </w:p>
    <w:p w14:paraId="43907E7A" w14:textId="2CDD3D8B" w:rsidR="0098316E" w:rsidRPr="00A3472E" w:rsidRDefault="0098316E" w:rsidP="00AF6992">
      <w:pPr>
        <w:pStyle w:val="Normal1"/>
        <w:spacing w:line="240" w:lineRule="auto"/>
        <w:jc w:val="both"/>
        <w:rPr>
          <w:sz w:val="24"/>
          <w:szCs w:val="24"/>
        </w:rPr>
      </w:pPr>
      <w:r w:rsidRPr="00A3472E">
        <w:rPr>
          <w:b/>
          <w:sz w:val="24"/>
          <w:szCs w:val="24"/>
        </w:rPr>
        <w:t xml:space="preserve">One </w:t>
      </w:r>
      <w:r w:rsidRPr="00247E2E">
        <w:rPr>
          <w:b/>
          <w:i/>
          <w:iCs/>
          <w:sz w:val="24"/>
          <w:szCs w:val="24"/>
        </w:rPr>
        <w:t>Sefer</w:t>
      </w:r>
      <w:r w:rsidRPr="00A3472E">
        <w:rPr>
          <w:b/>
          <w:sz w:val="24"/>
          <w:szCs w:val="24"/>
        </w:rPr>
        <w:t xml:space="preserve"> or Two? </w:t>
      </w:r>
    </w:p>
    <w:p w14:paraId="1950E397" w14:textId="4A2F86A0" w:rsidR="0098316E" w:rsidRPr="004036B1" w:rsidRDefault="00757CCE" w:rsidP="00AF6992">
      <w:pPr>
        <w:pStyle w:val="Normal1"/>
        <w:spacing w:line="240" w:lineRule="auto"/>
        <w:ind w:firstLine="720"/>
        <w:jc w:val="both"/>
        <w:rPr>
          <w:sz w:val="24"/>
          <w:szCs w:val="24"/>
        </w:rPr>
      </w:pPr>
      <w:r>
        <w:rPr>
          <w:sz w:val="24"/>
          <w:szCs w:val="24"/>
        </w:rPr>
        <w:t xml:space="preserve">Regarding </w:t>
      </w:r>
      <w:r w:rsidRPr="00E14EF2">
        <w:rPr>
          <w:i/>
          <w:sz w:val="24"/>
          <w:szCs w:val="24"/>
        </w:rPr>
        <w:t>Ezra-Nechemia</w:t>
      </w:r>
      <w:r>
        <w:rPr>
          <w:sz w:val="24"/>
          <w:szCs w:val="24"/>
        </w:rPr>
        <w:t>, one question arises above the rest</w:t>
      </w:r>
      <w:r w:rsidR="0098316E" w:rsidRPr="004036B1">
        <w:rPr>
          <w:sz w:val="24"/>
          <w:szCs w:val="24"/>
        </w:rPr>
        <w:t xml:space="preserve">: </w:t>
      </w:r>
      <w:r w:rsidR="00247E2E">
        <w:rPr>
          <w:sz w:val="24"/>
          <w:szCs w:val="24"/>
        </w:rPr>
        <w:t>T</w:t>
      </w:r>
      <w:r w:rsidR="0098316E" w:rsidRPr="004036B1">
        <w:rPr>
          <w:sz w:val="24"/>
          <w:szCs w:val="24"/>
        </w:rPr>
        <w:t xml:space="preserve">o what extent are </w:t>
      </w:r>
      <w:r w:rsidR="00AB26CF" w:rsidRPr="00AB26CF">
        <w:rPr>
          <w:i/>
          <w:sz w:val="24"/>
          <w:szCs w:val="24"/>
        </w:rPr>
        <w:t xml:space="preserve">Ezra </w:t>
      </w:r>
      <w:r w:rsidR="00AB26CF">
        <w:rPr>
          <w:sz w:val="24"/>
          <w:szCs w:val="24"/>
        </w:rPr>
        <w:t xml:space="preserve">and </w:t>
      </w:r>
      <w:r w:rsidR="00AB26CF" w:rsidRPr="00AB26CF">
        <w:rPr>
          <w:i/>
          <w:sz w:val="24"/>
          <w:szCs w:val="24"/>
        </w:rPr>
        <w:t xml:space="preserve">Nechemia </w:t>
      </w:r>
      <w:r w:rsidR="0098316E" w:rsidRPr="004036B1">
        <w:rPr>
          <w:sz w:val="24"/>
          <w:szCs w:val="24"/>
        </w:rPr>
        <w:t xml:space="preserve">to be viewed as a single </w:t>
      </w:r>
      <w:r w:rsidR="0098316E" w:rsidRPr="004036B1">
        <w:rPr>
          <w:i/>
          <w:sz w:val="24"/>
          <w:szCs w:val="24"/>
        </w:rPr>
        <w:t>sefer</w:t>
      </w:r>
      <w:r w:rsidR="0098316E" w:rsidRPr="004036B1">
        <w:rPr>
          <w:sz w:val="24"/>
          <w:szCs w:val="24"/>
        </w:rPr>
        <w:t>?</w:t>
      </w:r>
      <w:r w:rsidR="00F17F64" w:rsidRPr="004036B1">
        <w:rPr>
          <w:sz w:val="24"/>
          <w:szCs w:val="24"/>
        </w:rPr>
        <w:t xml:space="preserve"> </w:t>
      </w:r>
      <w:r w:rsidR="00AB26CF">
        <w:rPr>
          <w:sz w:val="24"/>
          <w:szCs w:val="24"/>
        </w:rPr>
        <w:t>On the one ha</w:t>
      </w:r>
      <w:r>
        <w:rPr>
          <w:sz w:val="24"/>
          <w:szCs w:val="24"/>
        </w:rPr>
        <w:t xml:space="preserve">nd, the rabbis counted them as </w:t>
      </w:r>
      <w:r w:rsidR="006F67F7">
        <w:rPr>
          <w:sz w:val="24"/>
          <w:szCs w:val="24"/>
        </w:rPr>
        <w:t xml:space="preserve">just </w:t>
      </w:r>
      <w:r>
        <w:rPr>
          <w:sz w:val="24"/>
          <w:szCs w:val="24"/>
        </w:rPr>
        <w:t>one of the Bible’s 24 books</w:t>
      </w:r>
      <w:r w:rsidR="00AB26CF">
        <w:rPr>
          <w:sz w:val="24"/>
          <w:szCs w:val="24"/>
        </w:rPr>
        <w:t xml:space="preserve">; </w:t>
      </w:r>
      <w:r>
        <w:rPr>
          <w:sz w:val="24"/>
          <w:szCs w:val="24"/>
        </w:rPr>
        <w:t xml:space="preserve">on the other hand, the two sections carry separate </w:t>
      </w:r>
      <w:r w:rsidR="00AB26CF">
        <w:rPr>
          <w:sz w:val="24"/>
          <w:szCs w:val="24"/>
        </w:rPr>
        <w:t>names.</w:t>
      </w:r>
      <w:r w:rsidR="00A819D4">
        <w:rPr>
          <w:sz w:val="24"/>
          <w:szCs w:val="24"/>
        </w:rPr>
        <w:t xml:space="preserve"> This tension regarding the enumeration and naming of the works is emblematic of the larger</w:t>
      </w:r>
      <w:r w:rsidR="00F17F64" w:rsidRPr="004036B1">
        <w:rPr>
          <w:sz w:val="24"/>
          <w:szCs w:val="24"/>
        </w:rPr>
        <w:t xml:space="preserve"> conflicting </w:t>
      </w:r>
      <w:r>
        <w:rPr>
          <w:sz w:val="24"/>
          <w:szCs w:val="24"/>
        </w:rPr>
        <w:t xml:space="preserve">body of evidence we have observed throughout our study. </w:t>
      </w:r>
    </w:p>
    <w:p w14:paraId="4F37E674" w14:textId="77777777" w:rsidR="0098316E" w:rsidRPr="004036B1" w:rsidRDefault="0098316E" w:rsidP="00AF6992">
      <w:pPr>
        <w:pStyle w:val="Normal1"/>
        <w:spacing w:line="240" w:lineRule="auto"/>
        <w:jc w:val="both"/>
        <w:rPr>
          <w:sz w:val="24"/>
          <w:szCs w:val="24"/>
        </w:rPr>
      </w:pPr>
    </w:p>
    <w:p w14:paraId="435AEF1A" w14:textId="6A32F77E" w:rsidR="009144F6" w:rsidRPr="004036B1" w:rsidRDefault="00757CCE" w:rsidP="00AF6992">
      <w:pPr>
        <w:pStyle w:val="Normal1"/>
        <w:spacing w:line="240" w:lineRule="auto"/>
        <w:ind w:firstLine="720"/>
        <w:jc w:val="both"/>
        <w:rPr>
          <w:sz w:val="24"/>
          <w:szCs w:val="24"/>
        </w:rPr>
      </w:pPr>
      <w:r>
        <w:rPr>
          <w:sz w:val="24"/>
          <w:szCs w:val="24"/>
        </w:rPr>
        <w:t xml:space="preserve">There are significant indications that </w:t>
      </w:r>
      <w:r w:rsidR="0098316E" w:rsidRPr="004036B1">
        <w:rPr>
          <w:sz w:val="24"/>
          <w:szCs w:val="24"/>
        </w:rPr>
        <w:t xml:space="preserve">the two </w:t>
      </w:r>
      <w:r w:rsidR="00247E2E">
        <w:rPr>
          <w:sz w:val="24"/>
          <w:szCs w:val="24"/>
        </w:rPr>
        <w:t>should</w:t>
      </w:r>
      <w:r w:rsidR="0098316E" w:rsidRPr="004036B1">
        <w:rPr>
          <w:sz w:val="24"/>
          <w:szCs w:val="24"/>
        </w:rPr>
        <w:t xml:space="preserve"> be</w:t>
      </w:r>
      <w:r w:rsidR="00442E37">
        <w:rPr>
          <w:sz w:val="24"/>
          <w:szCs w:val="24"/>
        </w:rPr>
        <w:t xml:space="preserve"> viewed as separate</w:t>
      </w:r>
      <w:r w:rsidR="0098316E" w:rsidRPr="004036B1">
        <w:rPr>
          <w:sz w:val="24"/>
          <w:szCs w:val="24"/>
        </w:rPr>
        <w:t xml:space="preserve">. </w:t>
      </w:r>
      <w:r w:rsidR="00E03C90">
        <w:rPr>
          <w:sz w:val="24"/>
          <w:szCs w:val="24"/>
        </w:rPr>
        <w:t>N</w:t>
      </w:r>
      <w:r w:rsidR="00F45D33" w:rsidRPr="004036B1">
        <w:rPr>
          <w:sz w:val="24"/>
          <w:szCs w:val="24"/>
        </w:rPr>
        <w:t xml:space="preserve">o other </w:t>
      </w:r>
      <w:r w:rsidR="00F45D33" w:rsidRPr="00442E37">
        <w:rPr>
          <w:i/>
          <w:sz w:val="24"/>
          <w:szCs w:val="24"/>
        </w:rPr>
        <w:t xml:space="preserve">sefer </w:t>
      </w:r>
      <w:r w:rsidR="00F45D33" w:rsidRPr="004036B1">
        <w:rPr>
          <w:sz w:val="24"/>
          <w:szCs w:val="24"/>
        </w:rPr>
        <w:t xml:space="preserve">in </w:t>
      </w:r>
      <w:r w:rsidR="00F45D33" w:rsidRPr="00247E2E">
        <w:rPr>
          <w:i/>
          <w:iCs/>
          <w:sz w:val="24"/>
          <w:szCs w:val="24"/>
        </w:rPr>
        <w:t>Tanakh</w:t>
      </w:r>
      <w:r w:rsidR="00F45D33" w:rsidRPr="004036B1">
        <w:rPr>
          <w:sz w:val="24"/>
          <w:szCs w:val="24"/>
        </w:rPr>
        <w:t xml:space="preserve"> </w:t>
      </w:r>
      <w:r w:rsidR="00247E2E">
        <w:rPr>
          <w:sz w:val="24"/>
          <w:szCs w:val="24"/>
        </w:rPr>
        <w:t>is comprised of</w:t>
      </w:r>
      <w:r w:rsidR="00442E37">
        <w:rPr>
          <w:sz w:val="24"/>
          <w:szCs w:val="24"/>
        </w:rPr>
        <w:t xml:space="preserve"> </w:t>
      </w:r>
      <w:r w:rsidR="00F45D33" w:rsidRPr="004036B1">
        <w:rPr>
          <w:sz w:val="24"/>
          <w:szCs w:val="24"/>
        </w:rPr>
        <w:t xml:space="preserve">two </w:t>
      </w:r>
      <w:r>
        <w:rPr>
          <w:sz w:val="24"/>
          <w:szCs w:val="24"/>
        </w:rPr>
        <w:t xml:space="preserve">distinct </w:t>
      </w:r>
      <w:r w:rsidR="00F45D33" w:rsidRPr="004036B1">
        <w:rPr>
          <w:sz w:val="24"/>
          <w:szCs w:val="24"/>
        </w:rPr>
        <w:t xml:space="preserve">sections </w:t>
      </w:r>
      <w:r w:rsidR="006F67F7">
        <w:rPr>
          <w:sz w:val="24"/>
          <w:szCs w:val="24"/>
        </w:rPr>
        <w:t>featuring</w:t>
      </w:r>
      <w:r w:rsidR="00442E37">
        <w:rPr>
          <w:sz w:val="24"/>
          <w:szCs w:val="24"/>
        </w:rPr>
        <w:t xml:space="preserve"> </w:t>
      </w:r>
      <w:r>
        <w:rPr>
          <w:sz w:val="24"/>
          <w:szCs w:val="24"/>
        </w:rPr>
        <w:t xml:space="preserve">separate </w:t>
      </w:r>
      <w:r w:rsidR="00F45D33" w:rsidRPr="004036B1">
        <w:rPr>
          <w:sz w:val="24"/>
          <w:szCs w:val="24"/>
        </w:rPr>
        <w:t xml:space="preserve">protagonists. </w:t>
      </w:r>
      <w:r w:rsidR="00E03C90">
        <w:rPr>
          <w:sz w:val="24"/>
          <w:szCs w:val="24"/>
        </w:rPr>
        <w:t>Moreover, w</w:t>
      </w:r>
      <w:r w:rsidR="0098316E" w:rsidRPr="004036B1">
        <w:rPr>
          <w:sz w:val="24"/>
          <w:szCs w:val="24"/>
        </w:rPr>
        <w:t xml:space="preserve">ith the exception of chapter </w:t>
      </w:r>
      <w:r w:rsidR="00247E2E">
        <w:rPr>
          <w:sz w:val="24"/>
          <w:szCs w:val="24"/>
        </w:rPr>
        <w:t>8</w:t>
      </w:r>
      <w:r w:rsidR="0098316E" w:rsidRPr="004036B1">
        <w:rPr>
          <w:sz w:val="24"/>
          <w:szCs w:val="24"/>
        </w:rPr>
        <w:t xml:space="preserve"> of </w:t>
      </w:r>
      <w:r w:rsidR="0098316E" w:rsidRPr="004036B1">
        <w:rPr>
          <w:i/>
          <w:sz w:val="24"/>
          <w:szCs w:val="24"/>
        </w:rPr>
        <w:t>Nechemia</w:t>
      </w:r>
      <w:r w:rsidR="0098316E" w:rsidRPr="004036B1">
        <w:rPr>
          <w:sz w:val="24"/>
          <w:szCs w:val="24"/>
        </w:rPr>
        <w:t>, Ezra and Nechemia operate entirely independently and do not appear in one another’s book.</w:t>
      </w:r>
      <w:r w:rsidR="00F45D33" w:rsidRPr="004036B1">
        <w:rPr>
          <w:sz w:val="24"/>
          <w:szCs w:val="24"/>
        </w:rPr>
        <w:t xml:space="preserve"> </w:t>
      </w:r>
      <w:r w:rsidR="002C54D8">
        <w:rPr>
          <w:sz w:val="24"/>
          <w:szCs w:val="24"/>
        </w:rPr>
        <w:t>Indeed, a</w:t>
      </w:r>
      <w:r w:rsidR="002C54D8" w:rsidRPr="004036B1">
        <w:rPr>
          <w:sz w:val="24"/>
          <w:szCs w:val="24"/>
        </w:rPr>
        <w:t xml:space="preserve">ccording to the scholarly view, the first six chapters </w:t>
      </w:r>
      <w:r>
        <w:rPr>
          <w:sz w:val="24"/>
          <w:szCs w:val="24"/>
        </w:rPr>
        <w:t xml:space="preserve">of </w:t>
      </w:r>
      <w:r w:rsidRPr="00757CCE">
        <w:rPr>
          <w:i/>
          <w:sz w:val="24"/>
          <w:szCs w:val="24"/>
        </w:rPr>
        <w:t xml:space="preserve">Ezra </w:t>
      </w:r>
      <w:r w:rsidR="002C54D8" w:rsidRPr="004036B1">
        <w:rPr>
          <w:sz w:val="24"/>
          <w:szCs w:val="24"/>
        </w:rPr>
        <w:t xml:space="preserve">clearly stand chronologically apart from the remainder of </w:t>
      </w:r>
      <w:r w:rsidR="002C54D8" w:rsidRPr="00757CCE">
        <w:rPr>
          <w:i/>
          <w:sz w:val="24"/>
          <w:szCs w:val="24"/>
        </w:rPr>
        <w:t xml:space="preserve">Ezra </w:t>
      </w:r>
      <w:r w:rsidR="002C54D8" w:rsidRPr="004036B1">
        <w:rPr>
          <w:sz w:val="24"/>
          <w:szCs w:val="24"/>
        </w:rPr>
        <w:t xml:space="preserve">and the entirety of </w:t>
      </w:r>
      <w:r w:rsidR="002C54D8" w:rsidRPr="00757CCE">
        <w:rPr>
          <w:i/>
          <w:sz w:val="24"/>
          <w:szCs w:val="24"/>
        </w:rPr>
        <w:t>Nechemia</w:t>
      </w:r>
      <w:r w:rsidR="002C54D8" w:rsidRPr="004036B1">
        <w:rPr>
          <w:sz w:val="24"/>
          <w:szCs w:val="24"/>
        </w:rPr>
        <w:t xml:space="preserve">. </w:t>
      </w:r>
      <w:r w:rsidR="006D1AFE">
        <w:rPr>
          <w:sz w:val="24"/>
          <w:szCs w:val="24"/>
        </w:rPr>
        <w:t xml:space="preserve">They also </w:t>
      </w:r>
      <w:r w:rsidR="00647EB3">
        <w:rPr>
          <w:sz w:val="24"/>
          <w:szCs w:val="24"/>
        </w:rPr>
        <w:t xml:space="preserve">differ </w:t>
      </w:r>
      <w:r w:rsidR="006D1AFE">
        <w:rPr>
          <w:sz w:val="24"/>
          <w:szCs w:val="24"/>
        </w:rPr>
        <w:t>in their lit</w:t>
      </w:r>
      <w:r w:rsidR="006F67F7">
        <w:rPr>
          <w:sz w:val="24"/>
          <w:szCs w:val="24"/>
        </w:rPr>
        <w:t>erary styles:</w:t>
      </w:r>
      <w:r w:rsidR="006D1AFE">
        <w:rPr>
          <w:sz w:val="24"/>
          <w:szCs w:val="24"/>
        </w:rPr>
        <w:t xml:space="preserve"> </w:t>
      </w:r>
      <w:r w:rsidR="0098316E" w:rsidRPr="006D1AFE">
        <w:rPr>
          <w:i/>
          <w:sz w:val="24"/>
          <w:szCs w:val="24"/>
        </w:rPr>
        <w:t xml:space="preserve">Ezra </w:t>
      </w:r>
      <w:r w:rsidR="0098316E" w:rsidRPr="004036B1">
        <w:rPr>
          <w:sz w:val="24"/>
          <w:szCs w:val="24"/>
        </w:rPr>
        <w:t>is</w:t>
      </w:r>
      <w:r w:rsidR="006F67F7">
        <w:rPr>
          <w:sz w:val="24"/>
          <w:szCs w:val="24"/>
        </w:rPr>
        <w:t xml:space="preserve"> presented</w:t>
      </w:r>
      <w:r w:rsidR="0098316E" w:rsidRPr="004036B1">
        <w:rPr>
          <w:sz w:val="24"/>
          <w:szCs w:val="24"/>
        </w:rPr>
        <w:t xml:space="preserve"> overwhelmingly as a third-person account, whereas </w:t>
      </w:r>
      <w:r w:rsidR="0098316E" w:rsidRPr="006D1AFE">
        <w:rPr>
          <w:i/>
          <w:sz w:val="24"/>
          <w:szCs w:val="24"/>
        </w:rPr>
        <w:t xml:space="preserve">Nechemia </w:t>
      </w:r>
      <w:r w:rsidR="0098316E" w:rsidRPr="004036B1">
        <w:rPr>
          <w:sz w:val="24"/>
          <w:szCs w:val="24"/>
        </w:rPr>
        <w:t xml:space="preserve">is predominantly </w:t>
      </w:r>
      <w:r w:rsidR="006F67F7">
        <w:rPr>
          <w:sz w:val="24"/>
          <w:szCs w:val="24"/>
        </w:rPr>
        <w:t xml:space="preserve">written </w:t>
      </w:r>
      <w:r w:rsidR="0098316E" w:rsidRPr="004036B1">
        <w:rPr>
          <w:sz w:val="24"/>
          <w:szCs w:val="24"/>
        </w:rPr>
        <w:t>in the first person.</w:t>
      </w:r>
      <w:r w:rsidR="00F45D33" w:rsidRPr="004036B1">
        <w:rPr>
          <w:sz w:val="24"/>
          <w:szCs w:val="24"/>
        </w:rPr>
        <w:t xml:space="preserve"> Finally, there is good reason to suspect (</w:t>
      </w:r>
      <w:r w:rsidR="00FB03EE">
        <w:rPr>
          <w:sz w:val="24"/>
          <w:szCs w:val="24"/>
        </w:rPr>
        <w:t xml:space="preserve">see </w:t>
      </w:r>
      <w:r w:rsidR="00FB03EE" w:rsidRPr="00FB03EE">
        <w:rPr>
          <w:i/>
          <w:sz w:val="24"/>
          <w:szCs w:val="24"/>
        </w:rPr>
        <w:t>Bava Batra</w:t>
      </w:r>
      <w:r w:rsidR="00FB03EE">
        <w:rPr>
          <w:sz w:val="24"/>
          <w:szCs w:val="24"/>
        </w:rPr>
        <w:t xml:space="preserve"> 14b</w:t>
      </w:r>
      <w:r w:rsidR="00F45D33" w:rsidRPr="004036B1">
        <w:rPr>
          <w:sz w:val="24"/>
          <w:szCs w:val="24"/>
        </w:rPr>
        <w:t xml:space="preserve">) that </w:t>
      </w:r>
      <w:r w:rsidR="00F45D33" w:rsidRPr="00B10A4C">
        <w:rPr>
          <w:i/>
          <w:sz w:val="24"/>
          <w:szCs w:val="24"/>
        </w:rPr>
        <w:t xml:space="preserve">Ezra </w:t>
      </w:r>
      <w:r w:rsidR="00F45D33" w:rsidRPr="004036B1">
        <w:rPr>
          <w:sz w:val="24"/>
          <w:szCs w:val="24"/>
        </w:rPr>
        <w:t xml:space="preserve">and </w:t>
      </w:r>
      <w:r w:rsidR="00F45D33" w:rsidRPr="00B10A4C">
        <w:rPr>
          <w:i/>
          <w:sz w:val="24"/>
          <w:szCs w:val="24"/>
        </w:rPr>
        <w:t>Nechemia</w:t>
      </w:r>
      <w:r w:rsidR="00F45D33" w:rsidRPr="004036B1">
        <w:rPr>
          <w:sz w:val="24"/>
          <w:szCs w:val="24"/>
        </w:rPr>
        <w:t xml:space="preserve"> were not composed by the same</w:t>
      </w:r>
      <w:r w:rsidR="00647EB3">
        <w:rPr>
          <w:sz w:val="24"/>
          <w:szCs w:val="24"/>
        </w:rPr>
        <w:t xml:space="preserve"> individual</w:t>
      </w:r>
      <w:r w:rsidR="00F45D33" w:rsidRPr="004036B1">
        <w:rPr>
          <w:sz w:val="24"/>
          <w:szCs w:val="24"/>
        </w:rPr>
        <w:t>, strengthening the position that th</w:t>
      </w:r>
      <w:r w:rsidR="00FB03EE">
        <w:rPr>
          <w:sz w:val="24"/>
          <w:szCs w:val="24"/>
        </w:rPr>
        <w:t>ey are to be viewed as</w:t>
      </w:r>
      <w:r w:rsidR="00F03CAB">
        <w:rPr>
          <w:sz w:val="24"/>
          <w:szCs w:val="24"/>
        </w:rPr>
        <w:t xml:space="preserve"> separate works</w:t>
      </w:r>
      <w:r w:rsidR="00FB03EE">
        <w:rPr>
          <w:sz w:val="24"/>
          <w:szCs w:val="24"/>
        </w:rPr>
        <w:t>.</w:t>
      </w:r>
    </w:p>
    <w:p w14:paraId="35D1C137" w14:textId="77777777" w:rsidR="00F45D33" w:rsidRPr="004036B1" w:rsidRDefault="00F45D33" w:rsidP="00AF6992">
      <w:pPr>
        <w:pStyle w:val="Normal1"/>
        <w:spacing w:line="240" w:lineRule="auto"/>
        <w:jc w:val="both"/>
        <w:rPr>
          <w:sz w:val="24"/>
          <w:szCs w:val="24"/>
        </w:rPr>
      </w:pPr>
    </w:p>
    <w:p w14:paraId="2C410DAC" w14:textId="193608C3" w:rsidR="0098316E" w:rsidRPr="004036B1" w:rsidRDefault="00247E2E" w:rsidP="00AF6992">
      <w:pPr>
        <w:pStyle w:val="Normal1"/>
        <w:spacing w:line="240" w:lineRule="auto"/>
        <w:ind w:firstLine="720"/>
        <w:jc w:val="both"/>
        <w:rPr>
          <w:sz w:val="24"/>
          <w:szCs w:val="24"/>
        </w:rPr>
      </w:pPr>
      <w:r>
        <w:rPr>
          <w:sz w:val="24"/>
          <w:szCs w:val="24"/>
        </w:rPr>
        <w:t>It i</w:t>
      </w:r>
      <w:r w:rsidR="003D1611">
        <w:rPr>
          <w:sz w:val="24"/>
          <w:szCs w:val="24"/>
        </w:rPr>
        <w:t xml:space="preserve">s important, however, not to overstate these proofs. </w:t>
      </w:r>
      <w:r w:rsidR="009170EF" w:rsidRPr="004036B1">
        <w:rPr>
          <w:sz w:val="24"/>
          <w:szCs w:val="24"/>
        </w:rPr>
        <w:t xml:space="preserve">Although Ezra and Nechemia largely operate independently of one another, they </w:t>
      </w:r>
      <w:r w:rsidR="009170EF" w:rsidRPr="00247E2E">
        <w:rPr>
          <w:b/>
          <w:bCs/>
          <w:iCs/>
          <w:sz w:val="24"/>
          <w:szCs w:val="24"/>
        </w:rPr>
        <w:t>are</w:t>
      </w:r>
      <w:r w:rsidR="009170EF" w:rsidRPr="006040B9">
        <w:rPr>
          <w:i/>
          <w:sz w:val="24"/>
          <w:szCs w:val="24"/>
        </w:rPr>
        <w:t xml:space="preserve"> </w:t>
      </w:r>
      <w:r w:rsidR="0098316E" w:rsidRPr="004036B1">
        <w:rPr>
          <w:sz w:val="24"/>
          <w:szCs w:val="24"/>
        </w:rPr>
        <w:t xml:space="preserve">active together in </w:t>
      </w:r>
      <w:r w:rsidR="0098316E" w:rsidRPr="004036B1">
        <w:rPr>
          <w:i/>
          <w:sz w:val="24"/>
          <w:szCs w:val="24"/>
        </w:rPr>
        <w:t xml:space="preserve">Nechemia </w:t>
      </w:r>
      <w:r w:rsidR="0098316E" w:rsidRPr="004036B1">
        <w:rPr>
          <w:sz w:val="24"/>
          <w:szCs w:val="24"/>
        </w:rPr>
        <w:t xml:space="preserve">chapter </w:t>
      </w:r>
      <w:r>
        <w:rPr>
          <w:sz w:val="24"/>
          <w:szCs w:val="24"/>
        </w:rPr>
        <w:t>8</w:t>
      </w:r>
      <w:r w:rsidR="0098316E" w:rsidRPr="004036B1">
        <w:rPr>
          <w:sz w:val="24"/>
          <w:szCs w:val="24"/>
        </w:rPr>
        <w:t xml:space="preserve">. </w:t>
      </w:r>
      <w:r w:rsidR="006040B9">
        <w:rPr>
          <w:sz w:val="24"/>
          <w:szCs w:val="24"/>
        </w:rPr>
        <w:t xml:space="preserve">And </w:t>
      </w:r>
      <w:r w:rsidR="0098316E" w:rsidRPr="004036B1">
        <w:rPr>
          <w:sz w:val="24"/>
          <w:szCs w:val="24"/>
        </w:rPr>
        <w:t>while it is true that Ezra and Nechemia do write in somewhat contrasting styles, there are instances in which Ezra writes in the first person and Nechemia in the third. In</w:t>
      </w:r>
      <w:r w:rsidR="006040B9">
        <w:rPr>
          <w:sz w:val="24"/>
          <w:szCs w:val="24"/>
        </w:rPr>
        <w:t xml:space="preserve"> fact</w:t>
      </w:r>
      <w:r w:rsidR="0098316E" w:rsidRPr="004036B1">
        <w:rPr>
          <w:sz w:val="24"/>
          <w:szCs w:val="24"/>
        </w:rPr>
        <w:t xml:space="preserve">, a closer </w:t>
      </w:r>
      <w:r w:rsidR="006040B9">
        <w:rPr>
          <w:sz w:val="24"/>
          <w:szCs w:val="24"/>
        </w:rPr>
        <w:t xml:space="preserve">examination of </w:t>
      </w:r>
      <w:r w:rsidR="0098316E" w:rsidRPr="006040B9">
        <w:rPr>
          <w:i/>
          <w:sz w:val="24"/>
          <w:szCs w:val="24"/>
        </w:rPr>
        <w:t xml:space="preserve">Ezra </w:t>
      </w:r>
      <w:r w:rsidR="0098316E" w:rsidRPr="004036B1">
        <w:rPr>
          <w:sz w:val="24"/>
          <w:szCs w:val="24"/>
        </w:rPr>
        <w:t xml:space="preserve">reveals that he writes in the first person for half the chapters </w:t>
      </w:r>
      <w:r w:rsidR="006040B9">
        <w:rPr>
          <w:sz w:val="24"/>
          <w:szCs w:val="24"/>
        </w:rPr>
        <w:t>in which he appears (8-9</w:t>
      </w:r>
      <w:r w:rsidR="0098316E" w:rsidRPr="004036B1">
        <w:rPr>
          <w:sz w:val="24"/>
          <w:szCs w:val="24"/>
        </w:rPr>
        <w:t xml:space="preserve">). On the other hand, chapters 8-12 of </w:t>
      </w:r>
      <w:r w:rsidR="0098316E" w:rsidRPr="004036B1">
        <w:rPr>
          <w:i/>
          <w:sz w:val="24"/>
          <w:szCs w:val="24"/>
        </w:rPr>
        <w:t xml:space="preserve">Nechemia </w:t>
      </w:r>
      <w:r w:rsidR="0098316E" w:rsidRPr="004036B1">
        <w:rPr>
          <w:sz w:val="24"/>
          <w:szCs w:val="24"/>
        </w:rPr>
        <w:t xml:space="preserve">refer </w:t>
      </w:r>
      <w:r w:rsidR="006040B9">
        <w:rPr>
          <w:sz w:val="24"/>
          <w:szCs w:val="24"/>
        </w:rPr>
        <w:t>to the book’s protagonist</w:t>
      </w:r>
      <w:r w:rsidR="0098316E" w:rsidRPr="004036B1">
        <w:rPr>
          <w:sz w:val="24"/>
          <w:szCs w:val="24"/>
        </w:rPr>
        <w:t xml:space="preserve"> in the third person</w:t>
      </w:r>
      <w:r w:rsidR="00252482">
        <w:rPr>
          <w:sz w:val="24"/>
          <w:szCs w:val="24"/>
        </w:rPr>
        <w:t xml:space="preserve">. Moreover, the very fact that major sections of both books are </w:t>
      </w:r>
      <w:r w:rsidR="00252482">
        <w:rPr>
          <w:sz w:val="24"/>
          <w:szCs w:val="24"/>
        </w:rPr>
        <w:lastRenderedPageBreak/>
        <w:t>written as memoirs –</w:t>
      </w:r>
      <w:r>
        <w:rPr>
          <w:sz w:val="24"/>
          <w:szCs w:val="24"/>
        </w:rPr>
        <w:t xml:space="preserve"> </w:t>
      </w:r>
      <w:r w:rsidR="00252482">
        <w:rPr>
          <w:sz w:val="24"/>
          <w:szCs w:val="24"/>
        </w:rPr>
        <w:t xml:space="preserve">highly unusual in </w:t>
      </w:r>
      <w:r w:rsidR="00252482" w:rsidRPr="00247E2E">
        <w:rPr>
          <w:i/>
          <w:iCs/>
          <w:sz w:val="24"/>
          <w:szCs w:val="24"/>
        </w:rPr>
        <w:t>Tanakh</w:t>
      </w:r>
      <w:r w:rsidR="00252482">
        <w:rPr>
          <w:sz w:val="24"/>
          <w:szCs w:val="24"/>
        </w:rPr>
        <w:t xml:space="preserve"> –</w:t>
      </w:r>
      <w:r w:rsidR="009C00E4">
        <w:rPr>
          <w:sz w:val="24"/>
          <w:szCs w:val="24"/>
        </w:rPr>
        <w:t xml:space="preserve"> </w:t>
      </w:r>
      <w:r w:rsidR="00252482">
        <w:rPr>
          <w:sz w:val="24"/>
          <w:szCs w:val="24"/>
        </w:rPr>
        <w:t>tie</w:t>
      </w:r>
      <w:r w:rsidR="009C00E4">
        <w:rPr>
          <w:sz w:val="24"/>
          <w:szCs w:val="24"/>
        </w:rPr>
        <w:t>s</w:t>
      </w:r>
      <w:r w:rsidR="00252482">
        <w:rPr>
          <w:sz w:val="24"/>
          <w:szCs w:val="24"/>
        </w:rPr>
        <w:t xml:space="preserve"> them together even more closely. </w:t>
      </w:r>
    </w:p>
    <w:p w14:paraId="6FCA1A1B" w14:textId="77777777" w:rsidR="00784B05" w:rsidRPr="004036B1" w:rsidRDefault="00784B05" w:rsidP="00AF6992">
      <w:pPr>
        <w:pStyle w:val="Normal1"/>
        <w:spacing w:line="240" w:lineRule="auto"/>
        <w:jc w:val="both"/>
        <w:rPr>
          <w:sz w:val="24"/>
          <w:szCs w:val="24"/>
        </w:rPr>
      </w:pPr>
    </w:p>
    <w:p w14:paraId="56B63AD4" w14:textId="7720DA3E" w:rsidR="0098316E" w:rsidRPr="004036B1" w:rsidRDefault="009C00E4" w:rsidP="00AF6992">
      <w:pPr>
        <w:pStyle w:val="Normal1"/>
        <w:spacing w:line="240" w:lineRule="auto"/>
        <w:ind w:firstLine="720"/>
        <w:jc w:val="both"/>
        <w:rPr>
          <w:sz w:val="24"/>
          <w:szCs w:val="24"/>
        </w:rPr>
      </w:pPr>
      <w:r>
        <w:rPr>
          <w:sz w:val="24"/>
          <w:szCs w:val="24"/>
        </w:rPr>
        <w:t xml:space="preserve">There is </w:t>
      </w:r>
      <w:r w:rsidR="009C46CC">
        <w:rPr>
          <w:sz w:val="24"/>
          <w:szCs w:val="24"/>
        </w:rPr>
        <w:t>a</w:t>
      </w:r>
      <w:r w:rsidR="00252482">
        <w:rPr>
          <w:sz w:val="24"/>
          <w:szCs w:val="24"/>
        </w:rPr>
        <w:t xml:space="preserve">dditional evidence linking the two </w:t>
      </w:r>
      <w:r w:rsidR="009C46CC">
        <w:rPr>
          <w:sz w:val="24"/>
          <w:szCs w:val="24"/>
        </w:rPr>
        <w:t>books</w:t>
      </w:r>
      <w:r w:rsidR="0098316E" w:rsidRPr="004036B1">
        <w:rPr>
          <w:sz w:val="24"/>
          <w:szCs w:val="24"/>
        </w:rPr>
        <w:t xml:space="preserve">. </w:t>
      </w:r>
      <w:r w:rsidR="009C46CC">
        <w:rPr>
          <w:sz w:val="24"/>
          <w:szCs w:val="24"/>
        </w:rPr>
        <w:t>N</w:t>
      </w:r>
      <w:r w:rsidR="0098316E" w:rsidRPr="004036B1">
        <w:rPr>
          <w:sz w:val="24"/>
          <w:szCs w:val="24"/>
        </w:rPr>
        <w:t xml:space="preserve">umerous phrases </w:t>
      </w:r>
      <w:r w:rsidR="009C46CC">
        <w:rPr>
          <w:sz w:val="24"/>
          <w:szCs w:val="24"/>
        </w:rPr>
        <w:t xml:space="preserve">in </w:t>
      </w:r>
      <w:r w:rsidR="0098316E" w:rsidRPr="004036B1">
        <w:rPr>
          <w:i/>
          <w:sz w:val="24"/>
          <w:szCs w:val="24"/>
        </w:rPr>
        <w:t>Ezra</w:t>
      </w:r>
      <w:r w:rsidR="0098316E" w:rsidRPr="004036B1">
        <w:rPr>
          <w:sz w:val="24"/>
          <w:szCs w:val="24"/>
        </w:rPr>
        <w:t xml:space="preserve"> and </w:t>
      </w:r>
      <w:r w:rsidR="0098316E" w:rsidRPr="004036B1">
        <w:rPr>
          <w:i/>
          <w:sz w:val="24"/>
          <w:szCs w:val="24"/>
        </w:rPr>
        <w:t>Nechemia</w:t>
      </w:r>
      <w:r>
        <w:rPr>
          <w:sz w:val="24"/>
          <w:szCs w:val="24"/>
        </w:rPr>
        <w:t xml:space="preserve"> appear </w:t>
      </w:r>
      <w:r w:rsidR="0098316E" w:rsidRPr="004036B1">
        <w:rPr>
          <w:sz w:val="24"/>
          <w:szCs w:val="24"/>
        </w:rPr>
        <w:t xml:space="preserve">nowhere else in </w:t>
      </w:r>
      <w:r w:rsidR="0098316E" w:rsidRPr="00247E2E">
        <w:rPr>
          <w:i/>
          <w:iCs/>
          <w:sz w:val="24"/>
          <w:szCs w:val="24"/>
        </w:rPr>
        <w:t>Tanakh</w:t>
      </w:r>
      <w:r w:rsidR="0098316E" w:rsidRPr="004036B1">
        <w:rPr>
          <w:sz w:val="24"/>
          <w:szCs w:val="24"/>
        </w:rPr>
        <w:t xml:space="preserve">. </w:t>
      </w:r>
      <w:r w:rsidR="007143D5">
        <w:rPr>
          <w:sz w:val="24"/>
          <w:szCs w:val="24"/>
        </w:rPr>
        <w:t xml:space="preserve">We previously noted the repetition of </w:t>
      </w:r>
      <w:r w:rsidR="0098316E" w:rsidRPr="004036B1">
        <w:rPr>
          <w:sz w:val="24"/>
          <w:szCs w:val="24"/>
        </w:rPr>
        <w:t xml:space="preserve">the term </w:t>
      </w:r>
      <w:r w:rsidR="00247E2E">
        <w:rPr>
          <w:sz w:val="24"/>
          <w:szCs w:val="24"/>
        </w:rPr>
        <w:t>“</w:t>
      </w:r>
      <w:r w:rsidR="0098316E" w:rsidRPr="004036B1">
        <w:rPr>
          <w:i/>
          <w:sz w:val="24"/>
          <w:szCs w:val="24"/>
        </w:rPr>
        <w:t>yad Elokim le-tova</w:t>
      </w:r>
      <w:r w:rsidR="0098316E" w:rsidRPr="004036B1">
        <w:rPr>
          <w:sz w:val="24"/>
          <w:szCs w:val="24"/>
        </w:rPr>
        <w:t>,</w:t>
      </w:r>
      <w:r w:rsidR="00247E2E">
        <w:rPr>
          <w:sz w:val="24"/>
          <w:szCs w:val="24"/>
        </w:rPr>
        <w:t>”</w:t>
      </w:r>
      <w:r w:rsidR="0098316E" w:rsidRPr="004036B1">
        <w:rPr>
          <w:sz w:val="24"/>
          <w:szCs w:val="24"/>
        </w:rPr>
        <w:t xml:space="preserve"> a phrase emphasizing God’s providence, which </w:t>
      </w:r>
      <w:r>
        <w:rPr>
          <w:sz w:val="24"/>
          <w:szCs w:val="24"/>
        </w:rPr>
        <w:t xml:space="preserve">occurs </w:t>
      </w:r>
      <w:r w:rsidR="0098316E" w:rsidRPr="004036B1">
        <w:rPr>
          <w:sz w:val="24"/>
          <w:szCs w:val="24"/>
        </w:rPr>
        <w:t xml:space="preserve">in </w:t>
      </w:r>
      <w:r w:rsidR="0098316E" w:rsidRPr="004036B1">
        <w:rPr>
          <w:i/>
          <w:sz w:val="24"/>
          <w:szCs w:val="24"/>
        </w:rPr>
        <w:t xml:space="preserve">Ezra </w:t>
      </w:r>
      <w:r w:rsidR="0098316E" w:rsidRPr="004036B1">
        <w:rPr>
          <w:color w:val="222222"/>
          <w:sz w:val="24"/>
          <w:szCs w:val="24"/>
        </w:rPr>
        <w:t xml:space="preserve">7:6, 7:28, 8:18, 8:22, 8:31 and </w:t>
      </w:r>
      <w:r w:rsidR="0098316E" w:rsidRPr="004036B1">
        <w:rPr>
          <w:i/>
          <w:color w:val="222222"/>
          <w:sz w:val="24"/>
          <w:szCs w:val="24"/>
        </w:rPr>
        <w:t>Nechemia</w:t>
      </w:r>
      <w:r w:rsidR="0098316E" w:rsidRPr="004036B1">
        <w:rPr>
          <w:color w:val="222222"/>
          <w:sz w:val="24"/>
          <w:szCs w:val="24"/>
        </w:rPr>
        <w:t xml:space="preserve"> 2:18.</w:t>
      </w:r>
      <w:r w:rsidR="00247E2E">
        <w:rPr>
          <w:rStyle w:val="FootnoteReference"/>
          <w:color w:val="222222"/>
          <w:sz w:val="24"/>
          <w:szCs w:val="24"/>
        </w:rPr>
        <w:footnoteReference w:id="1"/>
      </w:r>
      <w:r w:rsidR="0098316E" w:rsidRPr="004036B1">
        <w:rPr>
          <w:color w:val="222222"/>
          <w:sz w:val="24"/>
          <w:szCs w:val="24"/>
        </w:rPr>
        <w:t xml:space="preserve"> Numerous other</w:t>
      </w:r>
      <w:r w:rsidR="00784B05" w:rsidRPr="004036B1">
        <w:rPr>
          <w:color w:val="222222"/>
          <w:sz w:val="24"/>
          <w:szCs w:val="24"/>
        </w:rPr>
        <w:t xml:space="preserve"> parallels</w:t>
      </w:r>
      <w:r w:rsidR="0098316E" w:rsidRPr="004036B1">
        <w:rPr>
          <w:color w:val="222222"/>
          <w:sz w:val="24"/>
          <w:szCs w:val="24"/>
        </w:rPr>
        <w:t xml:space="preserve"> are summarized by R. Mordekhai Zer-Kavod</w:t>
      </w:r>
      <w:r>
        <w:rPr>
          <w:color w:val="222222"/>
          <w:sz w:val="24"/>
          <w:szCs w:val="24"/>
        </w:rPr>
        <w:t>.</w:t>
      </w:r>
      <w:r>
        <w:rPr>
          <w:rStyle w:val="FootnoteReference"/>
          <w:color w:val="222222"/>
          <w:sz w:val="24"/>
          <w:szCs w:val="24"/>
        </w:rPr>
        <w:footnoteReference w:id="2"/>
      </w:r>
      <w:r w:rsidR="0098316E" w:rsidRPr="004036B1">
        <w:rPr>
          <w:color w:val="222222"/>
          <w:sz w:val="24"/>
          <w:szCs w:val="24"/>
        </w:rPr>
        <w:t xml:space="preserve"> </w:t>
      </w:r>
    </w:p>
    <w:p w14:paraId="27FBAB76" w14:textId="77777777" w:rsidR="0098316E" w:rsidRPr="004036B1" w:rsidRDefault="0098316E" w:rsidP="00AF6992">
      <w:pPr>
        <w:pStyle w:val="Normal1"/>
        <w:spacing w:line="240" w:lineRule="auto"/>
        <w:jc w:val="both"/>
        <w:rPr>
          <w:sz w:val="24"/>
          <w:szCs w:val="24"/>
        </w:rPr>
      </w:pPr>
    </w:p>
    <w:p w14:paraId="7CED9C8A" w14:textId="496811B4" w:rsidR="0098316E" w:rsidRPr="00F93D11" w:rsidRDefault="0098316E" w:rsidP="00055D30">
      <w:pPr>
        <w:pStyle w:val="Normal1"/>
        <w:spacing w:line="240" w:lineRule="auto"/>
        <w:ind w:firstLine="720"/>
        <w:jc w:val="both"/>
        <w:rPr>
          <w:color w:val="222222"/>
          <w:sz w:val="24"/>
          <w:szCs w:val="24"/>
        </w:rPr>
      </w:pPr>
      <w:r w:rsidRPr="004036B1">
        <w:rPr>
          <w:sz w:val="24"/>
          <w:szCs w:val="24"/>
        </w:rPr>
        <w:t xml:space="preserve">Moreover, Ezra and Nechemia confront a strikingly similar set of concerns: intermarriage, local enemies, construction in Jerusalem, </w:t>
      </w:r>
      <w:r w:rsidR="002D4D21">
        <w:rPr>
          <w:sz w:val="24"/>
          <w:szCs w:val="24"/>
        </w:rPr>
        <w:t xml:space="preserve">a struggle </w:t>
      </w:r>
      <w:r w:rsidRPr="004036B1">
        <w:rPr>
          <w:sz w:val="24"/>
          <w:szCs w:val="24"/>
        </w:rPr>
        <w:t xml:space="preserve">to maintain the community’s morale, a protagonist who leaves </w:t>
      </w:r>
      <w:r w:rsidR="009C00E4">
        <w:rPr>
          <w:sz w:val="24"/>
          <w:szCs w:val="24"/>
        </w:rPr>
        <w:t xml:space="preserve">Babylonia </w:t>
      </w:r>
      <w:r w:rsidRPr="004036B1">
        <w:rPr>
          <w:sz w:val="24"/>
          <w:szCs w:val="24"/>
        </w:rPr>
        <w:t>at great personal risk to assist a desperate Judean community,</w:t>
      </w:r>
      <w:r w:rsidR="009B13BF">
        <w:rPr>
          <w:sz w:val="24"/>
          <w:szCs w:val="24"/>
        </w:rPr>
        <w:t xml:space="preserve"> </w:t>
      </w:r>
      <w:r w:rsidR="009B13BF" w:rsidRPr="004036B1">
        <w:rPr>
          <w:sz w:val="24"/>
          <w:szCs w:val="24"/>
        </w:rPr>
        <w:t xml:space="preserve">a nerve-wracking </w:t>
      </w:r>
      <w:r w:rsidR="009C00E4">
        <w:rPr>
          <w:sz w:val="24"/>
          <w:szCs w:val="24"/>
        </w:rPr>
        <w:t xml:space="preserve">encounter with </w:t>
      </w:r>
      <w:r w:rsidR="009B13BF" w:rsidRPr="004036B1">
        <w:rPr>
          <w:sz w:val="24"/>
          <w:szCs w:val="24"/>
        </w:rPr>
        <w:t xml:space="preserve">the Persian monarch, </w:t>
      </w:r>
      <w:r w:rsidRPr="004036B1">
        <w:rPr>
          <w:sz w:val="24"/>
          <w:szCs w:val="24"/>
        </w:rPr>
        <w:t>an emphasis on genealogy, and census documents that distinguish between the Levites, singers</w:t>
      </w:r>
      <w:r w:rsidR="00247E2E">
        <w:rPr>
          <w:sz w:val="24"/>
          <w:szCs w:val="24"/>
        </w:rPr>
        <w:t>,</w:t>
      </w:r>
      <w:r w:rsidRPr="004036B1">
        <w:rPr>
          <w:sz w:val="24"/>
          <w:szCs w:val="24"/>
        </w:rPr>
        <w:t xml:space="preserve"> and gatekeepers of the Temple. </w:t>
      </w:r>
      <w:r w:rsidR="00FA2830" w:rsidRPr="004036B1">
        <w:rPr>
          <w:sz w:val="24"/>
          <w:szCs w:val="24"/>
        </w:rPr>
        <w:t xml:space="preserve">In addition to </w:t>
      </w:r>
      <w:r w:rsidR="009C00E4">
        <w:rPr>
          <w:sz w:val="24"/>
          <w:szCs w:val="24"/>
        </w:rPr>
        <w:t xml:space="preserve">facing </w:t>
      </w:r>
      <w:r w:rsidR="00FA2830" w:rsidRPr="004036B1">
        <w:rPr>
          <w:sz w:val="24"/>
          <w:szCs w:val="24"/>
        </w:rPr>
        <w:t xml:space="preserve">these challenges, </w:t>
      </w:r>
      <w:r w:rsidR="009C00E4">
        <w:rPr>
          <w:sz w:val="24"/>
          <w:szCs w:val="24"/>
        </w:rPr>
        <w:t xml:space="preserve">both </w:t>
      </w:r>
      <w:r w:rsidR="00FA2830" w:rsidRPr="004036B1">
        <w:rPr>
          <w:sz w:val="24"/>
          <w:szCs w:val="24"/>
        </w:rPr>
        <w:t>Ezra and Nechemia inspire renew</w:t>
      </w:r>
      <w:r w:rsidR="00F05A91">
        <w:rPr>
          <w:sz w:val="24"/>
          <w:szCs w:val="24"/>
        </w:rPr>
        <w:t>ed commitment to Tor</w:t>
      </w:r>
      <w:r w:rsidR="00FA2830" w:rsidRPr="004036B1">
        <w:rPr>
          <w:sz w:val="24"/>
          <w:szCs w:val="24"/>
        </w:rPr>
        <w:t>ah observance</w:t>
      </w:r>
      <w:r w:rsidR="00F05A91">
        <w:rPr>
          <w:sz w:val="24"/>
          <w:szCs w:val="24"/>
        </w:rPr>
        <w:t>, deliver moving confessions</w:t>
      </w:r>
      <w:r w:rsidR="00247E2E">
        <w:rPr>
          <w:sz w:val="24"/>
          <w:szCs w:val="24"/>
        </w:rPr>
        <w:t>,</w:t>
      </w:r>
      <w:r w:rsidR="00262835">
        <w:rPr>
          <w:sz w:val="24"/>
          <w:szCs w:val="24"/>
        </w:rPr>
        <w:t xml:space="preserve"> and celebrate an </w:t>
      </w:r>
      <w:r w:rsidR="00FA2830" w:rsidRPr="004036B1">
        <w:rPr>
          <w:sz w:val="24"/>
          <w:szCs w:val="24"/>
        </w:rPr>
        <w:t>inauguration (</w:t>
      </w:r>
      <w:bookmarkStart w:id="0" w:name="_GoBack"/>
      <w:bookmarkEnd w:id="0"/>
      <w:r w:rsidR="00FA2830" w:rsidRPr="004036B1">
        <w:rPr>
          <w:sz w:val="24"/>
          <w:szCs w:val="24"/>
        </w:rPr>
        <w:t>Nechemia</w:t>
      </w:r>
      <w:r w:rsidR="00247E2E">
        <w:rPr>
          <w:sz w:val="24"/>
          <w:szCs w:val="24"/>
        </w:rPr>
        <w:t xml:space="preserve"> completes</w:t>
      </w:r>
      <w:r w:rsidR="00FA2830" w:rsidRPr="004036B1">
        <w:rPr>
          <w:sz w:val="24"/>
          <w:szCs w:val="24"/>
        </w:rPr>
        <w:t xml:space="preserve"> Jerusalem’s walls)</w:t>
      </w:r>
      <w:r w:rsidR="00B50B78" w:rsidRPr="004036B1">
        <w:rPr>
          <w:sz w:val="24"/>
          <w:szCs w:val="24"/>
        </w:rPr>
        <w:t>.</w:t>
      </w:r>
    </w:p>
    <w:p w14:paraId="18BBD65B" w14:textId="77777777" w:rsidR="00F46D7E" w:rsidRDefault="00F46D7E" w:rsidP="00AF6992">
      <w:pPr>
        <w:pStyle w:val="Normal1"/>
        <w:spacing w:line="240" w:lineRule="auto"/>
        <w:jc w:val="both"/>
        <w:rPr>
          <w:sz w:val="24"/>
          <w:szCs w:val="24"/>
        </w:rPr>
      </w:pPr>
    </w:p>
    <w:p w14:paraId="5E5682B6" w14:textId="1817340C" w:rsidR="0098316E" w:rsidRPr="004036B1" w:rsidRDefault="009C00E4" w:rsidP="00AF6992">
      <w:pPr>
        <w:pStyle w:val="Normal1"/>
        <w:spacing w:line="240" w:lineRule="auto"/>
        <w:ind w:firstLine="720"/>
        <w:jc w:val="both"/>
        <w:rPr>
          <w:sz w:val="24"/>
          <w:szCs w:val="24"/>
        </w:rPr>
      </w:pPr>
      <w:r>
        <w:rPr>
          <w:sz w:val="24"/>
          <w:szCs w:val="24"/>
        </w:rPr>
        <w:t>M</w:t>
      </w:r>
      <w:r w:rsidR="0098316E" w:rsidRPr="004036B1">
        <w:rPr>
          <w:sz w:val="24"/>
          <w:szCs w:val="24"/>
        </w:rPr>
        <w:t>ore telling</w:t>
      </w:r>
      <w:r>
        <w:rPr>
          <w:sz w:val="24"/>
          <w:szCs w:val="24"/>
        </w:rPr>
        <w:t xml:space="preserve"> yet</w:t>
      </w:r>
      <w:r w:rsidR="0098316E" w:rsidRPr="004036B1">
        <w:rPr>
          <w:sz w:val="24"/>
          <w:szCs w:val="24"/>
        </w:rPr>
        <w:t xml:space="preserve">, the census </w:t>
      </w:r>
      <w:r>
        <w:rPr>
          <w:sz w:val="24"/>
          <w:szCs w:val="24"/>
        </w:rPr>
        <w:t xml:space="preserve">in </w:t>
      </w:r>
      <w:r w:rsidR="0098316E" w:rsidRPr="004036B1">
        <w:rPr>
          <w:i/>
          <w:sz w:val="24"/>
          <w:szCs w:val="24"/>
        </w:rPr>
        <w:t xml:space="preserve">Ezra </w:t>
      </w:r>
      <w:r w:rsidR="0098316E" w:rsidRPr="004036B1">
        <w:rPr>
          <w:sz w:val="24"/>
          <w:szCs w:val="24"/>
        </w:rPr>
        <w:t xml:space="preserve">chapter </w:t>
      </w:r>
      <w:r w:rsidR="00247E2E">
        <w:rPr>
          <w:sz w:val="24"/>
          <w:szCs w:val="24"/>
        </w:rPr>
        <w:t>2</w:t>
      </w:r>
      <w:r w:rsidR="0098316E" w:rsidRPr="004036B1">
        <w:rPr>
          <w:sz w:val="24"/>
          <w:szCs w:val="24"/>
        </w:rPr>
        <w:t xml:space="preserve"> </w:t>
      </w:r>
      <w:r>
        <w:rPr>
          <w:sz w:val="24"/>
          <w:szCs w:val="24"/>
        </w:rPr>
        <w:t xml:space="preserve">recurs </w:t>
      </w:r>
      <w:r w:rsidR="0098316E" w:rsidRPr="004036B1">
        <w:rPr>
          <w:sz w:val="24"/>
          <w:szCs w:val="24"/>
        </w:rPr>
        <w:t xml:space="preserve">almost verbatim in </w:t>
      </w:r>
      <w:r w:rsidR="0098316E" w:rsidRPr="004036B1">
        <w:rPr>
          <w:i/>
          <w:sz w:val="24"/>
          <w:szCs w:val="24"/>
        </w:rPr>
        <w:t xml:space="preserve">Nechemia </w:t>
      </w:r>
      <w:r w:rsidR="0098316E" w:rsidRPr="004036B1">
        <w:rPr>
          <w:sz w:val="24"/>
          <w:szCs w:val="24"/>
        </w:rPr>
        <w:t xml:space="preserve">chapter </w:t>
      </w:r>
      <w:r w:rsidR="00247E2E">
        <w:rPr>
          <w:sz w:val="24"/>
          <w:szCs w:val="24"/>
        </w:rPr>
        <w:t>7</w:t>
      </w:r>
      <w:r w:rsidR="0098316E" w:rsidRPr="004036B1">
        <w:rPr>
          <w:sz w:val="24"/>
          <w:szCs w:val="24"/>
        </w:rPr>
        <w:t>. This repetition even more strongly ties together the books. Finally, as noted</w:t>
      </w:r>
      <w:r>
        <w:rPr>
          <w:sz w:val="24"/>
          <w:szCs w:val="24"/>
        </w:rPr>
        <w:t xml:space="preserve"> in a previous </w:t>
      </w:r>
      <w:r w:rsidR="00247E2E">
        <w:rPr>
          <w:i/>
          <w:iCs/>
          <w:sz w:val="24"/>
          <w:szCs w:val="24"/>
        </w:rPr>
        <w:t>shiur</w:t>
      </w:r>
      <w:r w:rsidR="0098316E" w:rsidRPr="004036B1">
        <w:rPr>
          <w:sz w:val="24"/>
          <w:szCs w:val="24"/>
        </w:rPr>
        <w:t xml:space="preserve">, the first six chapters of </w:t>
      </w:r>
      <w:r w:rsidR="0098316E" w:rsidRPr="00BC37C8">
        <w:rPr>
          <w:i/>
          <w:sz w:val="24"/>
          <w:szCs w:val="24"/>
        </w:rPr>
        <w:t>Ezra</w:t>
      </w:r>
      <w:r>
        <w:rPr>
          <w:sz w:val="24"/>
          <w:szCs w:val="24"/>
        </w:rPr>
        <w:t>, the final four</w:t>
      </w:r>
      <w:r w:rsidR="00247E2E">
        <w:rPr>
          <w:sz w:val="24"/>
          <w:szCs w:val="24"/>
        </w:rPr>
        <w:t>,</w:t>
      </w:r>
      <w:r w:rsidR="0098316E" w:rsidRPr="004036B1">
        <w:rPr>
          <w:sz w:val="24"/>
          <w:szCs w:val="24"/>
        </w:rPr>
        <w:t xml:space="preserve"> and the entirety of </w:t>
      </w:r>
      <w:r w:rsidR="0098316E" w:rsidRPr="003C1014">
        <w:rPr>
          <w:i/>
          <w:sz w:val="24"/>
          <w:szCs w:val="24"/>
        </w:rPr>
        <w:t xml:space="preserve">Nechemia </w:t>
      </w:r>
      <w:r w:rsidR="00C560A5" w:rsidRPr="00C560A5">
        <w:rPr>
          <w:sz w:val="24"/>
          <w:szCs w:val="24"/>
        </w:rPr>
        <w:t xml:space="preserve">feature parallel </w:t>
      </w:r>
      <w:r w:rsidR="0098316E" w:rsidRPr="004036B1">
        <w:rPr>
          <w:sz w:val="24"/>
          <w:szCs w:val="24"/>
        </w:rPr>
        <w:t xml:space="preserve">literary structures: </w:t>
      </w:r>
      <w:r w:rsidR="0098316E" w:rsidRPr="004036B1">
        <w:rPr>
          <w:i/>
          <w:sz w:val="24"/>
          <w:szCs w:val="24"/>
        </w:rPr>
        <w:t>aliya</w:t>
      </w:r>
      <w:r w:rsidR="0098316E" w:rsidRPr="004036B1">
        <w:rPr>
          <w:sz w:val="24"/>
          <w:szCs w:val="24"/>
        </w:rPr>
        <w:t xml:space="preserve"> followed by a confrontation with antisemitism, support of the Temple/Jerusalem, and </w:t>
      </w:r>
      <w:r>
        <w:rPr>
          <w:sz w:val="24"/>
          <w:szCs w:val="24"/>
        </w:rPr>
        <w:t xml:space="preserve">sustained </w:t>
      </w:r>
      <w:r w:rsidR="00EC129B">
        <w:rPr>
          <w:sz w:val="24"/>
          <w:szCs w:val="24"/>
        </w:rPr>
        <w:t xml:space="preserve">effort </w:t>
      </w:r>
      <w:r>
        <w:rPr>
          <w:sz w:val="24"/>
          <w:szCs w:val="24"/>
        </w:rPr>
        <w:t>to ensure</w:t>
      </w:r>
      <w:r w:rsidR="0098316E" w:rsidRPr="004036B1">
        <w:rPr>
          <w:sz w:val="24"/>
          <w:szCs w:val="24"/>
        </w:rPr>
        <w:t xml:space="preserve"> the everyday functioning of society. </w:t>
      </w:r>
    </w:p>
    <w:p w14:paraId="700AAC4E" w14:textId="77777777" w:rsidR="00AA648E" w:rsidRPr="004036B1" w:rsidRDefault="00AA648E" w:rsidP="00AF6992">
      <w:pPr>
        <w:pStyle w:val="Normal1"/>
        <w:spacing w:line="240" w:lineRule="auto"/>
        <w:jc w:val="both"/>
        <w:rPr>
          <w:sz w:val="24"/>
          <w:szCs w:val="24"/>
        </w:rPr>
      </w:pPr>
    </w:p>
    <w:p w14:paraId="64811336" w14:textId="13130329" w:rsidR="00AA648E" w:rsidRPr="004036B1" w:rsidRDefault="002A5879" w:rsidP="00AF6992">
      <w:pPr>
        <w:pStyle w:val="Normal1"/>
        <w:spacing w:line="240" w:lineRule="auto"/>
        <w:ind w:firstLine="720"/>
        <w:jc w:val="both"/>
        <w:rPr>
          <w:sz w:val="24"/>
          <w:szCs w:val="24"/>
        </w:rPr>
      </w:pPr>
      <w:r>
        <w:rPr>
          <w:sz w:val="24"/>
          <w:szCs w:val="24"/>
        </w:rPr>
        <w:t xml:space="preserve">What </w:t>
      </w:r>
      <w:r w:rsidR="009C00E4">
        <w:rPr>
          <w:sz w:val="24"/>
          <w:szCs w:val="24"/>
        </w:rPr>
        <w:t>sense are we to make of the conflicting data</w:t>
      </w:r>
      <w:r>
        <w:rPr>
          <w:sz w:val="24"/>
          <w:szCs w:val="24"/>
        </w:rPr>
        <w:t>?</w:t>
      </w:r>
      <w:r w:rsidR="00AA648E" w:rsidRPr="004036B1">
        <w:rPr>
          <w:sz w:val="24"/>
          <w:szCs w:val="24"/>
        </w:rPr>
        <w:t xml:space="preserve"> </w:t>
      </w:r>
      <w:r w:rsidR="009C00E4">
        <w:rPr>
          <w:sz w:val="24"/>
          <w:szCs w:val="24"/>
        </w:rPr>
        <w:t xml:space="preserve">A careful review makes plain that the </w:t>
      </w:r>
      <w:r>
        <w:rPr>
          <w:sz w:val="24"/>
          <w:szCs w:val="24"/>
        </w:rPr>
        <w:t>preponderance of evidence inclines toward the position that they are a single, unified work.</w:t>
      </w:r>
      <w:r w:rsidR="008E2BD5">
        <w:rPr>
          <w:sz w:val="24"/>
          <w:szCs w:val="24"/>
        </w:rPr>
        <w:t xml:space="preserve"> In particular</w:t>
      </w:r>
      <w:r w:rsidR="00094597" w:rsidRPr="004036B1">
        <w:rPr>
          <w:sz w:val="24"/>
          <w:szCs w:val="24"/>
        </w:rPr>
        <w:t>, the repetition of an entire passage</w:t>
      </w:r>
      <w:r w:rsidR="00247E2E">
        <w:rPr>
          <w:sz w:val="24"/>
          <w:szCs w:val="24"/>
        </w:rPr>
        <w:t>,</w:t>
      </w:r>
      <w:r w:rsidR="00094597" w:rsidRPr="004036B1">
        <w:rPr>
          <w:sz w:val="24"/>
          <w:szCs w:val="24"/>
        </w:rPr>
        <w:t xml:space="preserve"> and especially the strong textual similarities </w:t>
      </w:r>
      <w:r w:rsidR="006068BB" w:rsidRPr="004036B1">
        <w:rPr>
          <w:sz w:val="24"/>
          <w:szCs w:val="24"/>
        </w:rPr>
        <w:t>between the two books</w:t>
      </w:r>
      <w:r w:rsidR="00247E2E">
        <w:rPr>
          <w:sz w:val="24"/>
          <w:szCs w:val="24"/>
        </w:rPr>
        <w:t>,</w:t>
      </w:r>
      <w:r w:rsidR="001B5BC1">
        <w:rPr>
          <w:sz w:val="24"/>
          <w:szCs w:val="24"/>
        </w:rPr>
        <w:t xml:space="preserve"> underscore</w:t>
      </w:r>
      <w:r w:rsidR="00CD4B5F" w:rsidRPr="004036B1">
        <w:rPr>
          <w:sz w:val="24"/>
          <w:szCs w:val="24"/>
        </w:rPr>
        <w:t xml:space="preserve"> the close</w:t>
      </w:r>
      <w:r w:rsidR="001B5BC1">
        <w:rPr>
          <w:sz w:val="24"/>
          <w:szCs w:val="24"/>
        </w:rPr>
        <w:t xml:space="preserve"> connection</w:t>
      </w:r>
      <w:r w:rsidR="00404776" w:rsidRPr="004036B1">
        <w:rPr>
          <w:sz w:val="24"/>
          <w:szCs w:val="24"/>
        </w:rPr>
        <w:t>.</w:t>
      </w:r>
      <w:r w:rsidR="006F67F7">
        <w:rPr>
          <w:sz w:val="24"/>
          <w:szCs w:val="24"/>
        </w:rPr>
        <w:t xml:space="preserve"> </w:t>
      </w:r>
      <w:r w:rsidR="008E2BD5">
        <w:rPr>
          <w:sz w:val="24"/>
          <w:szCs w:val="24"/>
        </w:rPr>
        <w:t>What, then, of the evidence that they are distinct? I</w:t>
      </w:r>
      <w:r w:rsidR="00CD4B5F" w:rsidRPr="004036B1">
        <w:rPr>
          <w:sz w:val="24"/>
          <w:szCs w:val="24"/>
        </w:rPr>
        <w:t xml:space="preserve">t is worth </w:t>
      </w:r>
      <w:r w:rsidR="008E2BD5">
        <w:rPr>
          <w:sz w:val="24"/>
          <w:szCs w:val="24"/>
        </w:rPr>
        <w:t xml:space="preserve">observing </w:t>
      </w:r>
      <w:r w:rsidR="00CD4B5F" w:rsidRPr="004036B1">
        <w:rPr>
          <w:sz w:val="24"/>
          <w:szCs w:val="24"/>
        </w:rPr>
        <w:t xml:space="preserve">that </w:t>
      </w:r>
      <w:r w:rsidR="00395378">
        <w:rPr>
          <w:sz w:val="24"/>
          <w:szCs w:val="24"/>
        </w:rPr>
        <w:t xml:space="preserve">all </w:t>
      </w:r>
      <w:r w:rsidR="00CD4B5F" w:rsidRPr="004036B1">
        <w:rPr>
          <w:sz w:val="24"/>
          <w:szCs w:val="24"/>
        </w:rPr>
        <w:t xml:space="preserve">the </w:t>
      </w:r>
      <w:r w:rsidR="00F752E8">
        <w:rPr>
          <w:sz w:val="24"/>
          <w:szCs w:val="24"/>
        </w:rPr>
        <w:t xml:space="preserve">differences </w:t>
      </w:r>
      <w:r w:rsidR="00395378">
        <w:rPr>
          <w:sz w:val="24"/>
          <w:szCs w:val="24"/>
        </w:rPr>
        <w:t xml:space="preserve">we noted </w:t>
      </w:r>
      <w:r w:rsidR="00CD4B5F" w:rsidRPr="004036B1">
        <w:rPr>
          <w:sz w:val="24"/>
          <w:szCs w:val="24"/>
        </w:rPr>
        <w:t>center</w:t>
      </w:r>
      <w:r w:rsidR="001B5BC1">
        <w:rPr>
          <w:sz w:val="24"/>
          <w:szCs w:val="24"/>
        </w:rPr>
        <w:t xml:space="preserve"> on Ezra and Nechemia’s distinct leadership styles</w:t>
      </w:r>
      <w:r w:rsidR="00D775A7">
        <w:rPr>
          <w:sz w:val="24"/>
          <w:szCs w:val="24"/>
        </w:rPr>
        <w:t xml:space="preserve">, one religious and the other political. Implicit in </w:t>
      </w:r>
      <w:r w:rsidR="00D775A7" w:rsidRPr="00D775A7">
        <w:rPr>
          <w:i/>
          <w:sz w:val="24"/>
          <w:szCs w:val="24"/>
        </w:rPr>
        <w:t>Ezra-Nechemia</w:t>
      </w:r>
      <w:r w:rsidR="002B5EA8">
        <w:rPr>
          <w:sz w:val="24"/>
          <w:szCs w:val="24"/>
        </w:rPr>
        <w:t>, then,</w:t>
      </w:r>
      <w:r w:rsidR="00D775A7">
        <w:rPr>
          <w:sz w:val="24"/>
          <w:szCs w:val="24"/>
        </w:rPr>
        <w:t xml:space="preserve"> is a profound insight: the discrepancy in style</w:t>
      </w:r>
      <w:r w:rsidR="006F67F7">
        <w:rPr>
          <w:sz w:val="24"/>
          <w:szCs w:val="24"/>
        </w:rPr>
        <w:t>s</w:t>
      </w:r>
      <w:r w:rsidR="00D775A7">
        <w:rPr>
          <w:sz w:val="24"/>
          <w:szCs w:val="24"/>
        </w:rPr>
        <w:t xml:space="preserve"> is in of itself a major them</w:t>
      </w:r>
      <w:r w:rsidR="00247E2E">
        <w:rPr>
          <w:sz w:val="24"/>
          <w:szCs w:val="24"/>
        </w:rPr>
        <w:t>e</w:t>
      </w:r>
      <w:r w:rsidR="00D775A7">
        <w:rPr>
          <w:sz w:val="24"/>
          <w:szCs w:val="24"/>
        </w:rPr>
        <w:t xml:space="preserve"> in the book</w:t>
      </w:r>
      <w:r w:rsidR="00B706B1">
        <w:rPr>
          <w:sz w:val="24"/>
          <w:szCs w:val="24"/>
        </w:rPr>
        <w:t>. This B</w:t>
      </w:r>
      <w:r w:rsidR="002B5EA8">
        <w:rPr>
          <w:sz w:val="24"/>
          <w:szCs w:val="24"/>
        </w:rPr>
        <w:t>iblical work intentionally presents dueling models of responses to similar difficulties</w:t>
      </w:r>
      <w:r w:rsidR="00BE1C0C">
        <w:rPr>
          <w:sz w:val="24"/>
          <w:szCs w:val="24"/>
        </w:rPr>
        <w:t xml:space="preserve">, </w:t>
      </w:r>
      <w:r w:rsidR="00CD4B5F" w:rsidRPr="004036B1">
        <w:rPr>
          <w:sz w:val="24"/>
          <w:szCs w:val="24"/>
        </w:rPr>
        <w:t xml:space="preserve">two </w:t>
      </w:r>
      <w:r w:rsidR="00BE1C0C">
        <w:rPr>
          <w:sz w:val="24"/>
          <w:szCs w:val="24"/>
        </w:rPr>
        <w:t>contrasting mode</w:t>
      </w:r>
      <w:r w:rsidR="00CD4B5F" w:rsidRPr="004036B1">
        <w:rPr>
          <w:sz w:val="24"/>
          <w:szCs w:val="24"/>
        </w:rPr>
        <w:t xml:space="preserve">s of leadership. </w:t>
      </w:r>
      <w:r w:rsidR="00B706B1">
        <w:rPr>
          <w:sz w:val="24"/>
          <w:szCs w:val="24"/>
        </w:rPr>
        <w:t>As we enter the post-B</w:t>
      </w:r>
      <w:r w:rsidR="00D775A7">
        <w:rPr>
          <w:sz w:val="24"/>
          <w:szCs w:val="24"/>
        </w:rPr>
        <w:t>iblical era</w:t>
      </w:r>
      <w:r w:rsidR="007E2C8C">
        <w:rPr>
          <w:sz w:val="24"/>
          <w:szCs w:val="24"/>
        </w:rPr>
        <w:t xml:space="preserve">, </w:t>
      </w:r>
      <w:r w:rsidR="007E2C8C" w:rsidRPr="00247E2E">
        <w:rPr>
          <w:i/>
          <w:iCs/>
          <w:sz w:val="24"/>
          <w:szCs w:val="24"/>
        </w:rPr>
        <w:t>Tanakh</w:t>
      </w:r>
      <w:r w:rsidR="007E2C8C">
        <w:rPr>
          <w:sz w:val="24"/>
          <w:szCs w:val="24"/>
        </w:rPr>
        <w:t xml:space="preserve"> </w:t>
      </w:r>
      <w:r w:rsidR="00D90225">
        <w:rPr>
          <w:sz w:val="24"/>
          <w:szCs w:val="24"/>
        </w:rPr>
        <w:t xml:space="preserve">presents </w:t>
      </w:r>
      <w:r w:rsidR="007E2C8C">
        <w:rPr>
          <w:sz w:val="24"/>
          <w:szCs w:val="24"/>
        </w:rPr>
        <w:t xml:space="preserve">two </w:t>
      </w:r>
      <w:r w:rsidR="00CD4B5F" w:rsidRPr="004036B1">
        <w:rPr>
          <w:sz w:val="24"/>
          <w:szCs w:val="24"/>
        </w:rPr>
        <w:t>legitimate, indeed crucial models</w:t>
      </w:r>
      <w:r w:rsidR="007E2C8C">
        <w:rPr>
          <w:sz w:val="24"/>
          <w:szCs w:val="24"/>
        </w:rPr>
        <w:t xml:space="preserve"> of leadership</w:t>
      </w:r>
      <w:r w:rsidR="00E7305E" w:rsidRPr="004036B1">
        <w:rPr>
          <w:sz w:val="24"/>
          <w:szCs w:val="24"/>
        </w:rPr>
        <w:t xml:space="preserve">. </w:t>
      </w:r>
      <w:r w:rsidR="00CD4B5F" w:rsidRPr="004036B1">
        <w:rPr>
          <w:sz w:val="24"/>
          <w:szCs w:val="24"/>
        </w:rPr>
        <w:t xml:space="preserve"> </w:t>
      </w:r>
    </w:p>
    <w:p w14:paraId="5E32E517" w14:textId="00F142DE" w:rsidR="0096263B" w:rsidRPr="004036B1" w:rsidRDefault="0096263B" w:rsidP="00AF6992">
      <w:pPr>
        <w:shd w:val="clear" w:color="auto" w:fill="FFFFFF"/>
        <w:spacing w:line="240" w:lineRule="auto"/>
        <w:jc w:val="both"/>
        <w:rPr>
          <w:rFonts w:eastAsia="Times New Roman"/>
          <w:color w:val="222222"/>
          <w:sz w:val="24"/>
          <w:szCs w:val="24"/>
        </w:rPr>
      </w:pPr>
    </w:p>
    <w:p w14:paraId="6D2E176C" w14:textId="32E5D957" w:rsidR="00E7305E" w:rsidRPr="00A3472E" w:rsidRDefault="00E7305E" w:rsidP="00AF6992">
      <w:pPr>
        <w:shd w:val="clear" w:color="auto" w:fill="FFFFFF"/>
        <w:spacing w:line="240" w:lineRule="auto"/>
        <w:jc w:val="both"/>
        <w:rPr>
          <w:rFonts w:eastAsia="Times New Roman"/>
          <w:b/>
          <w:color w:val="222222"/>
          <w:sz w:val="24"/>
          <w:szCs w:val="24"/>
        </w:rPr>
      </w:pPr>
      <w:r w:rsidRPr="00A3472E">
        <w:rPr>
          <w:rFonts w:eastAsia="Times New Roman"/>
          <w:b/>
          <w:i/>
          <w:color w:val="222222"/>
          <w:sz w:val="24"/>
          <w:szCs w:val="24"/>
        </w:rPr>
        <w:t>Ezra-Nechemia</w:t>
      </w:r>
      <w:r w:rsidRPr="00A3472E">
        <w:rPr>
          <w:rFonts w:eastAsia="Times New Roman"/>
          <w:b/>
          <w:color w:val="222222"/>
          <w:sz w:val="24"/>
          <w:szCs w:val="24"/>
        </w:rPr>
        <w:t xml:space="preserve"> and the Biblical Canon</w:t>
      </w:r>
    </w:p>
    <w:p w14:paraId="38C22830" w14:textId="507C20F5" w:rsidR="00B11AF9" w:rsidRPr="004036B1" w:rsidRDefault="006A70E6" w:rsidP="00AF6992">
      <w:pPr>
        <w:shd w:val="clear" w:color="auto" w:fill="FFFFFF"/>
        <w:spacing w:line="240" w:lineRule="auto"/>
        <w:ind w:firstLine="720"/>
        <w:jc w:val="both"/>
        <w:rPr>
          <w:rFonts w:eastAsia="Times New Roman"/>
          <w:color w:val="222222"/>
          <w:sz w:val="24"/>
          <w:szCs w:val="24"/>
        </w:rPr>
      </w:pPr>
      <w:r>
        <w:rPr>
          <w:rFonts w:eastAsia="Times New Roman"/>
          <w:color w:val="222222"/>
          <w:sz w:val="24"/>
          <w:szCs w:val="24"/>
        </w:rPr>
        <w:t xml:space="preserve">The insight that </w:t>
      </w:r>
      <w:r w:rsidRPr="00276CB5">
        <w:rPr>
          <w:rFonts w:eastAsia="Times New Roman"/>
          <w:i/>
          <w:color w:val="222222"/>
          <w:sz w:val="24"/>
          <w:szCs w:val="24"/>
        </w:rPr>
        <w:t xml:space="preserve">Ezra-Nechemia </w:t>
      </w:r>
      <w:r>
        <w:rPr>
          <w:rFonts w:eastAsia="Times New Roman"/>
          <w:color w:val="222222"/>
          <w:sz w:val="24"/>
          <w:szCs w:val="24"/>
        </w:rPr>
        <w:t>is</w:t>
      </w:r>
      <w:r w:rsidR="003C7CE8">
        <w:rPr>
          <w:rFonts w:eastAsia="Times New Roman"/>
          <w:color w:val="222222"/>
          <w:sz w:val="24"/>
          <w:szCs w:val="24"/>
        </w:rPr>
        <w:t xml:space="preserve"> stylistically unique</w:t>
      </w:r>
      <w:r>
        <w:rPr>
          <w:rFonts w:eastAsia="Times New Roman"/>
          <w:color w:val="222222"/>
          <w:sz w:val="24"/>
          <w:szCs w:val="24"/>
        </w:rPr>
        <w:t xml:space="preserve"> </w:t>
      </w:r>
      <w:r w:rsidR="00276CB5">
        <w:rPr>
          <w:rFonts w:eastAsia="Times New Roman"/>
          <w:color w:val="222222"/>
          <w:sz w:val="24"/>
          <w:szCs w:val="24"/>
        </w:rPr>
        <w:t>raises</w:t>
      </w:r>
      <w:r>
        <w:rPr>
          <w:rFonts w:eastAsia="Times New Roman"/>
          <w:color w:val="222222"/>
          <w:sz w:val="24"/>
          <w:szCs w:val="24"/>
        </w:rPr>
        <w:t xml:space="preserve"> another</w:t>
      </w:r>
      <w:r w:rsidR="00017AB6">
        <w:rPr>
          <w:rFonts w:eastAsia="Times New Roman"/>
          <w:color w:val="222222"/>
          <w:sz w:val="24"/>
          <w:szCs w:val="24"/>
        </w:rPr>
        <w:t xml:space="preserve"> key</w:t>
      </w:r>
      <w:r>
        <w:rPr>
          <w:rFonts w:eastAsia="Times New Roman"/>
          <w:color w:val="222222"/>
          <w:sz w:val="24"/>
          <w:szCs w:val="24"/>
        </w:rPr>
        <w:t xml:space="preserve"> question. </w:t>
      </w:r>
      <w:r w:rsidR="001F3210">
        <w:rPr>
          <w:rFonts w:eastAsia="Times New Roman"/>
          <w:color w:val="222222"/>
          <w:sz w:val="24"/>
          <w:szCs w:val="24"/>
        </w:rPr>
        <w:t xml:space="preserve">To what </w:t>
      </w:r>
      <w:r w:rsidR="00E7305E" w:rsidRPr="004036B1">
        <w:rPr>
          <w:rFonts w:eastAsia="Times New Roman"/>
          <w:color w:val="222222"/>
          <w:sz w:val="24"/>
          <w:szCs w:val="24"/>
        </w:rPr>
        <w:t xml:space="preserve">extent </w:t>
      </w:r>
      <w:r w:rsidR="001F3210">
        <w:rPr>
          <w:rFonts w:eastAsia="Times New Roman"/>
          <w:color w:val="222222"/>
          <w:sz w:val="24"/>
          <w:szCs w:val="24"/>
        </w:rPr>
        <w:t xml:space="preserve">are </w:t>
      </w:r>
      <w:r w:rsidR="00E7305E" w:rsidRPr="004036B1">
        <w:rPr>
          <w:rFonts w:eastAsia="Times New Roman"/>
          <w:color w:val="222222"/>
          <w:sz w:val="24"/>
          <w:szCs w:val="24"/>
        </w:rPr>
        <w:t xml:space="preserve">we intended to view </w:t>
      </w:r>
      <w:r w:rsidR="00E7305E" w:rsidRPr="00276CB5">
        <w:rPr>
          <w:rFonts w:eastAsia="Times New Roman"/>
          <w:i/>
          <w:color w:val="222222"/>
          <w:sz w:val="24"/>
          <w:szCs w:val="24"/>
        </w:rPr>
        <w:t xml:space="preserve">Ezra-Nechemia </w:t>
      </w:r>
      <w:r w:rsidR="00B11AF9" w:rsidRPr="004036B1">
        <w:rPr>
          <w:rFonts w:eastAsia="Times New Roman"/>
          <w:color w:val="222222"/>
          <w:sz w:val="24"/>
          <w:szCs w:val="24"/>
        </w:rPr>
        <w:t xml:space="preserve">as </w:t>
      </w:r>
      <w:r w:rsidR="00497B48">
        <w:rPr>
          <w:rFonts w:eastAsia="Times New Roman"/>
          <w:color w:val="222222"/>
          <w:sz w:val="24"/>
          <w:szCs w:val="24"/>
        </w:rPr>
        <w:t xml:space="preserve">a </w:t>
      </w:r>
      <w:r w:rsidR="00247E2E">
        <w:rPr>
          <w:rFonts w:eastAsia="Times New Roman"/>
          <w:color w:val="222222"/>
          <w:sz w:val="24"/>
          <w:szCs w:val="24"/>
        </w:rPr>
        <w:t>typical B</w:t>
      </w:r>
      <w:r w:rsidR="00E7305E" w:rsidRPr="004036B1">
        <w:rPr>
          <w:rFonts w:eastAsia="Times New Roman"/>
          <w:color w:val="222222"/>
          <w:sz w:val="24"/>
          <w:szCs w:val="24"/>
        </w:rPr>
        <w:t>iblical</w:t>
      </w:r>
      <w:r w:rsidR="00497B48">
        <w:rPr>
          <w:rFonts w:eastAsia="Times New Roman"/>
          <w:color w:val="222222"/>
          <w:sz w:val="24"/>
          <w:szCs w:val="24"/>
        </w:rPr>
        <w:t xml:space="preserve"> work, and to what extent is it </w:t>
      </w:r>
      <w:r w:rsidR="00E7305E" w:rsidRPr="00497B48">
        <w:rPr>
          <w:rFonts w:eastAsia="Times New Roman"/>
          <w:i/>
          <w:color w:val="222222"/>
          <w:sz w:val="24"/>
          <w:szCs w:val="24"/>
        </w:rPr>
        <w:t>su</w:t>
      </w:r>
      <w:r w:rsidR="00497B48" w:rsidRPr="00497B48">
        <w:rPr>
          <w:rFonts w:eastAsia="Times New Roman"/>
          <w:i/>
          <w:color w:val="222222"/>
          <w:sz w:val="24"/>
          <w:szCs w:val="24"/>
        </w:rPr>
        <w:t xml:space="preserve">i generis </w:t>
      </w:r>
      <w:r w:rsidR="00247E2E">
        <w:rPr>
          <w:rFonts w:eastAsia="Times New Roman"/>
          <w:color w:val="222222"/>
          <w:sz w:val="24"/>
          <w:szCs w:val="24"/>
        </w:rPr>
        <w:t>in the B</w:t>
      </w:r>
      <w:r w:rsidR="00497B48">
        <w:rPr>
          <w:rFonts w:eastAsia="Times New Roman"/>
          <w:color w:val="222222"/>
          <w:sz w:val="24"/>
          <w:szCs w:val="24"/>
        </w:rPr>
        <w:t>iblical canon?</w:t>
      </w:r>
      <w:r w:rsidR="00E7305E" w:rsidRPr="004036B1">
        <w:rPr>
          <w:rFonts w:eastAsia="Times New Roman"/>
          <w:color w:val="222222"/>
          <w:sz w:val="24"/>
          <w:szCs w:val="24"/>
        </w:rPr>
        <w:t xml:space="preserve"> </w:t>
      </w:r>
      <w:r w:rsidR="00B11AF9" w:rsidRPr="004036B1">
        <w:rPr>
          <w:rFonts w:eastAsia="Times New Roman"/>
          <w:color w:val="222222"/>
          <w:sz w:val="24"/>
          <w:szCs w:val="24"/>
        </w:rPr>
        <w:t xml:space="preserve">Here too, </w:t>
      </w:r>
      <w:r w:rsidR="00497B48">
        <w:rPr>
          <w:rFonts w:eastAsia="Times New Roman"/>
          <w:color w:val="222222"/>
          <w:sz w:val="24"/>
          <w:szCs w:val="24"/>
        </w:rPr>
        <w:t>the</w:t>
      </w:r>
      <w:r w:rsidR="00EE132A">
        <w:rPr>
          <w:rFonts w:eastAsia="Times New Roman"/>
          <w:color w:val="222222"/>
          <w:sz w:val="24"/>
          <w:szCs w:val="24"/>
        </w:rPr>
        <w:t>re are indicators in each direction</w:t>
      </w:r>
      <w:r w:rsidR="00497B48">
        <w:rPr>
          <w:rFonts w:eastAsia="Times New Roman"/>
          <w:color w:val="222222"/>
          <w:sz w:val="24"/>
          <w:szCs w:val="24"/>
        </w:rPr>
        <w:t>. Simila</w:t>
      </w:r>
      <w:r w:rsidR="00B11AF9" w:rsidRPr="004036B1">
        <w:rPr>
          <w:rFonts w:eastAsia="Times New Roman"/>
          <w:color w:val="222222"/>
          <w:sz w:val="24"/>
          <w:szCs w:val="24"/>
        </w:rPr>
        <w:t xml:space="preserve">rities to the rest of </w:t>
      </w:r>
      <w:r w:rsidR="00B11AF9" w:rsidRPr="00247E2E">
        <w:rPr>
          <w:rFonts w:eastAsia="Times New Roman"/>
          <w:i/>
          <w:iCs/>
          <w:color w:val="222222"/>
          <w:sz w:val="24"/>
          <w:szCs w:val="24"/>
        </w:rPr>
        <w:t>Tanakh</w:t>
      </w:r>
      <w:r w:rsidR="00B11AF9" w:rsidRPr="004036B1">
        <w:rPr>
          <w:rFonts w:eastAsia="Times New Roman"/>
          <w:color w:val="222222"/>
          <w:sz w:val="24"/>
          <w:szCs w:val="24"/>
        </w:rPr>
        <w:t xml:space="preserve"> abound. </w:t>
      </w:r>
      <w:r w:rsidR="00497B48">
        <w:rPr>
          <w:rFonts w:eastAsia="Times New Roman"/>
          <w:color w:val="222222"/>
          <w:sz w:val="24"/>
          <w:szCs w:val="24"/>
        </w:rPr>
        <w:lastRenderedPageBreak/>
        <w:t>Divine inspiration and prop</w:t>
      </w:r>
      <w:r w:rsidR="00B11AF9" w:rsidRPr="004036B1">
        <w:rPr>
          <w:rFonts w:eastAsia="Times New Roman"/>
          <w:color w:val="222222"/>
          <w:sz w:val="24"/>
          <w:szCs w:val="24"/>
        </w:rPr>
        <w:t>hecy remain</w:t>
      </w:r>
      <w:r w:rsidR="00034A5F">
        <w:rPr>
          <w:rFonts w:eastAsia="Times New Roman"/>
          <w:color w:val="222222"/>
          <w:sz w:val="24"/>
          <w:szCs w:val="24"/>
        </w:rPr>
        <w:t xml:space="preserve"> in force</w:t>
      </w:r>
      <w:r w:rsidR="00B11AF9" w:rsidRPr="004036B1">
        <w:rPr>
          <w:rFonts w:eastAsia="Times New Roman"/>
          <w:color w:val="222222"/>
          <w:sz w:val="24"/>
          <w:szCs w:val="24"/>
        </w:rPr>
        <w:t xml:space="preserve">. </w:t>
      </w:r>
      <w:r w:rsidR="00B11AF9" w:rsidRPr="00034A5F">
        <w:rPr>
          <w:rFonts w:eastAsia="Times New Roman"/>
          <w:i/>
          <w:color w:val="222222"/>
          <w:sz w:val="24"/>
          <w:szCs w:val="24"/>
        </w:rPr>
        <w:t>Ezra</w:t>
      </w:r>
      <w:r w:rsidR="00034A5F">
        <w:rPr>
          <w:rFonts w:eastAsia="Times New Roman"/>
          <w:color w:val="222222"/>
          <w:sz w:val="24"/>
          <w:szCs w:val="24"/>
        </w:rPr>
        <w:t>-</w:t>
      </w:r>
      <w:r w:rsidR="00B11AF9" w:rsidRPr="00034A5F">
        <w:rPr>
          <w:rFonts w:eastAsia="Times New Roman"/>
          <w:i/>
          <w:color w:val="222222"/>
          <w:sz w:val="24"/>
          <w:szCs w:val="24"/>
        </w:rPr>
        <w:t xml:space="preserve">Nechemia </w:t>
      </w:r>
      <w:r w:rsidR="00B11AF9" w:rsidRPr="004036B1">
        <w:rPr>
          <w:rFonts w:eastAsia="Times New Roman"/>
          <w:color w:val="222222"/>
          <w:sz w:val="24"/>
          <w:szCs w:val="24"/>
        </w:rPr>
        <w:t>contain</w:t>
      </w:r>
      <w:r w:rsidR="00034A5F">
        <w:rPr>
          <w:rFonts w:eastAsia="Times New Roman"/>
          <w:color w:val="222222"/>
          <w:sz w:val="24"/>
          <w:szCs w:val="24"/>
        </w:rPr>
        <w:t>s numerous</w:t>
      </w:r>
      <w:r w:rsidR="00B11AF9" w:rsidRPr="004036B1">
        <w:rPr>
          <w:rFonts w:eastAsia="Times New Roman"/>
          <w:color w:val="222222"/>
          <w:sz w:val="24"/>
          <w:szCs w:val="24"/>
        </w:rPr>
        <w:t xml:space="preserve"> allusions to </w:t>
      </w:r>
      <w:r w:rsidR="009305CC">
        <w:rPr>
          <w:rFonts w:eastAsia="Times New Roman"/>
          <w:color w:val="222222"/>
          <w:sz w:val="24"/>
          <w:szCs w:val="24"/>
        </w:rPr>
        <w:t xml:space="preserve">classic </w:t>
      </w:r>
      <w:r w:rsidR="00B706B1">
        <w:rPr>
          <w:rFonts w:eastAsia="Times New Roman"/>
          <w:color w:val="222222"/>
          <w:sz w:val="24"/>
          <w:szCs w:val="24"/>
        </w:rPr>
        <w:t>B</w:t>
      </w:r>
      <w:r w:rsidR="00B11AF9" w:rsidRPr="004036B1">
        <w:rPr>
          <w:rFonts w:eastAsia="Times New Roman"/>
          <w:color w:val="222222"/>
          <w:sz w:val="24"/>
          <w:szCs w:val="24"/>
        </w:rPr>
        <w:t>iblical episodes, including Yoshiyahu and Yechezkel’s Pesach offering</w:t>
      </w:r>
      <w:r w:rsidR="00034A5F">
        <w:rPr>
          <w:rFonts w:eastAsia="Times New Roman"/>
          <w:color w:val="222222"/>
          <w:sz w:val="24"/>
          <w:szCs w:val="24"/>
        </w:rPr>
        <w:t xml:space="preserve">s, Shlomo’s </w:t>
      </w:r>
      <w:r w:rsidR="00B11AF9" w:rsidRPr="004036B1">
        <w:rPr>
          <w:rFonts w:eastAsia="Times New Roman"/>
          <w:color w:val="222222"/>
          <w:sz w:val="24"/>
          <w:szCs w:val="24"/>
        </w:rPr>
        <w:t>First Temple</w:t>
      </w:r>
      <w:r w:rsidR="00034A5F">
        <w:rPr>
          <w:rFonts w:eastAsia="Times New Roman"/>
          <w:color w:val="222222"/>
          <w:sz w:val="24"/>
          <w:szCs w:val="24"/>
        </w:rPr>
        <w:t xml:space="preserve"> inauguration</w:t>
      </w:r>
      <w:r w:rsidR="00B11AF9" w:rsidRPr="004036B1">
        <w:rPr>
          <w:rFonts w:eastAsia="Times New Roman"/>
          <w:color w:val="222222"/>
          <w:sz w:val="24"/>
          <w:szCs w:val="24"/>
        </w:rPr>
        <w:t>, the revelation at Sinai</w:t>
      </w:r>
      <w:r w:rsidR="00247E2E">
        <w:rPr>
          <w:rFonts w:eastAsia="Times New Roman"/>
          <w:color w:val="222222"/>
          <w:sz w:val="24"/>
          <w:szCs w:val="24"/>
        </w:rPr>
        <w:t>,</w:t>
      </w:r>
      <w:r w:rsidR="00B11AF9" w:rsidRPr="004036B1">
        <w:rPr>
          <w:rFonts w:eastAsia="Times New Roman"/>
          <w:color w:val="222222"/>
          <w:sz w:val="24"/>
          <w:szCs w:val="24"/>
        </w:rPr>
        <w:t xml:space="preserve"> and the </w:t>
      </w:r>
      <w:r w:rsidR="00B11AF9" w:rsidRPr="00247E2E">
        <w:rPr>
          <w:rFonts w:eastAsia="Times New Roman"/>
          <w:i/>
          <w:iCs/>
          <w:color w:val="222222"/>
          <w:sz w:val="24"/>
          <w:szCs w:val="24"/>
        </w:rPr>
        <w:t>Hakhel</w:t>
      </w:r>
      <w:r w:rsidR="00B11AF9" w:rsidRPr="004036B1">
        <w:rPr>
          <w:rFonts w:eastAsia="Times New Roman"/>
          <w:color w:val="222222"/>
          <w:sz w:val="24"/>
          <w:szCs w:val="24"/>
        </w:rPr>
        <w:t xml:space="preserve"> ceremony. </w:t>
      </w:r>
    </w:p>
    <w:p w14:paraId="280C9E38" w14:textId="77777777" w:rsidR="00B11AF9" w:rsidRPr="004036B1" w:rsidRDefault="00B11AF9" w:rsidP="00AF6992">
      <w:pPr>
        <w:shd w:val="clear" w:color="auto" w:fill="FFFFFF"/>
        <w:spacing w:line="240" w:lineRule="auto"/>
        <w:jc w:val="both"/>
        <w:rPr>
          <w:rFonts w:eastAsia="Times New Roman"/>
          <w:color w:val="222222"/>
          <w:sz w:val="24"/>
          <w:szCs w:val="24"/>
        </w:rPr>
      </w:pPr>
    </w:p>
    <w:p w14:paraId="36CFA557" w14:textId="1654F69C" w:rsidR="00E7305E" w:rsidRPr="004036B1" w:rsidRDefault="00B11AF9" w:rsidP="00AF6992">
      <w:pPr>
        <w:shd w:val="clear" w:color="auto" w:fill="FFFFFF"/>
        <w:spacing w:line="240" w:lineRule="auto"/>
        <w:ind w:firstLine="720"/>
        <w:jc w:val="both"/>
        <w:rPr>
          <w:rFonts w:eastAsia="Times New Roman"/>
          <w:color w:val="222222"/>
          <w:sz w:val="24"/>
          <w:szCs w:val="24"/>
        </w:rPr>
      </w:pPr>
      <w:r w:rsidRPr="00034A5F">
        <w:rPr>
          <w:rFonts w:eastAsia="Times New Roman"/>
          <w:i/>
          <w:color w:val="222222"/>
          <w:sz w:val="24"/>
          <w:szCs w:val="24"/>
        </w:rPr>
        <w:t>Chagai</w:t>
      </w:r>
      <w:r w:rsidRPr="004036B1">
        <w:rPr>
          <w:rFonts w:eastAsia="Times New Roman"/>
          <w:color w:val="222222"/>
          <w:sz w:val="24"/>
          <w:szCs w:val="24"/>
        </w:rPr>
        <w:t xml:space="preserve">, </w:t>
      </w:r>
      <w:r w:rsidRPr="00034A5F">
        <w:rPr>
          <w:rFonts w:eastAsia="Times New Roman"/>
          <w:i/>
          <w:color w:val="222222"/>
          <w:sz w:val="24"/>
          <w:szCs w:val="24"/>
        </w:rPr>
        <w:t>Zekharia</w:t>
      </w:r>
      <w:r w:rsidR="00247E2E">
        <w:rPr>
          <w:rFonts w:eastAsia="Times New Roman"/>
          <w:iCs/>
          <w:color w:val="222222"/>
          <w:sz w:val="24"/>
          <w:szCs w:val="24"/>
        </w:rPr>
        <w:t>,</w:t>
      </w:r>
      <w:r w:rsidRPr="00034A5F">
        <w:rPr>
          <w:rFonts w:eastAsia="Times New Roman"/>
          <w:i/>
          <w:color w:val="222222"/>
          <w:sz w:val="24"/>
          <w:szCs w:val="24"/>
        </w:rPr>
        <w:t xml:space="preserve"> </w:t>
      </w:r>
      <w:r w:rsidRPr="004036B1">
        <w:rPr>
          <w:rFonts w:eastAsia="Times New Roman"/>
          <w:color w:val="222222"/>
          <w:sz w:val="24"/>
          <w:szCs w:val="24"/>
        </w:rPr>
        <w:t xml:space="preserve">and </w:t>
      </w:r>
      <w:r w:rsidRPr="00034A5F">
        <w:rPr>
          <w:rFonts w:eastAsia="Times New Roman"/>
          <w:i/>
          <w:color w:val="222222"/>
          <w:sz w:val="24"/>
          <w:szCs w:val="24"/>
        </w:rPr>
        <w:t xml:space="preserve">Malakhi </w:t>
      </w:r>
      <w:r w:rsidRPr="004036B1">
        <w:rPr>
          <w:rFonts w:eastAsia="Times New Roman"/>
          <w:color w:val="222222"/>
          <w:sz w:val="24"/>
          <w:szCs w:val="24"/>
        </w:rPr>
        <w:t xml:space="preserve">also bear significant resemblances to the rest of the Bible, </w:t>
      </w:r>
      <w:r w:rsidR="00034A5F">
        <w:rPr>
          <w:rFonts w:eastAsia="Times New Roman"/>
          <w:color w:val="222222"/>
          <w:sz w:val="24"/>
          <w:szCs w:val="24"/>
        </w:rPr>
        <w:t>especially the Later Prophets.</w:t>
      </w:r>
      <w:r w:rsidR="00BE6CEC">
        <w:rPr>
          <w:rFonts w:eastAsia="Times New Roman"/>
          <w:color w:val="222222"/>
          <w:sz w:val="24"/>
          <w:szCs w:val="24"/>
        </w:rPr>
        <w:t xml:space="preserve"> In classic prophetic style, b</w:t>
      </w:r>
      <w:r w:rsidR="0033207F" w:rsidRPr="004036B1">
        <w:rPr>
          <w:rFonts w:eastAsia="Times New Roman"/>
          <w:color w:val="222222"/>
          <w:sz w:val="24"/>
          <w:szCs w:val="24"/>
        </w:rPr>
        <w:t xml:space="preserve">oth </w:t>
      </w:r>
      <w:r w:rsidR="0033207F" w:rsidRPr="00034A5F">
        <w:rPr>
          <w:rFonts w:eastAsia="Times New Roman"/>
          <w:i/>
          <w:color w:val="222222"/>
          <w:sz w:val="24"/>
          <w:szCs w:val="24"/>
        </w:rPr>
        <w:t xml:space="preserve">Chagai </w:t>
      </w:r>
      <w:r w:rsidR="0033207F" w:rsidRPr="004036B1">
        <w:rPr>
          <w:rFonts w:eastAsia="Times New Roman"/>
          <w:color w:val="222222"/>
          <w:sz w:val="24"/>
          <w:szCs w:val="24"/>
        </w:rPr>
        <w:t xml:space="preserve">and </w:t>
      </w:r>
      <w:r w:rsidR="0033207F" w:rsidRPr="00034A5F">
        <w:rPr>
          <w:rFonts w:eastAsia="Times New Roman"/>
          <w:i/>
          <w:color w:val="222222"/>
          <w:sz w:val="24"/>
          <w:szCs w:val="24"/>
        </w:rPr>
        <w:t>Zekharia</w:t>
      </w:r>
      <w:r w:rsidR="007B50AA">
        <w:rPr>
          <w:rFonts w:eastAsia="Times New Roman"/>
          <w:color w:val="222222"/>
          <w:sz w:val="24"/>
          <w:szCs w:val="24"/>
        </w:rPr>
        <w:t xml:space="preserve"> exhort </w:t>
      </w:r>
      <w:r w:rsidR="00034A5F">
        <w:rPr>
          <w:rFonts w:eastAsia="Times New Roman"/>
          <w:color w:val="222222"/>
          <w:sz w:val="24"/>
          <w:szCs w:val="24"/>
        </w:rPr>
        <w:t xml:space="preserve">repentance; </w:t>
      </w:r>
      <w:r w:rsidR="00D55F27">
        <w:rPr>
          <w:rFonts w:eastAsia="Times New Roman"/>
          <w:color w:val="222222"/>
          <w:sz w:val="24"/>
          <w:szCs w:val="24"/>
        </w:rPr>
        <w:t xml:space="preserve">indeed, </w:t>
      </w:r>
      <w:r w:rsidR="007B50AA">
        <w:rPr>
          <w:rFonts w:eastAsia="Times New Roman"/>
          <w:color w:val="222222"/>
          <w:sz w:val="24"/>
          <w:szCs w:val="24"/>
        </w:rPr>
        <w:t xml:space="preserve">in his warning, </w:t>
      </w:r>
      <w:r w:rsidR="0033207F" w:rsidRPr="004036B1">
        <w:rPr>
          <w:rFonts w:eastAsia="Times New Roman"/>
          <w:color w:val="222222"/>
          <w:sz w:val="24"/>
          <w:szCs w:val="24"/>
        </w:rPr>
        <w:t>Zekharia explicitly invokes</w:t>
      </w:r>
      <w:r w:rsidR="007B50AA">
        <w:rPr>
          <w:rFonts w:eastAsia="Times New Roman"/>
          <w:color w:val="222222"/>
          <w:sz w:val="24"/>
          <w:szCs w:val="24"/>
        </w:rPr>
        <w:t xml:space="preserve"> </w:t>
      </w:r>
      <w:r w:rsidR="00A61662">
        <w:rPr>
          <w:rFonts w:eastAsia="Times New Roman"/>
          <w:color w:val="222222"/>
          <w:sz w:val="24"/>
          <w:szCs w:val="24"/>
        </w:rPr>
        <w:t>the “</w:t>
      </w:r>
      <w:r w:rsidR="007B50AA">
        <w:rPr>
          <w:rFonts w:eastAsia="Times New Roman"/>
          <w:color w:val="222222"/>
          <w:sz w:val="24"/>
          <w:szCs w:val="24"/>
        </w:rPr>
        <w:t>earlier prophets</w:t>
      </w:r>
      <w:r w:rsidR="0033207F" w:rsidRPr="004036B1">
        <w:rPr>
          <w:rFonts w:eastAsia="Times New Roman"/>
          <w:color w:val="222222"/>
          <w:sz w:val="24"/>
          <w:szCs w:val="24"/>
        </w:rPr>
        <w:t>.</w:t>
      </w:r>
      <w:r w:rsidR="00A61662">
        <w:rPr>
          <w:rFonts w:eastAsia="Times New Roman"/>
          <w:color w:val="222222"/>
          <w:sz w:val="24"/>
          <w:szCs w:val="24"/>
        </w:rPr>
        <w:t>”</w:t>
      </w:r>
      <w:r w:rsidR="0033207F" w:rsidRPr="004036B1">
        <w:rPr>
          <w:rFonts w:eastAsia="Times New Roman"/>
          <w:color w:val="222222"/>
          <w:sz w:val="24"/>
          <w:szCs w:val="24"/>
        </w:rPr>
        <w:t xml:space="preserve"> The final six chapters of </w:t>
      </w:r>
      <w:r w:rsidR="0033207F" w:rsidRPr="00A61662">
        <w:rPr>
          <w:rFonts w:eastAsia="Times New Roman"/>
          <w:i/>
          <w:color w:val="222222"/>
          <w:sz w:val="24"/>
          <w:szCs w:val="24"/>
        </w:rPr>
        <w:t>Zekharia</w:t>
      </w:r>
      <w:r w:rsidR="007B50AA">
        <w:rPr>
          <w:rFonts w:eastAsia="Times New Roman"/>
          <w:color w:val="222222"/>
          <w:sz w:val="24"/>
          <w:szCs w:val="24"/>
        </w:rPr>
        <w:t xml:space="preserve">, especially </w:t>
      </w:r>
      <w:r w:rsidR="007B50AA" w:rsidRPr="004036B1">
        <w:rPr>
          <w:rFonts w:eastAsia="Times New Roman"/>
          <w:color w:val="222222"/>
          <w:sz w:val="24"/>
          <w:szCs w:val="24"/>
        </w:rPr>
        <w:t>his eschatological</w:t>
      </w:r>
      <w:r w:rsidR="00A61662">
        <w:rPr>
          <w:rFonts w:eastAsia="Times New Roman"/>
          <w:color w:val="222222"/>
          <w:sz w:val="24"/>
          <w:szCs w:val="24"/>
        </w:rPr>
        <w:t xml:space="preserve"> visions</w:t>
      </w:r>
      <w:r w:rsidR="007B50AA">
        <w:rPr>
          <w:rFonts w:eastAsia="Times New Roman"/>
          <w:color w:val="222222"/>
          <w:sz w:val="24"/>
          <w:szCs w:val="24"/>
        </w:rPr>
        <w:t>,</w:t>
      </w:r>
      <w:r w:rsidR="0033207F" w:rsidRPr="004036B1">
        <w:rPr>
          <w:rFonts w:eastAsia="Times New Roman"/>
          <w:color w:val="222222"/>
          <w:sz w:val="24"/>
          <w:szCs w:val="24"/>
        </w:rPr>
        <w:t xml:space="preserve"> echo </w:t>
      </w:r>
      <w:r w:rsidR="00A61662">
        <w:rPr>
          <w:rFonts w:eastAsia="Times New Roman"/>
          <w:color w:val="222222"/>
          <w:sz w:val="24"/>
          <w:szCs w:val="24"/>
        </w:rPr>
        <w:t xml:space="preserve">multiple </w:t>
      </w:r>
      <w:r w:rsidR="0033207F" w:rsidRPr="004036B1">
        <w:rPr>
          <w:rFonts w:eastAsia="Times New Roman"/>
          <w:color w:val="222222"/>
          <w:sz w:val="24"/>
          <w:szCs w:val="24"/>
        </w:rPr>
        <w:t xml:space="preserve">books in </w:t>
      </w:r>
      <w:r w:rsidR="0033207F" w:rsidRPr="007B50AA">
        <w:rPr>
          <w:rFonts w:eastAsia="Times New Roman"/>
          <w:i/>
          <w:color w:val="222222"/>
          <w:sz w:val="24"/>
          <w:szCs w:val="24"/>
        </w:rPr>
        <w:t>Trei Asar</w:t>
      </w:r>
      <w:r w:rsidR="0033207F" w:rsidRPr="004036B1">
        <w:rPr>
          <w:rFonts w:eastAsia="Times New Roman"/>
          <w:color w:val="222222"/>
          <w:sz w:val="24"/>
          <w:szCs w:val="24"/>
        </w:rPr>
        <w:t>. Ma</w:t>
      </w:r>
      <w:r w:rsidR="00247E2E">
        <w:rPr>
          <w:rFonts w:eastAsia="Times New Roman"/>
          <w:color w:val="222222"/>
          <w:sz w:val="24"/>
          <w:szCs w:val="24"/>
        </w:rPr>
        <w:t>lakhi similarly echoes earlier B</w:t>
      </w:r>
      <w:r w:rsidR="0033207F" w:rsidRPr="004036B1">
        <w:rPr>
          <w:rFonts w:eastAsia="Times New Roman"/>
          <w:color w:val="222222"/>
          <w:sz w:val="24"/>
          <w:szCs w:val="24"/>
        </w:rPr>
        <w:t>iblical motifs, including</w:t>
      </w:r>
      <w:r w:rsidR="007B50AA">
        <w:rPr>
          <w:rFonts w:eastAsia="Times New Roman"/>
          <w:color w:val="222222"/>
          <w:sz w:val="24"/>
          <w:szCs w:val="24"/>
        </w:rPr>
        <w:t xml:space="preserve"> the metaphor of a</w:t>
      </w:r>
      <w:r w:rsidR="0033207F" w:rsidRPr="004036B1">
        <w:rPr>
          <w:rFonts w:eastAsia="Times New Roman"/>
          <w:color w:val="222222"/>
          <w:sz w:val="24"/>
          <w:szCs w:val="24"/>
        </w:rPr>
        <w:t xml:space="preserve"> familial relationship to capture the Jews’ relationships with</w:t>
      </w:r>
      <w:r w:rsidR="00A61662">
        <w:rPr>
          <w:rFonts w:eastAsia="Times New Roman"/>
          <w:color w:val="222222"/>
          <w:sz w:val="24"/>
          <w:szCs w:val="24"/>
        </w:rPr>
        <w:t xml:space="preserve"> </w:t>
      </w:r>
      <w:r w:rsidR="00A61662" w:rsidRPr="00247E2E">
        <w:rPr>
          <w:rFonts w:eastAsia="Times New Roman"/>
          <w:i/>
          <w:iCs/>
          <w:color w:val="222222"/>
          <w:sz w:val="24"/>
          <w:szCs w:val="24"/>
        </w:rPr>
        <w:t>Hashem</w:t>
      </w:r>
      <w:r w:rsidR="0033207F" w:rsidRPr="004036B1">
        <w:rPr>
          <w:rFonts w:eastAsia="Times New Roman"/>
          <w:color w:val="222222"/>
          <w:sz w:val="24"/>
          <w:szCs w:val="24"/>
        </w:rPr>
        <w:t>. His invo</w:t>
      </w:r>
      <w:r w:rsidR="007B50AA">
        <w:rPr>
          <w:rFonts w:eastAsia="Times New Roman"/>
          <w:color w:val="222222"/>
          <w:sz w:val="24"/>
          <w:szCs w:val="24"/>
        </w:rPr>
        <w:t>cation of Eliyahu links his book</w:t>
      </w:r>
      <w:r w:rsidR="0033207F" w:rsidRPr="004036B1">
        <w:rPr>
          <w:rFonts w:eastAsia="Times New Roman"/>
          <w:color w:val="222222"/>
          <w:sz w:val="24"/>
          <w:szCs w:val="24"/>
        </w:rPr>
        <w:t xml:space="preserve"> with </w:t>
      </w:r>
      <w:r w:rsidR="0033207F" w:rsidRPr="004036B1">
        <w:rPr>
          <w:rFonts w:eastAsia="Times New Roman"/>
          <w:i/>
          <w:color w:val="222222"/>
          <w:sz w:val="24"/>
          <w:szCs w:val="24"/>
        </w:rPr>
        <w:t>Par</w:t>
      </w:r>
      <w:r w:rsidR="00436F1E">
        <w:rPr>
          <w:rFonts w:eastAsia="Times New Roman"/>
          <w:i/>
          <w:color w:val="222222"/>
          <w:sz w:val="24"/>
          <w:szCs w:val="24"/>
        </w:rPr>
        <w:t>a</w:t>
      </w:r>
      <w:r w:rsidR="0033207F" w:rsidRPr="004036B1">
        <w:rPr>
          <w:rFonts w:eastAsia="Times New Roman"/>
          <w:i/>
          <w:color w:val="222222"/>
          <w:sz w:val="24"/>
          <w:szCs w:val="24"/>
        </w:rPr>
        <w:t>shat Pinchas</w:t>
      </w:r>
      <w:r w:rsidR="00247E2E">
        <w:rPr>
          <w:rFonts w:eastAsia="Times New Roman"/>
          <w:iCs/>
          <w:color w:val="222222"/>
          <w:sz w:val="24"/>
          <w:szCs w:val="24"/>
        </w:rPr>
        <w:t>,</w:t>
      </w:r>
      <w:r w:rsidR="0033207F" w:rsidRPr="004036B1">
        <w:rPr>
          <w:rFonts w:eastAsia="Times New Roman"/>
          <w:i/>
          <w:color w:val="222222"/>
          <w:sz w:val="24"/>
          <w:szCs w:val="24"/>
        </w:rPr>
        <w:t xml:space="preserve"> </w:t>
      </w:r>
      <w:r w:rsidR="0033207F" w:rsidRPr="004036B1">
        <w:rPr>
          <w:rFonts w:eastAsia="Times New Roman"/>
          <w:color w:val="222222"/>
          <w:sz w:val="24"/>
          <w:szCs w:val="24"/>
        </w:rPr>
        <w:t xml:space="preserve">and especially </w:t>
      </w:r>
      <w:r w:rsidR="0033207F" w:rsidRPr="004036B1">
        <w:rPr>
          <w:rFonts w:eastAsia="Times New Roman"/>
          <w:i/>
          <w:color w:val="222222"/>
          <w:sz w:val="24"/>
          <w:szCs w:val="24"/>
        </w:rPr>
        <w:t>Sefer Melakhim</w:t>
      </w:r>
      <w:r w:rsidR="0033207F" w:rsidRPr="004036B1">
        <w:rPr>
          <w:rFonts w:eastAsia="Times New Roman"/>
          <w:color w:val="222222"/>
          <w:sz w:val="24"/>
          <w:szCs w:val="24"/>
        </w:rPr>
        <w:t xml:space="preserve">. </w:t>
      </w:r>
    </w:p>
    <w:p w14:paraId="1FB91309" w14:textId="554963AD" w:rsidR="0033207F" w:rsidRPr="004036B1" w:rsidRDefault="00A3472E" w:rsidP="00AF6992">
      <w:pPr>
        <w:shd w:val="clear" w:color="auto" w:fill="FFFFFF"/>
        <w:spacing w:line="240" w:lineRule="auto"/>
        <w:jc w:val="both"/>
        <w:rPr>
          <w:rFonts w:eastAsia="Times New Roman"/>
          <w:color w:val="222222"/>
          <w:sz w:val="24"/>
          <w:szCs w:val="24"/>
        </w:rPr>
      </w:pPr>
      <w:r>
        <w:rPr>
          <w:rFonts w:eastAsia="Times New Roman"/>
          <w:color w:val="222222"/>
          <w:sz w:val="24"/>
          <w:szCs w:val="24"/>
        </w:rPr>
        <w:tab/>
      </w:r>
    </w:p>
    <w:p w14:paraId="714C3D22" w14:textId="38478AD0" w:rsidR="0033207F" w:rsidRPr="004036B1" w:rsidRDefault="007B50AA" w:rsidP="00AF6992">
      <w:pPr>
        <w:shd w:val="clear" w:color="auto" w:fill="FFFFFF"/>
        <w:spacing w:line="240" w:lineRule="auto"/>
        <w:ind w:firstLine="720"/>
        <w:jc w:val="both"/>
        <w:rPr>
          <w:rFonts w:eastAsia="Times New Roman"/>
          <w:color w:val="222222"/>
          <w:sz w:val="24"/>
          <w:szCs w:val="24"/>
        </w:rPr>
      </w:pPr>
      <w:r>
        <w:rPr>
          <w:rFonts w:eastAsia="Times New Roman"/>
          <w:color w:val="222222"/>
          <w:sz w:val="24"/>
          <w:szCs w:val="24"/>
        </w:rPr>
        <w:t>Still</w:t>
      </w:r>
      <w:r w:rsidR="0033207F" w:rsidRPr="004036B1">
        <w:rPr>
          <w:rFonts w:eastAsia="Times New Roman"/>
          <w:color w:val="222222"/>
          <w:sz w:val="24"/>
          <w:szCs w:val="24"/>
        </w:rPr>
        <w:t>, the</w:t>
      </w:r>
      <w:r w:rsidR="00A61662">
        <w:rPr>
          <w:rFonts w:eastAsia="Times New Roman"/>
          <w:color w:val="222222"/>
          <w:sz w:val="24"/>
          <w:szCs w:val="24"/>
        </w:rPr>
        <w:t>re are</w:t>
      </w:r>
      <w:r w:rsidR="0033207F" w:rsidRPr="004036B1">
        <w:rPr>
          <w:rFonts w:eastAsia="Times New Roman"/>
          <w:color w:val="222222"/>
          <w:sz w:val="24"/>
          <w:szCs w:val="24"/>
        </w:rPr>
        <w:t xml:space="preserve"> </w:t>
      </w:r>
      <w:r w:rsidR="00A61662">
        <w:rPr>
          <w:rFonts w:eastAsia="Times New Roman"/>
          <w:color w:val="222222"/>
          <w:sz w:val="24"/>
          <w:szCs w:val="24"/>
        </w:rPr>
        <w:t xml:space="preserve">eye-popping </w:t>
      </w:r>
      <w:r>
        <w:rPr>
          <w:rFonts w:eastAsia="Times New Roman"/>
          <w:color w:val="222222"/>
          <w:sz w:val="24"/>
          <w:szCs w:val="24"/>
        </w:rPr>
        <w:t xml:space="preserve">departures from the rest of </w:t>
      </w:r>
      <w:r w:rsidRPr="00247E2E">
        <w:rPr>
          <w:rFonts w:eastAsia="Times New Roman"/>
          <w:i/>
          <w:iCs/>
          <w:color w:val="222222"/>
          <w:sz w:val="24"/>
          <w:szCs w:val="24"/>
        </w:rPr>
        <w:t>Tanakh</w:t>
      </w:r>
      <w:r w:rsidR="0033207F" w:rsidRPr="004036B1">
        <w:rPr>
          <w:rFonts w:eastAsia="Times New Roman"/>
          <w:color w:val="222222"/>
          <w:sz w:val="24"/>
          <w:szCs w:val="24"/>
        </w:rPr>
        <w:t xml:space="preserve">. </w:t>
      </w:r>
      <w:r w:rsidR="0012791A" w:rsidRPr="004036B1">
        <w:rPr>
          <w:rFonts w:eastAsia="Times New Roman"/>
          <w:color w:val="222222"/>
          <w:sz w:val="24"/>
          <w:szCs w:val="24"/>
        </w:rPr>
        <w:t>While Chagai speaks of repentance, he focuses not so much on spiritual return</w:t>
      </w:r>
      <w:r w:rsidR="00247E2E">
        <w:rPr>
          <w:rFonts w:eastAsia="Times New Roman"/>
          <w:color w:val="222222"/>
          <w:sz w:val="24"/>
          <w:szCs w:val="24"/>
        </w:rPr>
        <w:t>,</w:t>
      </w:r>
      <w:r w:rsidR="0012791A" w:rsidRPr="004036B1">
        <w:rPr>
          <w:rFonts w:eastAsia="Times New Roman"/>
          <w:color w:val="222222"/>
          <w:sz w:val="24"/>
          <w:szCs w:val="24"/>
        </w:rPr>
        <w:t xml:space="preserve"> but o</w:t>
      </w:r>
      <w:r w:rsidR="00330BC5" w:rsidRPr="004036B1">
        <w:rPr>
          <w:rFonts w:eastAsia="Times New Roman"/>
          <w:color w:val="222222"/>
          <w:sz w:val="24"/>
          <w:szCs w:val="24"/>
        </w:rPr>
        <w:t>n a practical political program</w:t>
      </w:r>
      <w:r w:rsidR="0012791A" w:rsidRPr="004036B1">
        <w:rPr>
          <w:rFonts w:eastAsia="Times New Roman"/>
          <w:color w:val="222222"/>
          <w:sz w:val="24"/>
          <w:szCs w:val="24"/>
        </w:rPr>
        <w:t xml:space="preserve">. </w:t>
      </w:r>
      <w:r w:rsidR="00330BC5" w:rsidRPr="004036B1">
        <w:rPr>
          <w:rFonts w:eastAsia="Times New Roman"/>
          <w:color w:val="222222"/>
          <w:sz w:val="24"/>
          <w:szCs w:val="24"/>
        </w:rPr>
        <w:t xml:space="preserve">Zekharia </w:t>
      </w:r>
      <w:r w:rsidR="00A61662">
        <w:rPr>
          <w:rFonts w:eastAsia="Times New Roman"/>
          <w:color w:val="222222"/>
          <w:sz w:val="24"/>
          <w:szCs w:val="24"/>
        </w:rPr>
        <w:t xml:space="preserve">envisions </w:t>
      </w:r>
      <w:r>
        <w:rPr>
          <w:rFonts w:eastAsia="Times New Roman"/>
          <w:color w:val="222222"/>
          <w:sz w:val="24"/>
          <w:szCs w:val="24"/>
        </w:rPr>
        <w:t>a</w:t>
      </w:r>
      <w:r w:rsidR="00330BC5" w:rsidRPr="004036B1">
        <w:rPr>
          <w:rFonts w:eastAsia="Times New Roman"/>
          <w:color w:val="222222"/>
          <w:sz w:val="24"/>
          <w:szCs w:val="24"/>
        </w:rPr>
        <w:t xml:space="preserve"> messianic period</w:t>
      </w:r>
      <w:r>
        <w:rPr>
          <w:rFonts w:eastAsia="Times New Roman"/>
          <w:color w:val="222222"/>
          <w:sz w:val="24"/>
          <w:szCs w:val="24"/>
        </w:rPr>
        <w:t xml:space="preserve"> that is </w:t>
      </w:r>
      <w:r w:rsidR="00330BC5" w:rsidRPr="004036B1">
        <w:rPr>
          <w:rFonts w:eastAsia="Times New Roman"/>
          <w:color w:val="222222"/>
          <w:sz w:val="24"/>
          <w:szCs w:val="24"/>
        </w:rPr>
        <w:t>sig</w:t>
      </w:r>
      <w:r>
        <w:rPr>
          <w:rFonts w:eastAsia="Times New Roman"/>
          <w:color w:val="222222"/>
          <w:sz w:val="24"/>
          <w:szCs w:val="24"/>
        </w:rPr>
        <w:t>nificantly less cataclysmic than</w:t>
      </w:r>
      <w:r w:rsidR="00330BC5" w:rsidRPr="004036B1">
        <w:rPr>
          <w:rFonts w:eastAsia="Times New Roman"/>
          <w:color w:val="222222"/>
          <w:sz w:val="24"/>
          <w:szCs w:val="24"/>
        </w:rPr>
        <w:t xml:space="preserve"> </w:t>
      </w:r>
      <w:r w:rsidR="00A61662">
        <w:rPr>
          <w:rFonts w:eastAsia="Times New Roman"/>
          <w:color w:val="222222"/>
          <w:sz w:val="24"/>
          <w:szCs w:val="24"/>
        </w:rPr>
        <w:t xml:space="preserve">that depicted </w:t>
      </w:r>
      <w:r>
        <w:rPr>
          <w:rFonts w:eastAsia="Times New Roman"/>
          <w:color w:val="222222"/>
          <w:sz w:val="24"/>
          <w:szCs w:val="24"/>
        </w:rPr>
        <w:t>by</w:t>
      </w:r>
      <w:r w:rsidR="00330BC5" w:rsidRPr="004036B1">
        <w:rPr>
          <w:rFonts w:eastAsia="Times New Roman"/>
          <w:color w:val="222222"/>
          <w:sz w:val="24"/>
          <w:szCs w:val="24"/>
        </w:rPr>
        <w:t xml:space="preserve"> Yoel and others. </w:t>
      </w:r>
      <w:r>
        <w:rPr>
          <w:rFonts w:eastAsia="Times New Roman"/>
          <w:color w:val="222222"/>
          <w:sz w:val="24"/>
          <w:szCs w:val="24"/>
        </w:rPr>
        <w:t>Malakhi’s dialogue</w:t>
      </w:r>
      <w:r w:rsidR="00352E4D" w:rsidRPr="004036B1">
        <w:rPr>
          <w:rFonts w:eastAsia="Times New Roman"/>
          <w:color w:val="222222"/>
          <w:sz w:val="24"/>
          <w:szCs w:val="24"/>
        </w:rPr>
        <w:t xml:space="preserve"> form</w:t>
      </w:r>
      <w:r>
        <w:rPr>
          <w:rFonts w:eastAsia="Times New Roman"/>
          <w:color w:val="222222"/>
          <w:sz w:val="24"/>
          <w:szCs w:val="24"/>
        </w:rPr>
        <w:t>at</w:t>
      </w:r>
      <w:r w:rsidR="00352E4D" w:rsidRPr="004036B1">
        <w:rPr>
          <w:rFonts w:eastAsia="Times New Roman"/>
          <w:color w:val="222222"/>
          <w:sz w:val="24"/>
          <w:szCs w:val="24"/>
        </w:rPr>
        <w:t xml:space="preserve"> is unique among the Prophets. </w:t>
      </w:r>
      <w:r>
        <w:rPr>
          <w:rFonts w:eastAsia="Times New Roman"/>
          <w:color w:val="222222"/>
          <w:sz w:val="24"/>
          <w:szCs w:val="24"/>
        </w:rPr>
        <w:t>Ironically, s</w:t>
      </w:r>
      <w:r w:rsidR="00352E4D" w:rsidRPr="004036B1">
        <w:rPr>
          <w:rFonts w:eastAsia="Times New Roman"/>
          <w:color w:val="222222"/>
          <w:sz w:val="24"/>
          <w:szCs w:val="24"/>
        </w:rPr>
        <w:t>ome of the references to</w:t>
      </w:r>
      <w:r>
        <w:rPr>
          <w:rFonts w:eastAsia="Times New Roman"/>
          <w:color w:val="222222"/>
          <w:sz w:val="24"/>
          <w:szCs w:val="24"/>
        </w:rPr>
        <w:t xml:space="preserve"> </w:t>
      </w:r>
      <w:r w:rsidR="00247E2E">
        <w:rPr>
          <w:rFonts w:eastAsia="Times New Roman"/>
          <w:i/>
          <w:color w:val="222222"/>
          <w:sz w:val="24"/>
          <w:szCs w:val="24"/>
        </w:rPr>
        <w:t>nevua</w:t>
      </w:r>
      <w:r>
        <w:rPr>
          <w:rFonts w:eastAsia="Times New Roman"/>
          <w:color w:val="222222"/>
          <w:sz w:val="24"/>
          <w:szCs w:val="24"/>
        </w:rPr>
        <w:t xml:space="preserve"> </w:t>
      </w:r>
      <w:r w:rsidR="00352E4D" w:rsidRPr="004036B1">
        <w:rPr>
          <w:rFonts w:eastAsia="Times New Roman"/>
          <w:color w:val="222222"/>
          <w:sz w:val="24"/>
          <w:szCs w:val="24"/>
        </w:rPr>
        <w:t xml:space="preserve">in </w:t>
      </w:r>
      <w:r w:rsidR="00352E4D" w:rsidRPr="00A61662">
        <w:rPr>
          <w:rFonts w:eastAsia="Times New Roman"/>
          <w:i/>
          <w:color w:val="222222"/>
          <w:sz w:val="24"/>
          <w:szCs w:val="24"/>
        </w:rPr>
        <w:t xml:space="preserve">Nechemia </w:t>
      </w:r>
      <w:r>
        <w:rPr>
          <w:rFonts w:eastAsia="Times New Roman"/>
          <w:color w:val="222222"/>
          <w:sz w:val="24"/>
          <w:szCs w:val="24"/>
        </w:rPr>
        <w:t>chapter</w:t>
      </w:r>
      <w:r w:rsidR="00247E2E">
        <w:rPr>
          <w:rFonts w:eastAsia="Times New Roman"/>
          <w:color w:val="222222"/>
          <w:sz w:val="24"/>
          <w:szCs w:val="24"/>
        </w:rPr>
        <w:t xml:space="preserve"> 6</w:t>
      </w:r>
      <w:r>
        <w:rPr>
          <w:rFonts w:eastAsia="Times New Roman"/>
          <w:color w:val="222222"/>
          <w:sz w:val="24"/>
          <w:szCs w:val="24"/>
        </w:rPr>
        <w:t xml:space="preserve"> </w:t>
      </w:r>
      <w:r w:rsidR="005A4307">
        <w:rPr>
          <w:rFonts w:eastAsia="Times New Roman"/>
          <w:color w:val="222222"/>
          <w:sz w:val="24"/>
          <w:szCs w:val="24"/>
        </w:rPr>
        <w:t xml:space="preserve">do not refer to </w:t>
      </w:r>
      <w:r w:rsidR="00352E4D" w:rsidRPr="004036B1">
        <w:rPr>
          <w:rFonts w:eastAsia="Times New Roman"/>
          <w:color w:val="222222"/>
          <w:sz w:val="24"/>
          <w:szCs w:val="24"/>
        </w:rPr>
        <w:t>pro</w:t>
      </w:r>
      <w:r>
        <w:rPr>
          <w:rFonts w:eastAsia="Times New Roman"/>
          <w:color w:val="222222"/>
          <w:sz w:val="24"/>
          <w:szCs w:val="24"/>
        </w:rPr>
        <w:t xml:space="preserve">phecy. </w:t>
      </w:r>
      <w:r w:rsidR="00854FD9">
        <w:rPr>
          <w:rFonts w:eastAsia="Times New Roman"/>
          <w:color w:val="222222"/>
          <w:sz w:val="24"/>
          <w:szCs w:val="24"/>
        </w:rPr>
        <w:t>Perhaps most remarkable, a</w:t>
      </w:r>
      <w:r>
        <w:rPr>
          <w:rFonts w:eastAsia="Times New Roman"/>
          <w:color w:val="222222"/>
          <w:sz w:val="24"/>
          <w:szCs w:val="24"/>
        </w:rPr>
        <w:t>t the beginning of</w:t>
      </w:r>
      <w:r w:rsidR="00352E4D" w:rsidRPr="004036B1">
        <w:rPr>
          <w:rFonts w:eastAsia="Times New Roman"/>
          <w:color w:val="222222"/>
          <w:sz w:val="24"/>
          <w:szCs w:val="24"/>
        </w:rPr>
        <w:t xml:space="preserve"> </w:t>
      </w:r>
      <w:r w:rsidR="00352E4D" w:rsidRPr="007B50AA">
        <w:rPr>
          <w:rFonts w:eastAsia="Times New Roman"/>
          <w:i/>
          <w:color w:val="222222"/>
          <w:sz w:val="24"/>
          <w:szCs w:val="24"/>
        </w:rPr>
        <w:t>Ezra</w:t>
      </w:r>
      <w:r w:rsidR="00352E4D" w:rsidRPr="004036B1">
        <w:rPr>
          <w:rFonts w:eastAsia="Times New Roman"/>
          <w:color w:val="222222"/>
          <w:sz w:val="24"/>
          <w:szCs w:val="24"/>
        </w:rPr>
        <w:t xml:space="preserve">, the Jews are inspired to return to Israel </w:t>
      </w:r>
      <w:r w:rsidR="00A61662">
        <w:rPr>
          <w:rFonts w:eastAsia="Times New Roman"/>
          <w:color w:val="222222"/>
          <w:sz w:val="24"/>
          <w:szCs w:val="24"/>
        </w:rPr>
        <w:t>not by a Jewish prophet</w:t>
      </w:r>
      <w:r w:rsidR="00247E2E">
        <w:rPr>
          <w:rFonts w:eastAsia="Times New Roman"/>
          <w:color w:val="222222"/>
          <w:sz w:val="24"/>
          <w:szCs w:val="24"/>
        </w:rPr>
        <w:t>,</w:t>
      </w:r>
      <w:r w:rsidR="00A61662">
        <w:rPr>
          <w:rFonts w:eastAsia="Times New Roman"/>
          <w:color w:val="222222"/>
          <w:sz w:val="24"/>
          <w:szCs w:val="24"/>
        </w:rPr>
        <w:t xml:space="preserve"> but </w:t>
      </w:r>
      <w:r w:rsidR="0007120C">
        <w:rPr>
          <w:rFonts w:eastAsia="Times New Roman"/>
          <w:color w:val="222222"/>
          <w:sz w:val="24"/>
          <w:szCs w:val="24"/>
        </w:rPr>
        <w:t xml:space="preserve">by Cyrus, </w:t>
      </w:r>
      <w:r w:rsidR="00352E4D" w:rsidRPr="004036B1">
        <w:rPr>
          <w:rFonts w:eastAsia="Times New Roman"/>
          <w:color w:val="222222"/>
          <w:sz w:val="24"/>
          <w:szCs w:val="24"/>
        </w:rPr>
        <w:t xml:space="preserve">a quasi-prophetic gentile king. </w:t>
      </w:r>
    </w:p>
    <w:p w14:paraId="025CC828" w14:textId="77777777" w:rsidR="00352E4D" w:rsidRPr="004036B1" w:rsidRDefault="00352E4D" w:rsidP="00AF6992">
      <w:pPr>
        <w:shd w:val="clear" w:color="auto" w:fill="FFFFFF"/>
        <w:spacing w:line="240" w:lineRule="auto"/>
        <w:jc w:val="both"/>
        <w:rPr>
          <w:rFonts w:eastAsia="Times New Roman"/>
          <w:color w:val="222222"/>
          <w:sz w:val="24"/>
          <w:szCs w:val="24"/>
        </w:rPr>
      </w:pPr>
    </w:p>
    <w:p w14:paraId="3C775C68" w14:textId="60D8734C" w:rsidR="00352E4D" w:rsidRPr="004036B1" w:rsidRDefault="00352E4D" w:rsidP="00AF6992">
      <w:pPr>
        <w:shd w:val="clear" w:color="auto" w:fill="FFFFFF"/>
        <w:spacing w:line="240" w:lineRule="auto"/>
        <w:ind w:firstLine="720"/>
        <w:jc w:val="both"/>
        <w:rPr>
          <w:rFonts w:eastAsia="Times New Roman"/>
          <w:color w:val="222222"/>
          <w:sz w:val="24"/>
          <w:szCs w:val="24"/>
        </w:rPr>
      </w:pPr>
      <w:r w:rsidRPr="004036B1">
        <w:rPr>
          <w:rFonts w:eastAsia="Times New Roman"/>
          <w:color w:val="222222"/>
          <w:sz w:val="24"/>
          <w:szCs w:val="24"/>
        </w:rPr>
        <w:t>The</w:t>
      </w:r>
      <w:r w:rsidR="00DF10D3">
        <w:rPr>
          <w:rFonts w:eastAsia="Times New Roman"/>
          <w:color w:val="222222"/>
          <w:sz w:val="24"/>
          <w:szCs w:val="24"/>
        </w:rPr>
        <w:t xml:space="preserve"> </w:t>
      </w:r>
      <w:r w:rsidR="00A61662">
        <w:rPr>
          <w:rFonts w:eastAsia="Times New Roman"/>
          <w:color w:val="222222"/>
          <w:sz w:val="24"/>
          <w:szCs w:val="24"/>
        </w:rPr>
        <w:t>terrain</w:t>
      </w:r>
      <w:r w:rsidR="00DF10D3">
        <w:rPr>
          <w:rFonts w:eastAsia="Times New Roman"/>
          <w:color w:val="222222"/>
          <w:sz w:val="24"/>
          <w:szCs w:val="24"/>
        </w:rPr>
        <w:t xml:space="preserve">, moreover, has </w:t>
      </w:r>
      <w:r w:rsidRPr="004036B1">
        <w:rPr>
          <w:rFonts w:eastAsia="Times New Roman"/>
          <w:color w:val="222222"/>
          <w:sz w:val="24"/>
          <w:szCs w:val="24"/>
        </w:rPr>
        <w:t>shifted considerably</w:t>
      </w:r>
      <w:r w:rsidR="00DF10D3">
        <w:rPr>
          <w:rFonts w:eastAsia="Times New Roman"/>
          <w:color w:val="222222"/>
          <w:sz w:val="24"/>
          <w:szCs w:val="24"/>
        </w:rPr>
        <w:t xml:space="preserve"> from earlier</w:t>
      </w:r>
      <w:r w:rsidR="00F1365F">
        <w:rPr>
          <w:rFonts w:eastAsia="Times New Roman"/>
          <w:color w:val="222222"/>
          <w:sz w:val="24"/>
          <w:szCs w:val="24"/>
        </w:rPr>
        <w:t xml:space="preserve"> eras</w:t>
      </w:r>
      <w:r w:rsidRPr="004036B1">
        <w:rPr>
          <w:rFonts w:eastAsia="Times New Roman"/>
          <w:color w:val="222222"/>
          <w:sz w:val="24"/>
          <w:szCs w:val="24"/>
        </w:rPr>
        <w:t xml:space="preserve">. The </w:t>
      </w:r>
      <w:r w:rsidR="00903882">
        <w:rPr>
          <w:rFonts w:eastAsia="Times New Roman"/>
          <w:color w:val="222222"/>
          <w:sz w:val="24"/>
          <w:szCs w:val="24"/>
        </w:rPr>
        <w:t xml:space="preserve">omnipresent </w:t>
      </w:r>
      <w:r w:rsidRPr="004036B1">
        <w:rPr>
          <w:rFonts w:eastAsia="Times New Roman"/>
          <w:color w:val="222222"/>
          <w:sz w:val="24"/>
          <w:szCs w:val="24"/>
        </w:rPr>
        <w:t xml:space="preserve">temptation of idolatry has been </w:t>
      </w:r>
      <w:r w:rsidR="004C15A5">
        <w:rPr>
          <w:rFonts w:eastAsia="Times New Roman"/>
          <w:color w:val="222222"/>
          <w:sz w:val="24"/>
          <w:szCs w:val="24"/>
        </w:rPr>
        <w:t xml:space="preserve">overtaken </w:t>
      </w:r>
      <w:r w:rsidRPr="004036B1">
        <w:rPr>
          <w:rFonts w:eastAsia="Times New Roman"/>
          <w:color w:val="222222"/>
          <w:sz w:val="24"/>
          <w:szCs w:val="24"/>
        </w:rPr>
        <w:t xml:space="preserve">by the </w:t>
      </w:r>
      <w:r w:rsidR="00227C1E">
        <w:rPr>
          <w:rFonts w:eastAsia="Times New Roman"/>
          <w:color w:val="222222"/>
          <w:sz w:val="24"/>
          <w:szCs w:val="24"/>
        </w:rPr>
        <w:t xml:space="preserve">allure </w:t>
      </w:r>
      <w:r w:rsidRPr="004036B1">
        <w:rPr>
          <w:rFonts w:eastAsia="Times New Roman"/>
          <w:color w:val="222222"/>
          <w:sz w:val="24"/>
          <w:szCs w:val="24"/>
        </w:rPr>
        <w:t xml:space="preserve">of intermarriage. Ezra and Nechemia represent radically new models of spiritual and political leadership. </w:t>
      </w:r>
      <w:r w:rsidR="00C21D3D">
        <w:rPr>
          <w:rFonts w:eastAsia="Times New Roman"/>
          <w:color w:val="222222"/>
          <w:sz w:val="24"/>
          <w:szCs w:val="24"/>
        </w:rPr>
        <w:t>Like modern leaders and u</w:t>
      </w:r>
      <w:r w:rsidR="00A61662">
        <w:rPr>
          <w:rFonts w:eastAsia="Times New Roman"/>
          <w:color w:val="222222"/>
          <w:sz w:val="24"/>
          <w:szCs w:val="24"/>
        </w:rPr>
        <w:t>nlike the P</w:t>
      </w:r>
      <w:r w:rsidRPr="004036B1">
        <w:rPr>
          <w:rFonts w:eastAsia="Times New Roman"/>
          <w:color w:val="222222"/>
          <w:sz w:val="24"/>
          <w:szCs w:val="24"/>
        </w:rPr>
        <w:t xml:space="preserve">rophets, they are charged not </w:t>
      </w:r>
      <w:r w:rsidR="00D55F27">
        <w:rPr>
          <w:rFonts w:eastAsia="Times New Roman"/>
          <w:color w:val="222222"/>
          <w:sz w:val="24"/>
          <w:szCs w:val="24"/>
        </w:rPr>
        <w:t>to denounce</w:t>
      </w:r>
      <w:r w:rsidR="00E417A0">
        <w:rPr>
          <w:rFonts w:eastAsia="Times New Roman"/>
          <w:color w:val="222222"/>
          <w:sz w:val="24"/>
          <w:szCs w:val="24"/>
        </w:rPr>
        <w:t xml:space="preserve"> </w:t>
      </w:r>
      <w:r w:rsidR="00C21D3D">
        <w:rPr>
          <w:rFonts w:eastAsia="Times New Roman"/>
          <w:color w:val="222222"/>
          <w:sz w:val="24"/>
          <w:szCs w:val="24"/>
        </w:rPr>
        <w:t>moral failings</w:t>
      </w:r>
      <w:r w:rsidR="00247E2E">
        <w:rPr>
          <w:rFonts w:eastAsia="Times New Roman"/>
          <w:color w:val="222222"/>
          <w:sz w:val="24"/>
          <w:szCs w:val="24"/>
        </w:rPr>
        <w:t>,</w:t>
      </w:r>
      <w:r w:rsidR="00C21D3D">
        <w:rPr>
          <w:rFonts w:eastAsia="Times New Roman"/>
          <w:color w:val="222222"/>
          <w:sz w:val="24"/>
          <w:szCs w:val="24"/>
        </w:rPr>
        <w:t xml:space="preserve"> </w:t>
      </w:r>
      <w:r w:rsidR="00D55F27">
        <w:rPr>
          <w:rFonts w:eastAsia="Times New Roman"/>
          <w:color w:val="222222"/>
          <w:sz w:val="24"/>
          <w:szCs w:val="24"/>
        </w:rPr>
        <w:t xml:space="preserve">but </w:t>
      </w:r>
      <w:r w:rsidRPr="004036B1">
        <w:rPr>
          <w:rFonts w:eastAsia="Times New Roman"/>
          <w:color w:val="222222"/>
          <w:sz w:val="24"/>
          <w:szCs w:val="24"/>
        </w:rPr>
        <w:t xml:space="preserve">to inspire </w:t>
      </w:r>
      <w:r w:rsidR="00090B7E">
        <w:rPr>
          <w:rFonts w:eastAsia="Times New Roman"/>
          <w:color w:val="222222"/>
          <w:sz w:val="24"/>
          <w:szCs w:val="24"/>
        </w:rPr>
        <w:t xml:space="preserve">practical </w:t>
      </w:r>
      <w:r w:rsidRPr="004036B1">
        <w:rPr>
          <w:rFonts w:eastAsia="Times New Roman"/>
          <w:color w:val="222222"/>
          <w:sz w:val="24"/>
          <w:szCs w:val="24"/>
        </w:rPr>
        <w:t xml:space="preserve">change. </w:t>
      </w:r>
      <w:r w:rsidR="00247E2E">
        <w:rPr>
          <w:rFonts w:eastAsia="Times New Roman"/>
          <w:color w:val="222222"/>
          <w:sz w:val="24"/>
          <w:szCs w:val="24"/>
        </w:rPr>
        <w:t>Like many post-B</w:t>
      </w:r>
      <w:r w:rsidR="00F200F7">
        <w:rPr>
          <w:rFonts w:eastAsia="Times New Roman"/>
          <w:color w:val="222222"/>
          <w:sz w:val="24"/>
          <w:szCs w:val="24"/>
        </w:rPr>
        <w:t>iblical memoirists, they write much of their stories in first person. T</w:t>
      </w:r>
      <w:r w:rsidRPr="004036B1">
        <w:rPr>
          <w:rFonts w:eastAsia="Times New Roman"/>
          <w:color w:val="222222"/>
          <w:sz w:val="24"/>
          <w:szCs w:val="24"/>
        </w:rPr>
        <w:t>heir language</w:t>
      </w:r>
      <w:r w:rsidR="00BC306E">
        <w:rPr>
          <w:rFonts w:eastAsia="Times New Roman"/>
          <w:color w:val="222222"/>
          <w:sz w:val="24"/>
          <w:szCs w:val="24"/>
        </w:rPr>
        <w:t>,</w:t>
      </w:r>
      <w:r w:rsidRPr="004036B1">
        <w:rPr>
          <w:rFonts w:eastAsia="Times New Roman"/>
          <w:color w:val="222222"/>
          <w:sz w:val="24"/>
          <w:szCs w:val="24"/>
        </w:rPr>
        <w:t xml:space="preserve"> in particular Ezra’s heavy reliance on </w:t>
      </w:r>
      <w:r w:rsidR="00247E2E">
        <w:rPr>
          <w:rFonts w:eastAsia="Times New Roman"/>
          <w:color w:val="222222"/>
          <w:sz w:val="24"/>
          <w:szCs w:val="24"/>
        </w:rPr>
        <w:t>B</w:t>
      </w:r>
      <w:r w:rsidRPr="004036B1">
        <w:rPr>
          <w:rFonts w:eastAsia="Times New Roman"/>
          <w:color w:val="222222"/>
          <w:sz w:val="24"/>
          <w:szCs w:val="24"/>
        </w:rPr>
        <w:t>iblical Aramaic</w:t>
      </w:r>
      <w:r w:rsidR="007E170E" w:rsidRPr="004036B1">
        <w:rPr>
          <w:rFonts w:eastAsia="Times New Roman"/>
          <w:color w:val="222222"/>
          <w:sz w:val="24"/>
          <w:szCs w:val="24"/>
        </w:rPr>
        <w:t xml:space="preserve">, is not utterly unique </w:t>
      </w:r>
      <w:r w:rsidR="00C03EF5">
        <w:rPr>
          <w:rFonts w:eastAsia="Times New Roman"/>
          <w:color w:val="222222"/>
          <w:sz w:val="24"/>
          <w:szCs w:val="24"/>
        </w:rPr>
        <w:t xml:space="preserve">in </w:t>
      </w:r>
      <w:r w:rsidR="00C03EF5" w:rsidRPr="00247E2E">
        <w:rPr>
          <w:rFonts w:eastAsia="Times New Roman"/>
          <w:i/>
          <w:iCs/>
          <w:color w:val="222222"/>
          <w:sz w:val="24"/>
          <w:szCs w:val="24"/>
        </w:rPr>
        <w:t>Tanakh</w:t>
      </w:r>
      <w:r w:rsidR="00247E2E">
        <w:rPr>
          <w:rFonts w:eastAsia="Times New Roman"/>
          <w:color w:val="222222"/>
          <w:sz w:val="24"/>
          <w:szCs w:val="24"/>
        </w:rPr>
        <w:t>,</w:t>
      </w:r>
      <w:r w:rsidR="00C03EF5">
        <w:rPr>
          <w:rFonts w:eastAsia="Times New Roman"/>
          <w:color w:val="222222"/>
          <w:sz w:val="24"/>
          <w:szCs w:val="24"/>
        </w:rPr>
        <w:t xml:space="preserve"> </w:t>
      </w:r>
      <w:r w:rsidR="007E170E" w:rsidRPr="004036B1">
        <w:rPr>
          <w:rFonts w:eastAsia="Times New Roman"/>
          <w:color w:val="222222"/>
          <w:sz w:val="24"/>
          <w:szCs w:val="24"/>
        </w:rPr>
        <w:t xml:space="preserve">but is fairly unusual. </w:t>
      </w:r>
    </w:p>
    <w:p w14:paraId="0D0EB971" w14:textId="77777777" w:rsidR="0012791A" w:rsidRPr="004036B1" w:rsidRDefault="0012791A" w:rsidP="00AF6992">
      <w:pPr>
        <w:shd w:val="clear" w:color="auto" w:fill="FFFFFF"/>
        <w:spacing w:line="240" w:lineRule="auto"/>
        <w:jc w:val="both"/>
        <w:rPr>
          <w:rFonts w:eastAsia="Times New Roman"/>
          <w:color w:val="222222"/>
          <w:sz w:val="24"/>
          <w:szCs w:val="24"/>
        </w:rPr>
      </w:pPr>
    </w:p>
    <w:p w14:paraId="6BB8E48D" w14:textId="78DFD0B8" w:rsidR="00D12DCE" w:rsidRPr="004036B1" w:rsidRDefault="003311D1" w:rsidP="00AF6992">
      <w:pPr>
        <w:shd w:val="clear" w:color="auto" w:fill="FFFFFF"/>
        <w:spacing w:line="240" w:lineRule="auto"/>
        <w:ind w:firstLine="720"/>
        <w:jc w:val="both"/>
        <w:rPr>
          <w:rFonts w:eastAsia="Times New Roman"/>
          <w:color w:val="222222"/>
          <w:sz w:val="24"/>
          <w:szCs w:val="24"/>
        </w:rPr>
      </w:pPr>
      <w:r w:rsidRPr="004036B1">
        <w:rPr>
          <w:rFonts w:eastAsia="Times New Roman"/>
          <w:color w:val="222222"/>
          <w:sz w:val="24"/>
          <w:szCs w:val="24"/>
        </w:rPr>
        <w:t xml:space="preserve">The presentation of </w:t>
      </w:r>
      <w:r w:rsidR="00247E2E" w:rsidRPr="00247E2E">
        <w:rPr>
          <w:rFonts w:eastAsia="Times New Roman"/>
          <w:iCs/>
          <w:color w:val="222222"/>
          <w:sz w:val="24"/>
          <w:szCs w:val="24"/>
        </w:rPr>
        <w:t>H</w:t>
      </w:r>
      <w:r w:rsidRPr="00247E2E">
        <w:rPr>
          <w:rFonts w:eastAsia="Times New Roman"/>
          <w:iCs/>
          <w:color w:val="222222"/>
          <w:sz w:val="24"/>
          <w:szCs w:val="24"/>
        </w:rPr>
        <w:t>alakha</w:t>
      </w:r>
      <w:r w:rsidR="000C5F64">
        <w:rPr>
          <w:rFonts w:eastAsia="Times New Roman"/>
          <w:color w:val="222222"/>
          <w:sz w:val="24"/>
          <w:szCs w:val="24"/>
        </w:rPr>
        <w:t xml:space="preserve"> is particularly eye-opening. As discussed</w:t>
      </w:r>
      <w:r w:rsidR="00A61662">
        <w:rPr>
          <w:rFonts w:eastAsia="Times New Roman"/>
          <w:color w:val="222222"/>
          <w:sz w:val="24"/>
          <w:szCs w:val="24"/>
        </w:rPr>
        <w:t xml:space="preserve"> in a pr</w:t>
      </w:r>
      <w:r w:rsidR="00247E2E">
        <w:rPr>
          <w:rFonts w:eastAsia="Times New Roman"/>
          <w:color w:val="222222"/>
          <w:sz w:val="24"/>
          <w:szCs w:val="24"/>
        </w:rPr>
        <w:t>evious</w:t>
      </w:r>
      <w:r w:rsidR="00A61662">
        <w:rPr>
          <w:rFonts w:eastAsia="Times New Roman"/>
          <w:color w:val="222222"/>
          <w:sz w:val="24"/>
          <w:szCs w:val="24"/>
        </w:rPr>
        <w:t xml:space="preserve"> </w:t>
      </w:r>
      <w:r w:rsidR="00A61662" w:rsidRPr="00A61662">
        <w:rPr>
          <w:rFonts w:eastAsia="Times New Roman"/>
          <w:i/>
          <w:color w:val="222222"/>
          <w:sz w:val="24"/>
          <w:szCs w:val="24"/>
        </w:rPr>
        <w:t>shiur</w:t>
      </w:r>
      <w:r w:rsidR="000C5F64">
        <w:rPr>
          <w:rFonts w:eastAsia="Times New Roman"/>
          <w:color w:val="222222"/>
          <w:sz w:val="24"/>
          <w:szCs w:val="24"/>
        </w:rPr>
        <w:t>, there</w:t>
      </w:r>
      <w:r w:rsidRPr="004036B1">
        <w:rPr>
          <w:rFonts w:eastAsia="Times New Roman"/>
          <w:color w:val="222222"/>
          <w:sz w:val="24"/>
          <w:szCs w:val="24"/>
        </w:rPr>
        <w:t xml:space="preserve"> are major question marks surrounding the exact relationship between the </w:t>
      </w:r>
      <w:r w:rsidRPr="006F5A34">
        <w:rPr>
          <w:rFonts w:eastAsia="Times New Roman"/>
          <w:i/>
          <w:color w:val="222222"/>
          <w:sz w:val="24"/>
          <w:szCs w:val="24"/>
        </w:rPr>
        <w:t>halakhot</w:t>
      </w:r>
      <w:r w:rsidRPr="004036B1">
        <w:rPr>
          <w:rFonts w:eastAsia="Times New Roman"/>
          <w:color w:val="222222"/>
          <w:sz w:val="24"/>
          <w:szCs w:val="24"/>
        </w:rPr>
        <w:t xml:space="preserve"> as presented </w:t>
      </w:r>
      <w:r w:rsidR="006F5A34">
        <w:rPr>
          <w:rFonts w:eastAsia="Times New Roman"/>
          <w:color w:val="222222"/>
          <w:sz w:val="24"/>
          <w:szCs w:val="24"/>
        </w:rPr>
        <w:t>i</w:t>
      </w:r>
      <w:r w:rsidRPr="004036B1">
        <w:rPr>
          <w:rFonts w:eastAsia="Times New Roman"/>
          <w:color w:val="222222"/>
          <w:sz w:val="24"/>
          <w:szCs w:val="24"/>
        </w:rPr>
        <w:t xml:space="preserve">n </w:t>
      </w:r>
      <w:r w:rsidRPr="00FF779D">
        <w:rPr>
          <w:rFonts w:eastAsia="Times New Roman"/>
          <w:i/>
          <w:color w:val="222222"/>
          <w:sz w:val="24"/>
          <w:szCs w:val="24"/>
        </w:rPr>
        <w:t xml:space="preserve">Ezra-Nechemia </w:t>
      </w:r>
      <w:r w:rsidRPr="004036B1">
        <w:rPr>
          <w:rFonts w:eastAsia="Times New Roman"/>
          <w:color w:val="222222"/>
          <w:sz w:val="24"/>
          <w:szCs w:val="24"/>
        </w:rPr>
        <w:t xml:space="preserve">and </w:t>
      </w:r>
      <w:r w:rsidR="00247E2E">
        <w:rPr>
          <w:rFonts w:eastAsia="Times New Roman"/>
          <w:color w:val="222222"/>
          <w:sz w:val="24"/>
          <w:szCs w:val="24"/>
        </w:rPr>
        <w:t>B</w:t>
      </w:r>
      <w:r w:rsidRPr="004036B1">
        <w:rPr>
          <w:rFonts w:eastAsia="Times New Roman"/>
          <w:color w:val="222222"/>
          <w:sz w:val="24"/>
          <w:szCs w:val="24"/>
        </w:rPr>
        <w:t>iblical</w:t>
      </w:r>
      <w:r w:rsidR="006F5A34">
        <w:rPr>
          <w:rFonts w:eastAsia="Times New Roman"/>
          <w:color w:val="222222"/>
          <w:sz w:val="24"/>
          <w:szCs w:val="24"/>
        </w:rPr>
        <w:t xml:space="preserve"> law.</w:t>
      </w:r>
      <w:r w:rsidRPr="004036B1">
        <w:rPr>
          <w:rFonts w:eastAsia="Times New Roman"/>
          <w:color w:val="222222"/>
          <w:sz w:val="24"/>
          <w:szCs w:val="24"/>
        </w:rPr>
        <w:t xml:space="preserve"> More</w:t>
      </w:r>
      <w:r w:rsidR="00A61662">
        <w:rPr>
          <w:rFonts w:eastAsia="Times New Roman"/>
          <w:color w:val="222222"/>
          <w:sz w:val="24"/>
          <w:szCs w:val="24"/>
        </w:rPr>
        <w:t xml:space="preserve"> </w:t>
      </w:r>
      <w:r w:rsidR="00247E2E">
        <w:rPr>
          <w:rFonts w:eastAsia="Times New Roman"/>
          <w:color w:val="222222"/>
          <w:sz w:val="24"/>
          <w:szCs w:val="24"/>
        </w:rPr>
        <w:t>broadly</w:t>
      </w:r>
      <w:r w:rsidRPr="004036B1">
        <w:rPr>
          <w:rFonts w:eastAsia="Times New Roman"/>
          <w:color w:val="222222"/>
          <w:sz w:val="24"/>
          <w:szCs w:val="24"/>
        </w:rPr>
        <w:t>, the need for a renewed commitment to the covenant certainly implies that we have entered a new era in Jewis</w:t>
      </w:r>
      <w:r w:rsidR="00725D8F" w:rsidRPr="004036B1">
        <w:rPr>
          <w:rFonts w:eastAsia="Times New Roman"/>
          <w:color w:val="222222"/>
          <w:sz w:val="24"/>
          <w:szCs w:val="24"/>
        </w:rPr>
        <w:t>h history.</w:t>
      </w:r>
      <w:r w:rsidRPr="004036B1">
        <w:rPr>
          <w:rFonts w:eastAsia="Times New Roman"/>
          <w:color w:val="222222"/>
          <w:sz w:val="24"/>
          <w:szCs w:val="24"/>
        </w:rPr>
        <w:t xml:space="preserve"> </w:t>
      </w:r>
    </w:p>
    <w:p w14:paraId="3669D99F" w14:textId="77777777" w:rsidR="00D12DCE" w:rsidRPr="004036B1" w:rsidRDefault="00D12DCE" w:rsidP="00AF6992">
      <w:pPr>
        <w:shd w:val="clear" w:color="auto" w:fill="FFFFFF"/>
        <w:spacing w:line="240" w:lineRule="auto"/>
        <w:jc w:val="both"/>
        <w:rPr>
          <w:rFonts w:eastAsia="Times New Roman"/>
          <w:color w:val="222222"/>
          <w:sz w:val="24"/>
          <w:szCs w:val="24"/>
        </w:rPr>
      </w:pPr>
    </w:p>
    <w:p w14:paraId="58710855" w14:textId="3550DFCC" w:rsidR="00A61662" w:rsidRDefault="00D12DCE" w:rsidP="00AF6992">
      <w:pPr>
        <w:shd w:val="clear" w:color="auto" w:fill="FFFFFF"/>
        <w:spacing w:line="240" w:lineRule="auto"/>
        <w:ind w:firstLine="720"/>
        <w:jc w:val="both"/>
        <w:rPr>
          <w:rFonts w:eastAsia="Times New Roman"/>
          <w:color w:val="222222"/>
          <w:sz w:val="24"/>
          <w:szCs w:val="24"/>
        </w:rPr>
      </w:pPr>
      <w:r w:rsidRPr="004036B1">
        <w:rPr>
          <w:rFonts w:eastAsia="Times New Roman"/>
          <w:color w:val="222222"/>
          <w:sz w:val="24"/>
          <w:szCs w:val="24"/>
        </w:rPr>
        <w:t xml:space="preserve">Just </w:t>
      </w:r>
      <w:r w:rsidR="00247E2E">
        <w:rPr>
          <w:rFonts w:eastAsia="Times New Roman"/>
          <w:color w:val="222222"/>
          <w:sz w:val="24"/>
          <w:szCs w:val="24"/>
        </w:rPr>
        <w:t>like</w:t>
      </w:r>
      <w:r w:rsidRPr="004036B1">
        <w:rPr>
          <w:rFonts w:eastAsia="Times New Roman"/>
          <w:color w:val="222222"/>
          <w:sz w:val="24"/>
          <w:szCs w:val="24"/>
        </w:rPr>
        <w:t xml:space="preserve"> the relationship between</w:t>
      </w:r>
      <w:r w:rsidR="00A61662">
        <w:rPr>
          <w:rFonts w:eastAsia="Times New Roman"/>
          <w:color w:val="222222"/>
          <w:sz w:val="24"/>
          <w:szCs w:val="24"/>
        </w:rPr>
        <w:t xml:space="preserve"> the books of</w:t>
      </w:r>
      <w:r w:rsidRPr="004036B1">
        <w:rPr>
          <w:rFonts w:eastAsia="Times New Roman"/>
          <w:color w:val="222222"/>
          <w:sz w:val="24"/>
          <w:szCs w:val="24"/>
        </w:rPr>
        <w:t xml:space="preserve"> </w:t>
      </w:r>
      <w:r w:rsidRPr="00A61662">
        <w:rPr>
          <w:rFonts w:eastAsia="Times New Roman"/>
          <w:i/>
          <w:color w:val="222222"/>
          <w:sz w:val="24"/>
          <w:szCs w:val="24"/>
        </w:rPr>
        <w:t xml:space="preserve">Ezra </w:t>
      </w:r>
      <w:r w:rsidRPr="004036B1">
        <w:rPr>
          <w:rFonts w:eastAsia="Times New Roman"/>
          <w:color w:val="222222"/>
          <w:sz w:val="24"/>
          <w:szCs w:val="24"/>
        </w:rPr>
        <w:t xml:space="preserve">and </w:t>
      </w:r>
      <w:r w:rsidRPr="00A61662">
        <w:rPr>
          <w:rFonts w:eastAsia="Times New Roman"/>
          <w:i/>
          <w:color w:val="222222"/>
          <w:sz w:val="24"/>
          <w:szCs w:val="24"/>
        </w:rPr>
        <w:t>Nechemia</w:t>
      </w:r>
      <w:r w:rsidRPr="004036B1">
        <w:rPr>
          <w:rFonts w:eastAsia="Times New Roman"/>
          <w:color w:val="222222"/>
          <w:sz w:val="24"/>
          <w:szCs w:val="24"/>
        </w:rPr>
        <w:t>,</w:t>
      </w:r>
      <w:r w:rsidR="00A61662">
        <w:rPr>
          <w:rFonts w:eastAsia="Times New Roman"/>
          <w:color w:val="222222"/>
          <w:sz w:val="24"/>
          <w:szCs w:val="24"/>
        </w:rPr>
        <w:t xml:space="preserve"> </w:t>
      </w:r>
      <w:r w:rsidRPr="004036B1">
        <w:rPr>
          <w:rFonts w:eastAsia="Times New Roman"/>
          <w:color w:val="222222"/>
          <w:sz w:val="24"/>
          <w:szCs w:val="24"/>
        </w:rPr>
        <w:t xml:space="preserve">the larger relationship between </w:t>
      </w:r>
      <w:r w:rsidR="00E347B1">
        <w:rPr>
          <w:rFonts w:eastAsia="Times New Roman"/>
          <w:color w:val="222222"/>
          <w:sz w:val="24"/>
          <w:szCs w:val="24"/>
        </w:rPr>
        <w:t xml:space="preserve">the era of </w:t>
      </w:r>
      <w:r w:rsidRPr="00E347B1">
        <w:rPr>
          <w:rFonts w:eastAsia="Times New Roman"/>
          <w:i/>
          <w:color w:val="222222"/>
          <w:sz w:val="24"/>
          <w:szCs w:val="24"/>
        </w:rPr>
        <w:t>Shiva Tzion</w:t>
      </w:r>
      <w:r w:rsidR="00E347B1">
        <w:rPr>
          <w:rFonts w:eastAsia="Times New Roman"/>
          <w:color w:val="222222"/>
          <w:sz w:val="24"/>
          <w:szCs w:val="24"/>
        </w:rPr>
        <w:t xml:space="preserve"> and previous </w:t>
      </w:r>
      <w:r w:rsidR="00247E2E">
        <w:rPr>
          <w:rFonts w:eastAsia="Times New Roman"/>
          <w:color w:val="222222"/>
          <w:sz w:val="24"/>
          <w:szCs w:val="24"/>
        </w:rPr>
        <w:t>B</w:t>
      </w:r>
      <w:r w:rsidR="00E347B1">
        <w:rPr>
          <w:rFonts w:eastAsia="Times New Roman"/>
          <w:color w:val="222222"/>
          <w:sz w:val="24"/>
          <w:szCs w:val="24"/>
        </w:rPr>
        <w:t xml:space="preserve">iblical </w:t>
      </w:r>
      <w:r w:rsidR="00137DE7">
        <w:rPr>
          <w:rFonts w:eastAsia="Times New Roman"/>
          <w:color w:val="222222"/>
          <w:sz w:val="24"/>
          <w:szCs w:val="24"/>
        </w:rPr>
        <w:t xml:space="preserve">periods </w:t>
      </w:r>
      <w:r w:rsidRPr="004036B1">
        <w:rPr>
          <w:rFonts w:eastAsia="Times New Roman"/>
          <w:color w:val="222222"/>
          <w:sz w:val="24"/>
          <w:szCs w:val="24"/>
        </w:rPr>
        <w:t>is complex and fraught.</w:t>
      </w:r>
      <w:r w:rsidR="001C640D">
        <w:rPr>
          <w:rFonts w:eastAsia="Times New Roman"/>
          <w:color w:val="222222"/>
          <w:sz w:val="24"/>
          <w:szCs w:val="24"/>
        </w:rPr>
        <w:t xml:space="preserve"> </w:t>
      </w:r>
      <w:r w:rsidR="00A61662">
        <w:rPr>
          <w:rFonts w:eastAsia="Times New Roman"/>
          <w:color w:val="222222"/>
          <w:sz w:val="24"/>
          <w:szCs w:val="24"/>
        </w:rPr>
        <w:t>What are we to make of it? T</w:t>
      </w:r>
      <w:r w:rsidR="008E3ABA">
        <w:rPr>
          <w:rFonts w:eastAsia="Times New Roman"/>
          <w:color w:val="222222"/>
          <w:sz w:val="24"/>
          <w:szCs w:val="24"/>
        </w:rPr>
        <w:t>he</w:t>
      </w:r>
      <w:r w:rsidR="00A61662">
        <w:rPr>
          <w:rFonts w:eastAsia="Times New Roman"/>
          <w:color w:val="222222"/>
          <w:sz w:val="24"/>
          <w:szCs w:val="24"/>
        </w:rPr>
        <w:t>re is good reason to suspect that the</w:t>
      </w:r>
      <w:r w:rsidR="008E3ABA">
        <w:rPr>
          <w:rFonts w:eastAsia="Times New Roman"/>
          <w:color w:val="222222"/>
          <w:sz w:val="24"/>
          <w:szCs w:val="24"/>
        </w:rPr>
        <w:t xml:space="preserve"> ambiguity is intentional. </w:t>
      </w:r>
      <w:r w:rsidRPr="004036B1">
        <w:rPr>
          <w:rFonts w:eastAsia="Times New Roman"/>
          <w:color w:val="222222"/>
          <w:sz w:val="24"/>
          <w:szCs w:val="24"/>
        </w:rPr>
        <w:t xml:space="preserve">The question marks surrounding the </w:t>
      </w:r>
      <w:r w:rsidR="00247E2E">
        <w:rPr>
          <w:rFonts w:eastAsia="Times New Roman"/>
          <w:color w:val="222222"/>
          <w:sz w:val="24"/>
          <w:szCs w:val="24"/>
        </w:rPr>
        <w:t>B</w:t>
      </w:r>
      <w:r w:rsidRPr="004036B1">
        <w:rPr>
          <w:rFonts w:eastAsia="Times New Roman"/>
          <w:color w:val="222222"/>
          <w:sz w:val="24"/>
          <w:szCs w:val="24"/>
        </w:rPr>
        <w:t xml:space="preserve">iblical works of </w:t>
      </w:r>
      <w:r w:rsidRPr="00A26A7B">
        <w:rPr>
          <w:rFonts w:eastAsia="Times New Roman"/>
          <w:i/>
          <w:color w:val="222222"/>
          <w:sz w:val="24"/>
          <w:szCs w:val="24"/>
        </w:rPr>
        <w:t xml:space="preserve">Shivat Tzion </w:t>
      </w:r>
      <w:r w:rsidRPr="004036B1">
        <w:rPr>
          <w:rFonts w:eastAsia="Times New Roman"/>
          <w:color w:val="222222"/>
          <w:sz w:val="24"/>
          <w:szCs w:val="24"/>
        </w:rPr>
        <w:t xml:space="preserve">are indicative of the </w:t>
      </w:r>
      <w:r w:rsidR="00A13C38">
        <w:rPr>
          <w:rFonts w:eastAsia="Times New Roman"/>
          <w:color w:val="222222"/>
          <w:sz w:val="24"/>
          <w:szCs w:val="24"/>
        </w:rPr>
        <w:t xml:space="preserve">disorientation </w:t>
      </w:r>
      <w:r w:rsidR="00DE6E81">
        <w:rPr>
          <w:rFonts w:eastAsia="Times New Roman"/>
          <w:color w:val="222222"/>
          <w:sz w:val="24"/>
          <w:szCs w:val="24"/>
        </w:rPr>
        <w:t>plaguing the returnees</w:t>
      </w:r>
      <w:r w:rsidRPr="004036B1">
        <w:rPr>
          <w:rFonts w:eastAsia="Times New Roman"/>
          <w:color w:val="222222"/>
          <w:sz w:val="24"/>
          <w:szCs w:val="24"/>
        </w:rPr>
        <w:t xml:space="preserve">. </w:t>
      </w:r>
      <w:r w:rsidR="001D2914" w:rsidRPr="004036B1">
        <w:rPr>
          <w:rFonts w:eastAsia="Times New Roman"/>
          <w:color w:val="222222"/>
          <w:sz w:val="24"/>
          <w:szCs w:val="24"/>
        </w:rPr>
        <w:t xml:space="preserve">Was this a time of redemption or not? </w:t>
      </w:r>
      <w:r w:rsidR="00A61662">
        <w:rPr>
          <w:rFonts w:eastAsia="Times New Roman"/>
          <w:color w:val="222222"/>
          <w:sz w:val="24"/>
          <w:szCs w:val="24"/>
        </w:rPr>
        <w:t>More existential</w:t>
      </w:r>
      <w:r w:rsidR="00247E2E">
        <w:rPr>
          <w:rFonts w:eastAsia="Times New Roman"/>
          <w:color w:val="222222"/>
          <w:sz w:val="24"/>
          <w:szCs w:val="24"/>
        </w:rPr>
        <w:t>ly</w:t>
      </w:r>
      <w:r w:rsidR="00A61662">
        <w:rPr>
          <w:rFonts w:eastAsia="Times New Roman"/>
          <w:color w:val="222222"/>
          <w:sz w:val="24"/>
          <w:szCs w:val="24"/>
        </w:rPr>
        <w:t>, w</w:t>
      </w:r>
      <w:r w:rsidR="00DC692D">
        <w:rPr>
          <w:rFonts w:eastAsia="Times New Roman"/>
          <w:color w:val="222222"/>
          <w:sz w:val="24"/>
          <w:szCs w:val="24"/>
        </w:rPr>
        <w:t xml:space="preserve">as the community destined to </w:t>
      </w:r>
      <w:r w:rsidR="001D2914" w:rsidRPr="004036B1">
        <w:rPr>
          <w:rFonts w:eastAsia="Times New Roman"/>
          <w:color w:val="222222"/>
          <w:sz w:val="24"/>
          <w:szCs w:val="24"/>
        </w:rPr>
        <w:t xml:space="preserve">survive? </w:t>
      </w:r>
      <w:r w:rsidR="0036046F">
        <w:rPr>
          <w:rFonts w:eastAsia="Times New Roman"/>
          <w:color w:val="222222"/>
          <w:sz w:val="24"/>
          <w:szCs w:val="24"/>
        </w:rPr>
        <w:t xml:space="preserve">Could Jewish life continue to dedicate itself to Temple worship even as it developed new paradigms </w:t>
      </w:r>
      <w:r w:rsidR="00A61662">
        <w:rPr>
          <w:rFonts w:eastAsia="Times New Roman"/>
          <w:color w:val="222222"/>
          <w:sz w:val="24"/>
          <w:szCs w:val="24"/>
        </w:rPr>
        <w:t xml:space="preserve">that extended </w:t>
      </w:r>
      <w:r w:rsidR="0036046F">
        <w:rPr>
          <w:rFonts w:eastAsia="Times New Roman"/>
          <w:color w:val="222222"/>
          <w:sz w:val="24"/>
          <w:szCs w:val="24"/>
        </w:rPr>
        <w:t xml:space="preserve">beyond the </w:t>
      </w:r>
      <w:r w:rsidR="0036046F">
        <w:rPr>
          <w:rFonts w:eastAsia="Times New Roman"/>
          <w:color w:val="222222"/>
          <w:sz w:val="24"/>
          <w:szCs w:val="24"/>
        </w:rPr>
        <w:lastRenderedPageBreak/>
        <w:t xml:space="preserve">Temple’s four walls? Could the </w:t>
      </w:r>
      <w:r w:rsidR="00A61662">
        <w:rPr>
          <w:rFonts w:eastAsia="Times New Roman"/>
          <w:color w:val="222222"/>
          <w:sz w:val="24"/>
          <w:szCs w:val="24"/>
        </w:rPr>
        <w:t xml:space="preserve">scourges </w:t>
      </w:r>
      <w:r w:rsidR="0036046F">
        <w:rPr>
          <w:rFonts w:eastAsia="Times New Roman"/>
          <w:color w:val="222222"/>
          <w:sz w:val="24"/>
          <w:szCs w:val="24"/>
        </w:rPr>
        <w:t>of intermarriage</w:t>
      </w:r>
      <w:r w:rsidR="00A61662">
        <w:rPr>
          <w:rFonts w:eastAsia="Times New Roman"/>
          <w:color w:val="222222"/>
          <w:sz w:val="24"/>
          <w:szCs w:val="24"/>
        </w:rPr>
        <w:t xml:space="preserve"> and mass ignorance be solved? W</w:t>
      </w:r>
      <w:r w:rsidR="0036046F">
        <w:rPr>
          <w:rFonts w:eastAsia="Times New Roman"/>
          <w:color w:val="222222"/>
          <w:sz w:val="24"/>
          <w:szCs w:val="24"/>
        </w:rPr>
        <w:t xml:space="preserve">ould </w:t>
      </w:r>
      <w:r w:rsidR="0036046F" w:rsidRPr="00247E2E">
        <w:rPr>
          <w:rFonts w:eastAsia="Times New Roman"/>
          <w:iCs/>
          <w:color w:val="222222"/>
          <w:sz w:val="24"/>
          <w:szCs w:val="24"/>
        </w:rPr>
        <w:t>halakhic</w:t>
      </w:r>
      <w:r w:rsidR="0036046F" w:rsidRPr="00A61662">
        <w:rPr>
          <w:rFonts w:eastAsia="Times New Roman"/>
          <w:i/>
          <w:color w:val="222222"/>
          <w:sz w:val="24"/>
          <w:szCs w:val="24"/>
        </w:rPr>
        <w:t xml:space="preserve"> </w:t>
      </w:r>
      <w:r w:rsidR="0036046F">
        <w:rPr>
          <w:rFonts w:eastAsia="Times New Roman"/>
          <w:color w:val="222222"/>
          <w:sz w:val="24"/>
          <w:szCs w:val="24"/>
        </w:rPr>
        <w:t>commitment be transmitted to a new generation?</w:t>
      </w:r>
      <w:r w:rsidR="003F118B">
        <w:rPr>
          <w:rFonts w:eastAsia="Times New Roman"/>
          <w:color w:val="222222"/>
          <w:sz w:val="24"/>
          <w:szCs w:val="24"/>
        </w:rPr>
        <w:t xml:space="preserve"> </w:t>
      </w:r>
      <w:r w:rsidR="001D2914" w:rsidRPr="004036B1">
        <w:rPr>
          <w:rFonts w:eastAsia="Times New Roman"/>
          <w:color w:val="222222"/>
          <w:sz w:val="24"/>
          <w:szCs w:val="24"/>
        </w:rPr>
        <w:t xml:space="preserve">The larger ambiguity clouding these works, then, is a metaphor for the larger questions </w:t>
      </w:r>
      <w:r w:rsidR="00067584">
        <w:rPr>
          <w:rFonts w:eastAsia="Times New Roman"/>
          <w:color w:val="222222"/>
          <w:sz w:val="24"/>
          <w:szCs w:val="24"/>
        </w:rPr>
        <w:t>plaguing</w:t>
      </w:r>
      <w:r w:rsidR="001D2914" w:rsidRPr="004036B1">
        <w:rPr>
          <w:rFonts w:eastAsia="Times New Roman"/>
          <w:color w:val="222222"/>
          <w:sz w:val="24"/>
          <w:szCs w:val="24"/>
        </w:rPr>
        <w:t xml:space="preserve"> the </w:t>
      </w:r>
      <w:r w:rsidR="001D2914" w:rsidRPr="001C640D">
        <w:rPr>
          <w:rFonts w:eastAsia="Times New Roman"/>
          <w:i/>
          <w:color w:val="222222"/>
          <w:sz w:val="24"/>
          <w:szCs w:val="24"/>
        </w:rPr>
        <w:t>Shivat Tzion</w:t>
      </w:r>
      <w:r w:rsidR="001C640D">
        <w:rPr>
          <w:rFonts w:eastAsia="Times New Roman"/>
          <w:i/>
          <w:color w:val="222222"/>
          <w:sz w:val="24"/>
          <w:szCs w:val="24"/>
        </w:rPr>
        <w:t xml:space="preserve"> </w:t>
      </w:r>
      <w:r w:rsidR="001C640D" w:rsidRPr="001C640D">
        <w:rPr>
          <w:rFonts w:eastAsia="Times New Roman"/>
          <w:color w:val="222222"/>
          <w:sz w:val="24"/>
          <w:szCs w:val="24"/>
        </w:rPr>
        <w:t>community</w:t>
      </w:r>
      <w:r w:rsidR="001D2914" w:rsidRPr="004036B1">
        <w:rPr>
          <w:rFonts w:eastAsia="Times New Roman"/>
          <w:color w:val="222222"/>
          <w:sz w:val="24"/>
          <w:szCs w:val="24"/>
        </w:rPr>
        <w:t>.</w:t>
      </w:r>
      <w:r w:rsidR="001C640D">
        <w:rPr>
          <w:rFonts w:eastAsia="Times New Roman"/>
          <w:color w:val="222222"/>
          <w:sz w:val="24"/>
          <w:szCs w:val="24"/>
        </w:rPr>
        <w:t xml:space="preserve"> </w:t>
      </w:r>
    </w:p>
    <w:p w14:paraId="1E812670" w14:textId="77777777" w:rsidR="00A61662" w:rsidRDefault="00A61662" w:rsidP="00AF6992">
      <w:pPr>
        <w:shd w:val="clear" w:color="auto" w:fill="FFFFFF"/>
        <w:spacing w:line="240" w:lineRule="auto"/>
        <w:jc w:val="both"/>
        <w:rPr>
          <w:rFonts w:eastAsia="Times New Roman"/>
          <w:color w:val="222222"/>
          <w:sz w:val="24"/>
          <w:szCs w:val="24"/>
        </w:rPr>
      </w:pPr>
    </w:p>
    <w:p w14:paraId="15CE74BE" w14:textId="1EFCDEC1" w:rsidR="00D12DCE" w:rsidRPr="004036B1" w:rsidRDefault="00770052" w:rsidP="00AF6992">
      <w:pPr>
        <w:shd w:val="clear" w:color="auto" w:fill="FFFFFF"/>
        <w:spacing w:line="240" w:lineRule="auto"/>
        <w:ind w:firstLine="720"/>
        <w:jc w:val="both"/>
        <w:rPr>
          <w:rFonts w:eastAsia="Times New Roman"/>
          <w:color w:val="222222"/>
          <w:sz w:val="24"/>
          <w:szCs w:val="24"/>
        </w:rPr>
      </w:pPr>
      <w:r>
        <w:rPr>
          <w:rFonts w:eastAsia="Times New Roman"/>
          <w:color w:val="222222"/>
          <w:sz w:val="24"/>
          <w:szCs w:val="24"/>
        </w:rPr>
        <w:t xml:space="preserve">Juxtaposing </w:t>
      </w:r>
      <w:r w:rsidR="00A61662">
        <w:rPr>
          <w:rFonts w:eastAsia="Times New Roman"/>
          <w:color w:val="222222"/>
          <w:sz w:val="24"/>
          <w:szCs w:val="24"/>
        </w:rPr>
        <w:t xml:space="preserve">these two insights – </w:t>
      </w:r>
      <w:r w:rsidR="001938F6">
        <w:rPr>
          <w:rFonts w:eastAsia="Times New Roman"/>
          <w:color w:val="222222"/>
          <w:sz w:val="24"/>
          <w:szCs w:val="24"/>
        </w:rPr>
        <w:t xml:space="preserve">that </w:t>
      </w:r>
      <w:r w:rsidR="001938F6" w:rsidRPr="00703A5E">
        <w:rPr>
          <w:rFonts w:eastAsia="Times New Roman"/>
          <w:i/>
          <w:color w:val="222222"/>
          <w:sz w:val="24"/>
          <w:szCs w:val="24"/>
        </w:rPr>
        <w:t xml:space="preserve">Ezra-Nechemia </w:t>
      </w:r>
      <w:r w:rsidR="001938F6">
        <w:rPr>
          <w:rFonts w:eastAsia="Times New Roman"/>
          <w:color w:val="222222"/>
          <w:sz w:val="24"/>
          <w:szCs w:val="24"/>
        </w:rPr>
        <w:t>models two</w:t>
      </w:r>
      <w:r w:rsidR="00703A5E">
        <w:rPr>
          <w:rFonts w:eastAsia="Times New Roman"/>
          <w:color w:val="222222"/>
          <w:sz w:val="24"/>
          <w:szCs w:val="24"/>
        </w:rPr>
        <w:t xml:space="preserve"> leadership arche</w:t>
      </w:r>
      <w:r w:rsidR="001938F6">
        <w:rPr>
          <w:rFonts w:eastAsia="Times New Roman"/>
          <w:color w:val="222222"/>
          <w:sz w:val="24"/>
          <w:szCs w:val="24"/>
        </w:rPr>
        <w:t xml:space="preserve">types and that the ambiguities surrounding </w:t>
      </w:r>
      <w:r w:rsidR="001938F6" w:rsidRPr="00DC7EBF">
        <w:rPr>
          <w:rFonts w:eastAsia="Times New Roman"/>
          <w:i/>
          <w:color w:val="222222"/>
          <w:sz w:val="24"/>
          <w:szCs w:val="24"/>
        </w:rPr>
        <w:t>Shiva</w:t>
      </w:r>
      <w:r w:rsidR="00DC7EBF" w:rsidRPr="00DC7EBF">
        <w:rPr>
          <w:rFonts w:eastAsia="Times New Roman"/>
          <w:i/>
          <w:color w:val="222222"/>
          <w:sz w:val="24"/>
          <w:szCs w:val="24"/>
        </w:rPr>
        <w:t>t</w:t>
      </w:r>
      <w:r w:rsidR="001938F6" w:rsidRPr="00DC7EBF">
        <w:rPr>
          <w:rFonts w:eastAsia="Times New Roman"/>
          <w:i/>
          <w:color w:val="222222"/>
          <w:sz w:val="24"/>
          <w:szCs w:val="24"/>
        </w:rPr>
        <w:t xml:space="preserve"> Tzion </w:t>
      </w:r>
      <w:r w:rsidR="00E41290">
        <w:rPr>
          <w:rFonts w:eastAsia="Times New Roman"/>
          <w:color w:val="222222"/>
          <w:sz w:val="24"/>
          <w:szCs w:val="24"/>
        </w:rPr>
        <w:t xml:space="preserve">capture </w:t>
      </w:r>
      <w:r w:rsidR="001938F6">
        <w:rPr>
          <w:rFonts w:eastAsia="Times New Roman"/>
          <w:color w:val="222222"/>
          <w:sz w:val="24"/>
          <w:szCs w:val="24"/>
        </w:rPr>
        <w:t xml:space="preserve">the community’s </w:t>
      </w:r>
      <w:r w:rsidR="00BF3C8F">
        <w:rPr>
          <w:rFonts w:eastAsia="Times New Roman"/>
          <w:color w:val="222222"/>
          <w:sz w:val="24"/>
          <w:szCs w:val="24"/>
        </w:rPr>
        <w:t xml:space="preserve">profound fears and ambivalence </w:t>
      </w:r>
      <w:r w:rsidR="001938F6">
        <w:rPr>
          <w:rFonts w:eastAsia="Times New Roman"/>
          <w:color w:val="222222"/>
          <w:sz w:val="24"/>
          <w:szCs w:val="24"/>
        </w:rPr>
        <w:t>– we come to a new appreciation of these collective works’ central message. The post-</w:t>
      </w:r>
      <w:r w:rsidR="00247E2E">
        <w:rPr>
          <w:rFonts w:eastAsia="Times New Roman"/>
          <w:color w:val="222222"/>
          <w:sz w:val="24"/>
          <w:szCs w:val="24"/>
        </w:rPr>
        <w:t>B</w:t>
      </w:r>
      <w:r w:rsidR="001938F6">
        <w:rPr>
          <w:rFonts w:eastAsia="Times New Roman"/>
          <w:color w:val="222222"/>
          <w:sz w:val="24"/>
          <w:szCs w:val="24"/>
        </w:rPr>
        <w:t xml:space="preserve">iblical period will feature uncharted territory for a Jewish community that had been led by monarchs and prophets for as long </w:t>
      </w:r>
      <w:r w:rsidR="006C0CC4">
        <w:rPr>
          <w:rFonts w:eastAsia="Times New Roman"/>
          <w:color w:val="222222"/>
          <w:sz w:val="24"/>
          <w:szCs w:val="24"/>
        </w:rPr>
        <w:t xml:space="preserve">as they could </w:t>
      </w:r>
      <w:r w:rsidR="001938F6">
        <w:rPr>
          <w:rFonts w:eastAsia="Times New Roman"/>
          <w:color w:val="222222"/>
          <w:sz w:val="24"/>
          <w:szCs w:val="24"/>
        </w:rPr>
        <w:t>remember. As opposed to the prophets’ black-and-white</w:t>
      </w:r>
      <w:r w:rsidR="009977B2">
        <w:rPr>
          <w:rFonts w:eastAsia="Times New Roman"/>
          <w:color w:val="222222"/>
          <w:sz w:val="24"/>
          <w:szCs w:val="24"/>
        </w:rPr>
        <w:t>,</w:t>
      </w:r>
      <w:r w:rsidR="001938F6">
        <w:rPr>
          <w:rFonts w:eastAsia="Times New Roman"/>
          <w:color w:val="222222"/>
          <w:sz w:val="24"/>
          <w:szCs w:val="24"/>
        </w:rPr>
        <w:t xml:space="preserve"> explicit directives, the </w:t>
      </w:r>
      <w:r w:rsidR="001938F6" w:rsidRPr="004A76F1">
        <w:rPr>
          <w:rFonts w:eastAsia="Times New Roman"/>
          <w:i/>
          <w:color w:val="222222"/>
          <w:sz w:val="24"/>
          <w:szCs w:val="24"/>
        </w:rPr>
        <w:t>Shiva</w:t>
      </w:r>
      <w:r w:rsidR="004A76F1" w:rsidRPr="004A76F1">
        <w:rPr>
          <w:rFonts w:eastAsia="Times New Roman"/>
          <w:i/>
          <w:color w:val="222222"/>
          <w:sz w:val="24"/>
          <w:szCs w:val="24"/>
        </w:rPr>
        <w:t>t</w:t>
      </w:r>
      <w:r w:rsidR="001938F6" w:rsidRPr="004A76F1">
        <w:rPr>
          <w:rFonts w:eastAsia="Times New Roman"/>
          <w:i/>
          <w:color w:val="222222"/>
          <w:sz w:val="24"/>
          <w:szCs w:val="24"/>
        </w:rPr>
        <w:t xml:space="preserve"> Tzion </w:t>
      </w:r>
      <w:r w:rsidR="001938F6">
        <w:rPr>
          <w:rFonts w:eastAsia="Times New Roman"/>
          <w:color w:val="222222"/>
          <w:sz w:val="24"/>
          <w:szCs w:val="24"/>
        </w:rPr>
        <w:t xml:space="preserve">community must learn to embrace ambiguity. </w:t>
      </w:r>
      <w:r w:rsidR="00067584">
        <w:rPr>
          <w:rFonts w:eastAsia="Times New Roman"/>
          <w:color w:val="222222"/>
          <w:sz w:val="24"/>
          <w:szCs w:val="24"/>
        </w:rPr>
        <w:t xml:space="preserve">This </w:t>
      </w:r>
      <w:r w:rsidR="004A76F1">
        <w:rPr>
          <w:rFonts w:eastAsia="Times New Roman"/>
          <w:color w:val="222222"/>
          <w:sz w:val="24"/>
          <w:szCs w:val="24"/>
        </w:rPr>
        <w:t xml:space="preserve">is simply the nature of </w:t>
      </w:r>
      <w:r w:rsidR="00A3472E">
        <w:rPr>
          <w:rFonts w:eastAsia="Times New Roman"/>
          <w:color w:val="222222"/>
          <w:sz w:val="24"/>
          <w:szCs w:val="24"/>
        </w:rPr>
        <w:t>Jewish</w:t>
      </w:r>
      <w:r w:rsidR="004A76F1">
        <w:rPr>
          <w:rFonts w:eastAsia="Times New Roman"/>
          <w:color w:val="222222"/>
          <w:sz w:val="24"/>
          <w:szCs w:val="24"/>
        </w:rPr>
        <w:t xml:space="preserve"> life in a time when prophecy is fading fast. </w:t>
      </w:r>
      <w:r w:rsidR="00836A47">
        <w:rPr>
          <w:rFonts w:eastAsia="Times New Roman"/>
          <w:color w:val="222222"/>
          <w:sz w:val="24"/>
          <w:szCs w:val="24"/>
        </w:rPr>
        <w:t>Therefore, i</w:t>
      </w:r>
      <w:r w:rsidR="001938F6">
        <w:rPr>
          <w:rFonts w:eastAsia="Times New Roman"/>
          <w:color w:val="222222"/>
          <w:sz w:val="24"/>
          <w:szCs w:val="24"/>
        </w:rPr>
        <w:t>nstead of proposing a</w:t>
      </w:r>
      <w:r w:rsidR="00836A47">
        <w:rPr>
          <w:rFonts w:eastAsia="Times New Roman"/>
          <w:color w:val="222222"/>
          <w:sz w:val="24"/>
          <w:szCs w:val="24"/>
        </w:rPr>
        <w:t xml:space="preserve"> monolithic path forward</w:t>
      </w:r>
      <w:r w:rsidR="001938F6">
        <w:rPr>
          <w:rFonts w:eastAsia="Times New Roman"/>
          <w:color w:val="222222"/>
          <w:sz w:val="24"/>
          <w:szCs w:val="24"/>
        </w:rPr>
        <w:t xml:space="preserve">, </w:t>
      </w:r>
      <w:r w:rsidR="001938F6" w:rsidRPr="00247E2E">
        <w:rPr>
          <w:rFonts w:eastAsia="Times New Roman"/>
          <w:i/>
          <w:iCs/>
          <w:color w:val="222222"/>
          <w:sz w:val="24"/>
          <w:szCs w:val="24"/>
        </w:rPr>
        <w:t>Tanakh</w:t>
      </w:r>
      <w:r w:rsidR="001938F6">
        <w:rPr>
          <w:rFonts w:eastAsia="Times New Roman"/>
          <w:color w:val="222222"/>
          <w:sz w:val="24"/>
          <w:szCs w:val="24"/>
        </w:rPr>
        <w:t xml:space="preserve"> instead offers </w:t>
      </w:r>
      <w:r w:rsidR="001046B2">
        <w:rPr>
          <w:rFonts w:eastAsia="Times New Roman"/>
          <w:color w:val="222222"/>
          <w:sz w:val="24"/>
          <w:szCs w:val="24"/>
        </w:rPr>
        <w:t xml:space="preserve">rich, textured </w:t>
      </w:r>
      <w:r w:rsidR="0088491F">
        <w:rPr>
          <w:rFonts w:eastAsia="Times New Roman"/>
          <w:color w:val="222222"/>
          <w:sz w:val="24"/>
          <w:szCs w:val="24"/>
        </w:rPr>
        <w:t>portraits of competing yet complementary</w:t>
      </w:r>
      <w:r w:rsidR="001938F6">
        <w:rPr>
          <w:rFonts w:eastAsia="Times New Roman"/>
          <w:color w:val="222222"/>
          <w:sz w:val="24"/>
          <w:szCs w:val="24"/>
        </w:rPr>
        <w:t xml:space="preserve"> styles of leadership. It is up to the people to </w:t>
      </w:r>
      <w:r w:rsidR="004A3CFF">
        <w:rPr>
          <w:rFonts w:eastAsia="Times New Roman"/>
          <w:color w:val="222222"/>
          <w:sz w:val="24"/>
          <w:szCs w:val="24"/>
        </w:rPr>
        <w:t xml:space="preserve">activate </w:t>
      </w:r>
      <w:r w:rsidR="001938F6">
        <w:rPr>
          <w:rFonts w:eastAsia="Times New Roman"/>
          <w:color w:val="222222"/>
          <w:sz w:val="24"/>
          <w:szCs w:val="24"/>
        </w:rPr>
        <w:t>their wisdom – a key</w:t>
      </w:r>
      <w:r w:rsidR="00067584">
        <w:rPr>
          <w:rFonts w:eastAsia="Times New Roman"/>
          <w:color w:val="222222"/>
          <w:sz w:val="24"/>
          <w:szCs w:val="24"/>
        </w:rPr>
        <w:t xml:space="preserve"> term</w:t>
      </w:r>
      <w:r w:rsidR="001938F6">
        <w:rPr>
          <w:rFonts w:eastAsia="Times New Roman"/>
          <w:color w:val="222222"/>
          <w:sz w:val="24"/>
          <w:szCs w:val="24"/>
        </w:rPr>
        <w:t xml:space="preserve"> throughout </w:t>
      </w:r>
      <w:r w:rsidR="001938F6" w:rsidRPr="001938F6">
        <w:rPr>
          <w:rFonts w:eastAsia="Times New Roman"/>
          <w:i/>
          <w:color w:val="222222"/>
          <w:sz w:val="24"/>
          <w:szCs w:val="24"/>
        </w:rPr>
        <w:t xml:space="preserve">Ezra-Nechemia </w:t>
      </w:r>
      <w:r w:rsidR="001938F6">
        <w:rPr>
          <w:rFonts w:eastAsia="Times New Roman"/>
          <w:color w:val="222222"/>
          <w:sz w:val="24"/>
          <w:szCs w:val="24"/>
        </w:rPr>
        <w:t>–</w:t>
      </w:r>
      <w:r w:rsidR="007D080F">
        <w:rPr>
          <w:rFonts w:eastAsia="Times New Roman"/>
          <w:color w:val="222222"/>
          <w:sz w:val="24"/>
          <w:szCs w:val="24"/>
        </w:rPr>
        <w:t xml:space="preserve"> </w:t>
      </w:r>
      <w:r w:rsidR="001938F6">
        <w:rPr>
          <w:rFonts w:eastAsia="Times New Roman"/>
          <w:color w:val="222222"/>
          <w:sz w:val="24"/>
          <w:szCs w:val="24"/>
        </w:rPr>
        <w:t xml:space="preserve">and navigate as best they can. </w:t>
      </w:r>
    </w:p>
    <w:p w14:paraId="524FCB5B" w14:textId="77777777" w:rsidR="001D2914" w:rsidRPr="004036B1" w:rsidRDefault="001D2914" w:rsidP="00AF6992">
      <w:pPr>
        <w:shd w:val="clear" w:color="auto" w:fill="FFFFFF"/>
        <w:spacing w:line="240" w:lineRule="auto"/>
        <w:jc w:val="both"/>
        <w:rPr>
          <w:rFonts w:eastAsia="Times New Roman"/>
          <w:color w:val="222222"/>
          <w:sz w:val="24"/>
          <w:szCs w:val="24"/>
        </w:rPr>
      </w:pPr>
    </w:p>
    <w:p w14:paraId="0C0EE5B9" w14:textId="77777777" w:rsidR="001D2914" w:rsidRPr="004036B1" w:rsidRDefault="001D2914" w:rsidP="00AF6992">
      <w:pPr>
        <w:shd w:val="clear" w:color="auto" w:fill="FFFFFF"/>
        <w:spacing w:line="240" w:lineRule="auto"/>
        <w:jc w:val="both"/>
        <w:rPr>
          <w:rFonts w:eastAsia="Times New Roman"/>
          <w:b/>
          <w:color w:val="222222"/>
          <w:sz w:val="24"/>
          <w:szCs w:val="24"/>
          <w:u w:val="single"/>
        </w:rPr>
      </w:pPr>
    </w:p>
    <w:p w14:paraId="7BB495FC" w14:textId="59EAEE30" w:rsidR="001D2914" w:rsidRPr="00A3472E" w:rsidRDefault="001D2914" w:rsidP="00AF6992">
      <w:pPr>
        <w:shd w:val="clear" w:color="auto" w:fill="FFFFFF"/>
        <w:spacing w:line="240" w:lineRule="auto"/>
        <w:jc w:val="both"/>
        <w:rPr>
          <w:rFonts w:eastAsia="Times New Roman"/>
          <w:b/>
          <w:color w:val="222222"/>
          <w:sz w:val="24"/>
          <w:szCs w:val="24"/>
        </w:rPr>
      </w:pPr>
      <w:r w:rsidRPr="00A3472E">
        <w:rPr>
          <w:rFonts w:eastAsia="Times New Roman"/>
          <w:b/>
          <w:color w:val="222222"/>
          <w:sz w:val="24"/>
          <w:szCs w:val="24"/>
        </w:rPr>
        <w:t>Relevance to the Current Generation</w:t>
      </w:r>
    </w:p>
    <w:p w14:paraId="6AF56325" w14:textId="6F0A4A69" w:rsidR="004301FC" w:rsidRPr="004036B1" w:rsidRDefault="001D7F47" w:rsidP="00AF6992">
      <w:pPr>
        <w:shd w:val="clear" w:color="auto" w:fill="FFFFFF"/>
        <w:spacing w:line="240" w:lineRule="auto"/>
        <w:ind w:firstLine="720"/>
        <w:jc w:val="both"/>
        <w:rPr>
          <w:rFonts w:eastAsia="Times New Roman"/>
          <w:color w:val="222222"/>
          <w:sz w:val="24"/>
          <w:szCs w:val="24"/>
        </w:rPr>
      </w:pPr>
      <w:r>
        <w:rPr>
          <w:rFonts w:eastAsia="Times New Roman"/>
          <w:color w:val="222222"/>
          <w:sz w:val="24"/>
          <w:szCs w:val="24"/>
        </w:rPr>
        <w:t xml:space="preserve">What, precisely, then, are the larger messages the works of </w:t>
      </w:r>
      <w:r w:rsidRPr="004D1153">
        <w:rPr>
          <w:rFonts w:eastAsia="Times New Roman"/>
          <w:i/>
          <w:color w:val="222222"/>
          <w:sz w:val="24"/>
          <w:szCs w:val="24"/>
        </w:rPr>
        <w:t xml:space="preserve">Shivat Tzion </w:t>
      </w:r>
      <w:r>
        <w:rPr>
          <w:rFonts w:eastAsia="Times New Roman"/>
          <w:color w:val="222222"/>
          <w:sz w:val="24"/>
          <w:szCs w:val="24"/>
        </w:rPr>
        <w:t xml:space="preserve">seek to convey? </w:t>
      </w:r>
      <w:r w:rsidR="008703EC">
        <w:rPr>
          <w:rFonts w:eastAsia="Times New Roman"/>
          <w:color w:val="222222"/>
          <w:sz w:val="24"/>
          <w:szCs w:val="24"/>
        </w:rPr>
        <w:t>We will conclude our series by briefly listing seven key</w:t>
      </w:r>
      <w:r w:rsidR="00665087">
        <w:rPr>
          <w:rFonts w:eastAsia="Times New Roman"/>
          <w:color w:val="222222"/>
          <w:sz w:val="24"/>
          <w:szCs w:val="24"/>
        </w:rPr>
        <w:t xml:space="preserve"> lessons</w:t>
      </w:r>
      <w:r w:rsidR="004301FC" w:rsidRPr="004036B1">
        <w:rPr>
          <w:rFonts w:eastAsia="Times New Roman"/>
          <w:color w:val="222222"/>
          <w:sz w:val="24"/>
          <w:szCs w:val="24"/>
        </w:rPr>
        <w:t xml:space="preserve">: </w:t>
      </w:r>
    </w:p>
    <w:p w14:paraId="2FAB0F47" w14:textId="77777777" w:rsidR="004301FC" w:rsidRPr="004036B1" w:rsidRDefault="004301FC" w:rsidP="00AF6992">
      <w:pPr>
        <w:shd w:val="clear" w:color="auto" w:fill="FFFFFF"/>
        <w:spacing w:line="240" w:lineRule="auto"/>
        <w:jc w:val="both"/>
        <w:rPr>
          <w:rFonts w:eastAsia="Times New Roman"/>
          <w:color w:val="222222"/>
          <w:sz w:val="24"/>
          <w:szCs w:val="24"/>
        </w:rPr>
      </w:pPr>
    </w:p>
    <w:p w14:paraId="2A92ED5D" w14:textId="40AB6247" w:rsidR="004301FC" w:rsidRPr="004036B1" w:rsidRDefault="00524B8F" w:rsidP="00AF6992">
      <w:pPr>
        <w:pStyle w:val="ListParagraph"/>
        <w:numPr>
          <w:ilvl w:val="0"/>
          <w:numId w:val="2"/>
        </w:numPr>
        <w:shd w:val="clear" w:color="auto" w:fill="FFFFFF"/>
        <w:spacing w:line="240" w:lineRule="auto"/>
        <w:jc w:val="both"/>
        <w:rPr>
          <w:rFonts w:eastAsia="Times New Roman"/>
          <w:color w:val="222222"/>
          <w:sz w:val="24"/>
          <w:szCs w:val="24"/>
        </w:rPr>
      </w:pPr>
      <w:r>
        <w:rPr>
          <w:rFonts w:eastAsia="Times New Roman"/>
          <w:color w:val="222222"/>
          <w:sz w:val="24"/>
          <w:szCs w:val="24"/>
        </w:rPr>
        <w:t>As stated, and a</w:t>
      </w:r>
      <w:r w:rsidR="004301FC" w:rsidRPr="004036B1">
        <w:rPr>
          <w:rFonts w:eastAsia="Times New Roman"/>
          <w:color w:val="222222"/>
          <w:sz w:val="24"/>
          <w:szCs w:val="24"/>
        </w:rPr>
        <w:t>s</w:t>
      </w:r>
      <w:r w:rsidR="00BD0E6F">
        <w:rPr>
          <w:rFonts w:eastAsia="Times New Roman"/>
          <w:color w:val="222222"/>
          <w:sz w:val="24"/>
          <w:szCs w:val="24"/>
        </w:rPr>
        <w:t xml:space="preserve"> embodied by Ezra and Nechemia </w:t>
      </w:r>
      <w:r w:rsidR="004301FC" w:rsidRPr="004036B1">
        <w:rPr>
          <w:rFonts w:eastAsia="Times New Roman"/>
          <w:color w:val="222222"/>
          <w:sz w:val="24"/>
          <w:szCs w:val="24"/>
        </w:rPr>
        <w:t>as well as Chagai and Zekharia</w:t>
      </w:r>
      <w:r w:rsidR="000976CD">
        <w:rPr>
          <w:rFonts w:eastAsia="Times New Roman"/>
          <w:color w:val="222222"/>
          <w:sz w:val="24"/>
          <w:szCs w:val="24"/>
        </w:rPr>
        <w:t>, t</w:t>
      </w:r>
      <w:r w:rsidR="000976CD" w:rsidRPr="004036B1">
        <w:rPr>
          <w:rFonts w:eastAsia="Times New Roman"/>
          <w:color w:val="222222"/>
          <w:sz w:val="24"/>
          <w:szCs w:val="24"/>
        </w:rPr>
        <w:t>here are multiple legitima</w:t>
      </w:r>
      <w:r w:rsidR="000976CD">
        <w:rPr>
          <w:rFonts w:eastAsia="Times New Roman"/>
          <w:color w:val="222222"/>
          <w:sz w:val="24"/>
          <w:szCs w:val="24"/>
        </w:rPr>
        <w:t xml:space="preserve">te models of Jewish leadership. </w:t>
      </w:r>
      <w:r w:rsidR="004301FC" w:rsidRPr="004036B1">
        <w:rPr>
          <w:rFonts w:eastAsia="Times New Roman"/>
          <w:color w:val="222222"/>
          <w:sz w:val="24"/>
          <w:szCs w:val="24"/>
        </w:rPr>
        <w:t>The contrasts be</w:t>
      </w:r>
      <w:r w:rsidR="00247E2E">
        <w:rPr>
          <w:rFonts w:eastAsia="Times New Roman"/>
          <w:color w:val="222222"/>
          <w:sz w:val="24"/>
          <w:szCs w:val="24"/>
        </w:rPr>
        <w:t>tween each pairing are striking</w:t>
      </w:r>
      <w:r w:rsidR="004301FC" w:rsidRPr="004036B1">
        <w:rPr>
          <w:rFonts w:eastAsia="Times New Roman"/>
          <w:color w:val="222222"/>
          <w:sz w:val="24"/>
          <w:szCs w:val="24"/>
        </w:rPr>
        <w:t xml:space="preserve"> and tell </w:t>
      </w:r>
      <w:r w:rsidR="00067584">
        <w:rPr>
          <w:rFonts w:eastAsia="Times New Roman"/>
          <w:color w:val="222222"/>
          <w:sz w:val="24"/>
          <w:szCs w:val="24"/>
        </w:rPr>
        <w:t>powerful stories. A</w:t>
      </w:r>
      <w:r w:rsidR="00491BEA">
        <w:rPr>
          <w:rFonts w:eastAsia="Times New Roman"/>
          <w:color w:val="222222"/>
          <w:sz w:val="24"/>
          <w:szCs w:val="24"/>
        </w:rPr>
        <w:t xml:space="preserve"> variety of models of Jewish leadership exist, and are to be embraced rather than shunned</w:t>
      </w:r>
      <w:r w:rsidR="004301FC" w:rsidRPr="004036B1">
        <w:rPr>
          <w:rFonts w:eastAsia="Times New Roman"/>
          <w:color w:val="222222"/>
          <w:sz w:val="24"/>
          <w:szCs w:val="24"/>
        </w:rPr>
        <w:t>.</w:t>
      </w:r>
      <w:r w:rsidR="00BB791D">
        <w:rPr>
          <w:rFonts w:eastAsia="Times New Roman"/>
          <w:color w:val="222222"/>
          <w:sz w:val="24"/>
          <w:szCs w:val="24"/>
        </w:rPr>
        <w:t xml:space="preserve"> Indeed, these varied styles may be essential to Jewish continuity in uncertain times. </w:t>
      </w:r>
      <w:r w:rsidR="004301FC" w:rsidRPr="004036B1">
        <w:rPr>
          <w:rFonts w:eastAsia="Times New Roman"/>
          <w:color w:val="222222"/>
          <w:sz w:val="24"/>
          <w:szCs w:val="24"/>
        </w:rPr>
        <w:t xml:space="preserve"> </w:t>
      </w:r>
    </w:p>
    <w:p w14:paraId="3FA779B2" w14:textId="5D86D81B" w:rsidR="004301FC" w:rsidRPr="004036B1" w:rsidRDefault="00AD07DB" w:rsidP="00AF6992">
      <w:pPr>
        <w:pStyle w:val="ListParagraph"/>
        <w:numPr>
          <w:ilvl w:val="0"/>
          <w:numId w:val="2"/>
        </w:numPr>
        <w:shd w:val="clear" w:color="auto" w:fill="FFFFFF"/>
        <w:spacing w:line="240" w:lineRule="auto"/>
        <w:jc w:val="both"/>
        <w:rPr>
          <w:rFonts w:eastAsia="Times New Roman"/>
          <w:color w:val="222222"/>
          <w:sz w:val="24"/>
          <w:szCs w:val="24"/>
        </w:rPr>
      </w:pPr>
      <w:r>
        <w:rPr>
          <w:rFonts w:eastAsia="Times New Roman"/>
          <w:color w:val="222222"/>
          <w:sz w:val="24"/>
          <w:szCs w:val="24"/>
        </w:rPr>
        <w:t xml:space="preserve">Sometimes </w:t>
      </w:r>
      <w:r w:rsidR="004301FC" w:rsidRPr="004036B1">
        <w:rPr>
          <w:rFonts w:eastAsia="Times New Roman"/>
          <w:color w:val="222222"/>
          <w:sz w:val="24"/>
          <w:szCs w:val="24"/>
        </w:rPr>
        <w:t>leadership demands</w:t>
      </w:r>
      <w:r w:rsidR="00491BEA">
        <w:rPr>
          <w:rFonts w:eastAsia="Times New Roman"/>
          <w:color w:val="222222"/>
          <w:sz w:val="24"/>
          <w:szCs w:val="24"/>
        </w:rPr>
        <w:t xml:space="preserve"> that we cling </w:t>
      </w:r>
      <w:r w:rsidR="003845FB">
        <w:rPr>
          <w:rFonts w:eastAsia="Times New Roman"/>
          <w:color w:val="222222"/>
          <w:sz w:val="24"/>
          <w:szCs w:val="24"/>
        </w:rPr>
        <w:t xml:space="preserve">tenaciously </w:t>
      </w:r>
      <w:r w:rsidR="00491BEA">
        <w:rPr>
          <w:rFonts w:eastAsia="Times New Roman"/>
          <w:color w:val="222222"/>
          <w:sz w:val="24"/>
          <w:szCs w:val="24"/>
        </w:rPr>
        <w:t xml:space="preserve">to </w:t>
      </w:r>
      <w:r w:rsidR="003845FB">
        <w:rPr>
          <w:rFonts w:eastAsia="Times New Roman"/>
          <w:color w:val="222222"/>
          <w:sz w:val="24"/>
          <w:szCs w:val="24"/>
        </w:rPr>
        <w:t xml:space="preserve">core </w:t>
      </w:r>
      <w:r w:rsidR="00491BEA">
        <w:rPr>
          <w:rFonts w:eastAsia="Times New Roman"/>
          <w:color w:val="222222"/>
          <w:sz w:val="24"/>
          <w:szCs w:val="24"/>
        </w:rPr>
        <w:t>principles</w:t>
      </w:r>
      <w:r w:rsidR="003845FB">
        <w:rPr>
          <w:rFonts w:eastAsia="Times New Roman"/>
          <w:color w:val="222222"/>
          <w:sz w:val="24"/>
          <w:szCs w:val="24"/>
        </w:rPr>
        <w:t>, eve</w:t>
      </w:r>
      <w:r w:rsidR="00067584">
        <w:rPr>
          <w:rFonts w:eastAsia="Times New Roman"/>
          <w:color w:val="222222"/>
          <w:sz w:val="24"/>
          <w:szCs w:val="24"/>
        </w:rPr>
        <w:t>n if doing so placing us at significant</w:t>
      </w:r>
      <w:r w:rsidR="003845FB">
        <w:rPr>
          <w:rFonts w:eastAsia="Times New Roman"/>
          <w:color w:val="222222"/>
          <w:sz w:val="24"/>
          <w:szCs w:val="24"/>
        </w:rPr>
        <w:t xml:space="preserve"> risk</w:t>
      </w:r>
      <w:r w:rsidR="00491BEA">
        <w:rPr>
          <w:rFonts w:eastAsia="Times New Roman"/>
          <w:color w:val="222222"/>
          <w:sz w:val="24"/>
          <w:szCs w:val="24"/>
        </w:rPr>
        <w:t xml:space="preserve">. Ezra </w:t>
      </w:r>
      <w:r w:rsidR="001838AA">
        <w:rPr>
          <w:rFonts w:eastAsia="Times New Roman"/>
          <w:color w:val="222222"/>
          <w:sz w:val="24"/>
          <w:szCs w:val="24"/>
        </w:rPr>
        <w:t xml:space="preserve">confronts </w:t>
      </w:r>
      <w:r w:rsidR="00491BEA">
        <w:rPr>
          <w:rFonts w:eastAsia="Times New Roman"/>
          <w:color w:val="222222"/>
          <w:sz w:val="24"/>
          <w:szCs w:val="24"/>
        </w:rPr>
        <w:t>intermarriage uncompromisingl</w:t>
      </w:r>
      <w:r w:rsidR="003E1380">
        <w:rPr>
          <w:rFonts w:eastAsia="Times New Roman"/>
          <w:color w:val="222222"/>
          <w:sz w:val="24"/>
          <w:szCs w:val="24"/>
        </w:rPr>
        <w:t>y. Not only does Nechemia stand</w:t>
      </w:r>
      <w:r w:rsidR="004301FC" w:rsidRPr="004036B1">
        <w:rPr>
          <w:rFonts w:eastAsia="Times New Roman"/>
          <w:color w:val="222222"/>
          <w:sz w:val="24"/>
          <w:szCs w:val="24"/>
        </w:rPr>
        <w:t xml:space="preserve"> up for </w:t>
      </w:r>
      <w:r w:rsidR="004301FC" w:rsidRPr="00247E2E">
        <w:rPr>
          <w:rFonts w:eastAsia="Times New Roman"/>
          <w:iCs/>
          <w:color w:val="222222"/>
          <w:sz w:val="24"/>
          <w:szCs w:val="24"/>
        </w:rPr>
        <w:t>halakhic</w:t>
      </w:r>
      <w:r w:rsidR="004301FC" w:rsidRPr="004036B1">
        <w:rPr>
          <w:rFonts w:eastAsia="Times New Roman"/>
          <w:color w:val="222222"/>
          <w:sz w:val="24"/>
          <w:szCs w:val="24"/>
        </w:rPr>
        <w:t xml:space="preserve"> principles, </w:t>
      </w:r>
      <w:r w:rsidR="00680631">
        <w:rPr>
          <w:rFonts w:eastAsia="Times New Roman"/>
          <w:color w:val="222222"/>
          <w:sz w:val="24"/>
          <w:szCs w:val="24"/>
        </w:rPr>
        <w:t>he also castigates the ruling class for corruption and acts decisively</w:t>
      </w:r>
      <w:r w:rsidR="00DB339D">
        <w:rPr>
          <w:rFonts w:eastAsia="Times New Roman"/>
          <w:color w:val="222222"/>
          <w:sz w:val="24"/>
          <w:szCs w:val="24"/>
        </w:rPr>
        <w:t xml:space="preserve"> </w:t>
      </w:r>
      <w:r w:rsidR="00680631">
        <w:rPr>
          <w:rFonts w:eastAsia="Times New Roman"/>
          <w:color w:val="222222"/>
          <w:sz w:val="24"/>
          <w:szCs w:val="24"/>
        </w:rPr>
        <w:t>in examining</w:t>
      </w:r>
      <w:r w:rsidR="004301FC" w:rsidRPr="004036B1">
        <w:rPr>
          <w:rFonts w:eastAsia="Times New Roman"/>
          <w:color w:val="222222"/>
          <w:sz w:val="24"/>
          <w:szCs w:val="24"/>
        </w:rPr>
        <w:t xml:space="preserve"> and reconstruct</w:t>
      </w:r>
      <w:r w:rsidR="00680631">
        <w:rPr>
          <w:rFonts w:eastAsia="Times New Roman"/>
          <w:color w:val="222222"/>
          <w:sz w:val="24"/>
          <w:szCs w:val="24"/>
        </w:rPr>
        <w:t>ing Jerusalem</w:t>
      </w:r>
      <w:r w:rsidR="004301FC" w:rsidRPr="004036B1">
        <w:rPr>
          <w:rFonts w:eastAsia="Times New Roman"/>
          <w:color w:val="222222"/>
          <w:sz w:val="24"/>
          <w:szCs w:val="24"/>
        </w:rPr>
        <w:t>’s</w:t>
      </w:r>
      <w:r w:rsidR="00292490">
        <w:rPr>
          <w:rFonts w:eastAsia="Times New Roman"/>
          <w:color w:val="222222"/>
          <w:sz w:val="24"/>
          <w:szCs w:val="24"/>
        </w:rPr>
        <w:t xml:space="preserve"> collapsed</w:t>
      </w:r>
      <w:r w:rsidR="00680631">
        <w:rPr>
          <w:rFonts w:eastAsia="Times New Roman"/>
          <w:color w:val="222222"/>
          <w:sz w:val="24"/>
          <w:szCs w:val="24"/>
        </w:rPr>
        <w:t xml:space="preserve"> </w:t>
      </w:r>
      <w:r w:rsidR="004301FC" w:rsidRPr="004036B1">
        <w:rPr>
          <w:rFonts w:eastAsia="Times New Roman"/>
          <w:color w:val="222222"/>
          <w:sz w:val="24"/>
          <w:szCs w:val="24"/>
        </w:rPr>
        <w:t xml:space="preserve">walls. </w:t>
      </w:r>
    </w:p>
    <w:p w14:paraId="2A3C3A6F" w14:textId="17164F65" w:rsidR="004301FC" w:rsidRPr="004036B1" w:rsidRDefault="004301FC" w:rsidP="00AF6992">
      <w:pPr>
        <w:pStyle w:val="ListParagraph"/>
        <w:numPr>
          <w:ilvl w:val="0"/>
          <w:numId w:val="2"/>
        </w:numPr>
        <w:shd w:val="clear" w:color="auto" w:fill="FFFFFF"/>
        <w:spacing w:line="240" w:lineRule="auto"/>
        <w:jc w:val="both"/>
        <w:rPr>
          <w:rFonts w:eastAsia="Times New Roman"/>
          <w:color w:val="222222"/>
          <w:sz w:val="24"/>
          <w:szCs w:val="24"/>
        </w:rPr>
      </w:pPr>
      <w:r w:rsidRPr="004036B1">
        <w:rPr>
          <w:rFonts w:eastAsia="Times New Roman"/>
          <w:color w:val="222222"/>
          <w:sz w:val="24"/>
          <w:szCs w:val="24"/>
        </w:rPr>
        <w:t xml:space="preserve">Redemption, in </w:t>
      </w:r>
      <w:r w:rsidRPr="00A95484">
        <w:rPr>
          <w:rFonts w:eastAsia="Times New Roman"/>
          <w:i/>
          <w:color w:val="222222"/>
          <w:sz w:val="24"/>
          <w:szCs w:val="24"/>
        </w:rPr>
        <w:t xml:space="preserve">Shivat Tzion </w:t>
      </w:r>
      <w:r w:rsidRPr="004036B1">
        <w:rPr>
          <w:rFonts w:eastAsia="Times New Roman"/>
          <w:color w:val="222222"/>
          <w:sz w:val="24"/>
          <w:szCs w:val="24"/>
        </w:rPr>
        <w:t>as today, comes in all shapes and sizes, and is</w:t>
      </w:r>
      <w:r w:rsidR="00B86828">
        <w:rPr>
          <w:rFonts w:eastAsia="Times New Roman"/>
          <w:color w:val="222222"/>
          <w:sz w:val="24"/>
          <w:szCs w:val="24"/>
        </w:rPr>
        <w:t xml:space="preserve"> not an all-or-</w:t>
      </w:r>
      <w:r w:rsidRPr="004036B1">
        <w:rPr>
          <w:rFonts w:eastAsia="Times New Roman"/>
          <w:color w:val="222222"/>
          <w:sz w:val="24"/>
          <w:szCs w:val="24"/>
        </w:rPr>
        <w:t>nothing</w:t>
      </w:r>
      <w:r w:rsidR="00A95484">
        <w:rPr>
          <w:rFonts w:eastAsia="Times New Roman"/>
          <w:color w:val="222222"/>
          <w:sz w:val="24"/>
          <w:szCs w:val="24"/>
        </w:rPr>
        <w:t xml:space="preserve"> proposition</w:t>
      </w:r>
      <w:r w:rsidRPr="004036B1">
        <w:rPr>
          <w:rFonts w:eastAsia="Times New Roman"/>
          <w:color w:val="222222"/>
          <w:sz w:val="24"/>
          <w:szCs w:val="24"/>
        </w:rPr>
        <w:t xml:space="preserve">. </w:t>
      </w:r>
      <w:r w:rsidRPr="00D13B08">
        <w:rPr>
          <w:rFonts w:eastAsia="Times New Roman"/>
          <w:i/>
          <w:color w:val="222222"/>
          <w:sz w:val="24"/>
          <w:szCs w:val="24"/>
        </w:rPr>
        <w:t xml:space="preserve">Shivat Tzion </w:t>
      </w:r>
      <w:r w:rsidR="00067584">
        <w:rPr>
          <w:rFonts w:eastAsia="Times New Roman"/>
          <w:color w:val="222222"/>
          <w:sz w:val="24"/>
          <w:szCs w:val="24"/>
        </w:rPr>
        <w:t>interweaves</w:t>
      </w:r>
      <w:r w:rsidR="00D13B08">
        <w:rPr>
          <w:rFonts w:eastAsia="Times New Roman"/>
          <w:color w:val="222222"/>
          <w:sz w:val="24"/>
          <w:szCs w:val="24"/>
        </w:rPr>
        <w:t xml:space="preserve"> idealism </w:t>
      </w:r>
      <w:r w:rsidR="00067584">
        <w:rPr>
          <w:rFonts w:eastAsia="Times New Roman"/>
          <w:color w:val="222222"/>
          <w:sz w:val="24"/>
          <w:szCs w:val="24"/>
        </w:rPr>
        <w:t xml:space="preserve">and </w:t>
      </w:r>
      <w:r w:rsidR="00D13B08">
        <w:rPr>
          <w:rFonts w:eastAsia="Times New Roman"/>
          <w:color w:val="222222"/>
          <w:sz w:val="24"/>
          <w:szCs w:val="24"/>
        </w:rPr>
        <w:t xml:space="preserve">realism, reminding us that </w:t>
      </w:r>
      <w:r w:rsidR="00067584">
        <w:rPr>
          <w:rFonts w:eastAsia="Times New Roman"/>
          <w:color w:val="222222"/>
          <w:sz w:val="24"/>
          <w:szCs w:val="24"/>
        </w:rPr>
        <w:t xml:space="preserve">we </w:t>
      </w:r>
      <w:r w:rsidR="00D13B08">
        <w:rPr>
          <w:rFonts w:eastAsia="Times New Roman"/>
          <w:color w:val="222222"/>
          <w:sz w:val="24"/>
          <w:szCs w:val="24"/>
        </w:rPr>
        <w:t>can cel</w:t>
      </w:r>
      <w:r w:rsidRPr="004036B1">
        <w:rPr>
          <w:rFonts w:eastAsia="Times New Roman"/>
          <w:color w:val="222222"/>
          <w:sz w:val="24"/>
          <w:szCs w:val="24"/>
        </w:rPr>
        <w:t>ebrate partial</w:t>
      </w:r>
      <w:r w:rsidR="00B86828">
        <w:rPr>
          <w:rFonts w:eastAsia="Times New Roman"/>
          <w:color w:val="222222"/>
          <w:sz w:val="24"/>
          <w:szCs w:val="24"/>
        </w:rPr>
        <w:t xml:space="preserve"> victories</w:t>
      </w:r>
      <w:r w:rsidRPr="004036B1">
        <w:rPr>
          <w:rFonts w:eastAsia="Times New Roman"/>
          <w:color w:val="222222"/>
          <w:sz w:val="24"/>
          <w:szCs w:val="24"/>
        </w:rPr>
        <w:t>, even as the work remains</w:t>
      </w:r>
      <w:r w:rsidR="00491699">
        <w:rPr>
          <w:rFonts w:eastAsia="Times New Roman"/>
          <w:color w:val="222222"/>
          <w:sz w:val="24"/>
          <w:szCs w:val="24"/>
        </w:rPr>
        <w:t xml:space="preserve"> </w:t>
      </w:r>
      <w:r w:rsidR="00B86828">
        <w:rPr>
          <w:rFonts w:eastAsia="Times New Roman"/>
          <w:color w:val="222222"/>
          <w:sz w:val="24"/>
          <w:szCs w:val="24"/>
        </w:rPr>
        <w:t>dauntingly in</w:t>
      </w:r>
      <w:r w:rsidRPr="004036B1">
        <w:rPr>
          <w:rFonts w:eastAsia="Times New Roman"/>
          <w:color w:val="222222"/>
          <w:sz w:val="24"/>
          <w:szCs w:val="24"/>
        </w:rPr>
        <w:t xml:space="preserve">complete. </w:t>
      </w:r>
    </w:p>
    <w:p w14:paraId="24C09B34" w14:textId="616CCEE9" w:rsidR="001D2914" w:rsidRPr="004036B1" w:rsidRDefault="004301FC" w:rsidP="00AF6992">
      <w:pPr>
        <w:pStyle w:val="ListParagraph"/>
        <w:numPr>
          <w:ilvl w:val="0"/>
          <w:numId w:val="2"/>
        </w:numPr>
        <w:shd w:val="clear" w:color="auto" w:fill="FFFFFF"/>
        <w:spacing w:line="240" w:lineRule="auto"/>
        <w:jc w:val="both"/>
        <w:rPr>
          <w:rFonts w:eastAsia="Times New Roman"/>
          <w:color w:val="222222"/>
          <w:sz w:val="24"/>
          <w:szCs w:val="24"/>
        </w:rPr>
      </w:pPr>
      <w:r w:rsidRPr="004036B1">
        <w:rPr>
          <w:rFonts w:eastAsia="Times New Roman"/>
          <w:color w:val="222222"/>
          <w:sz w:val="24"/>
          <w:szCs w:val="24"/>
        </w:rPr>
        <w:t xml:space="preserve">National rituals and shared memory are keys to Jewish survival. </w:t>
      </w:r>
      <w:r w:rsidR="00FE268D">
        <w:rPr>
          <w:rFonts w:eastAsia="Times New Roman"/>
          <w:color w:val="222222"/>
          <w:sz w:val="24"/>
          <w:szCs w:val="24"/>
        </w:rPr>
        <w:t xml:space="preserve">The public Torah reading and national oath provide models for how we might go about inspiring national commitment in future generations. </w:t>
      </w:r>
    </w:p>
    <w:p w14:paraId="4E0C0456" w14:textId="2633849A" w:rsidR="004301FC" w:rsidRPr="004036B1" w:rsidRDefault="004301FC" w:rsidP="00AF6992">
      <w:pPr>
        <w:pStyle w:val="ListParagraph"/>
        <w:numPr>
          <w:ilvl w:val="0"/>
          <w:numId w:val="2"/>
        </w:numPr>
        <w:shd w:val="clear" w:color="auto" w:fill="FFFFFF"/>
        <w:spacing w:line="240" w:lineRule="auto"/>
        <w:jc w:val="both"/>
        <w:rPr>
          <w:rFonts w:eastAsia="Times New Roman"/>
          <w:color w:val="222222"/>
          <w:sz w:val="24"/>
          <w:szCs w:val="24"/>
        </w:rPr>
      </w:pPr>
      <w:r w:rsidRPr="004036B1">
        <w:rPr>
          <w:rFonts w:eastAsia="Times New Roman"/>
          <w:color w:val="222222"/>
          <w:sz w:val="24"/>
          <w:szCs w:val="24"/>
        </w:rPr>
        <w:t xml:space="preserve">Education is the key that unlocks Jewish commitment and continuity. </w:t>
      </w:r>
      <w:r w:rsidR="00AC5EDF">
        <w:rPr>
          <w:rFonts w:eastAsia="Times New Roman"/>
          <w:color w:val="222222"/>
          <w:sz w:val="24"/>
          <w:szCs w:val="24"/>
        </w:rPr>
        <w:t>In</w:t>
      </w:r>
      <w:r w:rsidR="00067584">
        <w:rPr>
          <w:rFonts w:eastAsia="Times New Roman"/>
          <w:color w:val="222222"/>
          <w:sz w:val="24"/>
          <w:szCs w:val="24"/>
        </w:rPr>
        <w:t xml:space="preserve">deed, </w:t>
      </w:r>
      <w:r w:rsidR="00AC5EDF" w:rsidRPr="00AC5EDF">
        <w:rPr>
          <w:rFonts w:eastAsia="Times New Roman"/>
          <w:i/>
          <w:color w:val="222222"/>
          <w:sz w:val="24"/>
          <w:szCs w:val="24"/>
        </w:rPr>
        <w:t xml:space="preserve">Nechemia </w:t>
      </w:r>
      <w:r w:rsidR="00AC5EDF">
        <w:rPr>
          <w:rFonts w:eastAsia="Times New Roman"/>
          <w:color w:val="222222"/>
          <w:sz w:val="24"/>
          <w:szCs w:val="24"/>
        </w:rPr>
        <w:t xml:space="preserve">chapter </w:t>
      </w:r>
      <w:r w:rsidR="00247E2E">
        <w:rPr>
          <w:rFonts w:eastAsia="Times New Roman"/>
          <w:color w:val="222222"/>
          <w:sz w:val="24"/>
          <w:szCs w:val="24"/>
        </w:rPr>
        <w:t>8</w:t>
      </w:r>
      <w:r w:rsidR="00AC5EDF">
        <w:rPr>
          <w:rFonts w:eastAsia="Times New Roman"/>
          <w:color w:val="222222"/>
          <w:sz w:val="24"/>
          <w:szCs w:val="24"/>
        </w:rPr>
        <w:t xml:space="preserve"> is one of the great </w:t>
      </w:r>
      <w:r w:rsidR="00691E79">
        <w:rPr>
          <w:rFonts w:eastAsia="Times New Roman"/>
          <w:color w:val="222222"/>
          <w:sz w:val="24"/>
          <w:szCs w:val="24"/>
        </w:rPr>
        <w:t xml:space="preserve">illustrations of the power of education to transform a community. </w:t>
      </w:r>
    </w:p>
    <w:p w14:paraId="75187E74" w14:textId="53391E42" w:rsidR="003B7EB0" w:rsidRPr="008F2BF9" w:rsidRDefault="004301FC" w:rsidP="00AF6992">
      <w:pPr>
        <w:pStyle w:val="ListParagraph"/>
        <w:numPr>
          <w:ilvl w:val="0"/>
          <w:numId w:val="2"/>
        </w:numPr>
        <w:shd w:val="clear" w:color="auto" w:fill="FFFFFF"/>
        <w:spacing w:line="240" w:lineRule="auto"/>
        <w:jc w:val="both"/>
        <w:rPr>
          <w:rFonts w:eastAsia="Times New Roman"/>
          <w:color w:val="222222"/>
          <w:sz w:val="24"/>
          <w:szCs w:val="24"/>
        </w:rPr>
      </w:pPr>
      <w:r w:rsidRPr="008F2BF9">
        <w:rPr>
          <w:rFonts w:eastAsia="Times New Roman"/>
          <w:color w:val="222222"/>
          <w:sz w:val="24"/>
          <w:szCs w:val="24"/>
        </w:rPr>
        <w:lastRenderedPageBreak/>
        <w:t xml:space="preserve">Politics </w:t>
      </w:r>
      <w:r w:rsidR="00536C61" w:rsidRPr="008F2BF9">
        <w:rPr>
          <w:rFonts w:eastAsia="Times New Roman"/>
          <w:color w:val="222222"/>
          <w:sz w:val="24"/>
          <w:szCs w:val="24"/>
        </w:rPr>
        <w:t xml:space="preserve">– there is no other way to describe many of the challenges that </w:t>
      </w:r>
      <w:r w:rsidR="00536C61" w:rsidRPr="008F2BF9">
        <w:rPr>
          <w:rFonts w:eastAsia="Times New Roman"/>
          <w:i/>
          <w:color w:val="222222"/>
          <w:sz w:val="24"/>
          <w:szCs w:val="24"/>
        </w:rPr>
        <w:t xml:space="preserve">Ezra </w:t>
      </w:r>
      <w:r w:rsidR="00536C61" w:rsidRPr="008F2BF9">
        <w:rPr>
          <w:rFonts w:eastAsia="Times New Roman"/>
          <w:color w:val="222222"/>
          <w:sz w:val="24"/>
          <w:szCs w:val="24"/>
        </w:rPr>
        <w:t xml:space="preserve">and </w:t>
      </w:r>
      <w:r w:rsidR="00536C61" w:rsidRPr="008F2BF9">
        <w:rPr>
          <w:rFonts w:eastAsia="Times New Roman"/>
          <w:i/>
          <w:color w:val="222222"/>
          <w:sz w:val="24"/>
          <w:szCs w:val="24"/>
        </w:rPr>
        <w:t xml:space="preserve">Nechemia </w:t>
      </w:r>
      <w:r w:rsidR="00E6204F">
        <w:rPr>
          <w:rFonts w:eastAsia="Times New Roman"/>
          <w:color w:val="222222"/>
          <w:sz w:val="24"/>
          <w:szCs w:val="24"/>
        </w:rPr>
        <w:t xml:space="preserve">faced </w:t>
      </w:r>
      <w:r w:rsidR="00536C61" w:rsidRPr="008F2BF9">
        <w:rPr>
          <w:rFonts w:eastAsia="Times New Roman"/>
          <w:color w:val="222222"/>
          <w:sz w:val="24"/>
          <w:szCs w:val="24"/>
        </w:rPr>
        <w:t xml:space="preserve">– </w:t>
      </w:r>
      <w:r w:rsidRPr="008F2BF9">
        <w:rPr>
          <w:rFonts w:eastAsia="Times New Roman"/>
          <w:color w:val="222222"/>
          <w:sz w:val="24"/>
          <w:szCs w:val="24"/>
        </w:rPr>
        <w:t>are unpleasant and challenging, but</w:t>
      </w:r>
      <w:r w:rsidR="00981F18">
        <w:rPr>
          <w:rFonts w:eastAsia="Times New Roman"/>
          <w:color w:val="222222"/>
          <w:sz w:val="24"/>
          <w:szCs w:val="24"/>
        </w:rPr>
        <w:t xml:space="preserve"> </w:t>
      </w:r>
      <w:r w:rsidRPr="008F2BF9">
        <w:rPr>
          <w:rFonts w:eastAsia="Times New Roman"/>
          <w:color w:val="222222"/>
          <w:sz w:val="24"/>
          <w:szCs w:val="24"/>
        </w:rPr>
        <w:t xml:space="preserve">are </w:t>
      </w:r>
      <w:r w:rsidR="00981F18">
        <w:rPr>
          <w:rFonts w:eastAsia="Times New Roman"/>
          <w:color w:val="222222"/>
          <w:sz w:val="24"/>
          <w:szCs w:val="24"/>
        </w:rPr>
        <w:t>necessar</w:t>
      </w:r>
      <w:r w:rsidR="00B10452" w:rsidRPr="008F2BF9">
        <w:rPr>
          <w:rFonts w:eastAsia="Times New Roman"/>
          <w:color w:val="222222"/>
          <w:sz w:val="24"/>
          <w:szCs w:val="24"/>
        </w:rPr>
        <w:t xml:space="preserve">y and are </w:t>
      </w:r>
      <w:r w:rsidRPr="008F2BF9">
        <w:rPr>
          <w:rFonts w:eastAsia="Times New Roman"/>
          <w:color w:val="222222"/>
          <w:sz w:val="24"/>
          <w:szCs w:val="24"/>
        </w:rPr>
        <w:t xml:space="preserve">not inherently evil. </w:t>
      </w:r>
      <w:r w:rsidR="008F2BF9">
        <w:rPr>
          <w:rFonts w:eastAsia="Times New Roman"/>
          <w:color w:val="222222"/>
          <w:sz w:val="24"/>
          <w:szCs w:val="24"/>
        </w:rPr>
        <w:t>Moreover, a key part of politics is developing the savvy to ward off and head off our anti-Semitic enemies with a range of tactics</w:t>
      </w:r>
      <w:r w:rsidR="0001578B">
        <w:rPr>
          <w:rFonts w:eastAsia="Times New Roman"/>
          <w:color w:val="222222"/>
          <w:sz w:val="24"/>
          <w:szCs w:val="24"/>
        </w:rPr>
        <w:t>, which Ezra and especially Nechemia achieve with astonishing success</w:t>
      </w:r>
      <w:r w:rsidR="00F06B9A">
        <w:rPr>
          <w:rFonts w:eastAsia="Times New Roman"/>
          <w:color w:val="222222"/>
          <w:sz w:val="24"/>
          <w:szCs w:val="24"/>
        </w:rPr>
        <w:t xml:space="preserve">. </w:t>
      </w:r>
      <w:r w:rsidR="008F2BF9">
        <w:rPr>
          <w:rFonts w:eastAsia="Times New Roman"/>
          <w:color w:val="222222"/>
          <w:sz w:val="24"/>
          <w:szCs w:val="24"/>
        </w:rPr>
        <w:t xml:space="preserve"> </w:t>
      </w:r>
    </w:p>
    <w:p w14:paraId="46F49597" w14:textId="0E0FBDCC" w:rsidR="00EC18F3" w:rsidRPr="00EC18F3" w:rsidRDefault="004301FC" w:rsidP="00AF6992">
      <w:pPr>
        <w:pStyle w:val="ListParagraph"/>
        <w:numPr>
          <w:ilvl w:val="0"/>
          <w:numId w:val="2"/>
        </w:numPr>
        <w:shd w:val="clear" w:color="auto" w:fill="FFFFFF"/>
        <w:spacing w:line="240" w:lineRule="auto"/>
        <w:jc w:val="both"/>
        <w:rPr>
          <w:rFonts w:eastAsia="Times New Roman"/>
          <w:color w:val="222222"/>
          <w:sz w:val="24"/>
          <w:szCs w:val="24"/>
        </w:rPr>
      </w:pPr>
      <w:r w:rsidRPr="004036B1">
        <w:rPr>
          <w:rFonts w:eastAsia="Times New Roman"/>
          <w:color w:val="222222"/>
          <w:sz w:val="24"/>
          <w:szCs w:val="24"/>
        </w:rPr>
        <w:t xml:space="preserve">Above all, in the words of Malakhi, </w:t>
      </w:r>
      <w:r w:rsidR="005177CC">
        <w:rPr>
          <w:rFonts w:eastAsia="Times New Roman"/>
          <w:color w:val="222222"/>
          <w:sz w:val="24"/>
          <w:szCs w:val="24"/>
        </w:rPr>
        <w:t xml:space="preserve">no matter the </w:t>
      </w:r>
      <w:r w:rsidRPr="004036B1">
        <w:rPr>
          <w:rFonts w:eastAsia="Times New Roman"/>
          <w:color w:val="222222"/>
          <w:sz w:val="24"/>
          <w:szCs w:val="24"/>
        </w:rPr>
        <w:t>challe</w:t>
      </w:r>
      <w:r w:rsidR="005177CC">
        <w:rPr>
          <w:rFonts w:eastAsia="Times New Roman"/>
          <w:color w:val="222222"/>
          <w:sz w:val="24"/>
          <w:szCs w:val="24"/>
        </w:rPr>
        <w:t>nges</w:t>
      </w:r>
      <w:r w:rsidR="00E8591B">
        <w:rPr>
          <w:rFonts w:eastAsia="Times New Roman"/>
          <w:color w:val="222222"/>
          <w:sz w:val="24"/>
          <w:szCs w:val="24"/>
        </w:rPr>
        <w:t>,</w:t>
      </w:r>
      <w:r w:rsidR="00EC18F3">
        <w:rPr>
          <w:rFonts w:eastAsia="Times New Roman"/>
          <w:color w:val="222222"/>
          <w:sz w:val="24"/>
          <w:szCs w:val="24"/>
        </w:rPr>
        <w:t xml:space="preserve"> we remain God’s beloved. With all the </w:t>
      </w:r>
      <w:r w:rsidR="0021450E">
        <w:rPr>
          <w:rFonts w:eastAsia="Times New Roman"/>
          <w:color w:val="222222"/>
          <w:sz w:val="24"/>
          <w:szCs w:val="24"/>
        </w:rPr>
        <w:t xml:space="preserve">trials </w:t>
      </w:r>
      <w:r w:rsidR="00EC18F3">
        <w:rPr>
          <w:rFonts w:eastAsia="Times New Roman"/>
          <w:color w:val="222222"/>
          <w:sz w:val="24"/>
          <w:szCs w:val="24"/>
        </w:rPr>
        <w:t xml:space="preserve">that will </w:t>
      </w:r>
      <w:r w:rsidR="0021450E">
        <w:rPr>
          <w:rFonts w:eastAsia="Times New Roman"/>
          <w:color w:val="222222"/>
          <w:sz w:val="24"/>
          <w:szCs w:val="24"/>
        </w:rPr>
        <w:t xml:space="preserve">confront </w:t>
      </w:r>
      <w:r w:rsidR="00EC18F3">
        <w:rPr>
          <w:rFonts w:eastAsia="Times New Roman"/>
          <w:color w:val="222222"/>
          <w:sz w:val="24"/>
          <w:szCs w:val="24"/>
        </w:rPr>
        <w:t>the Jewish community in the post-</w:t>
      </w:r>
      <w:r w:rsidR="00247E2E">
        <w:rPr>
          <w:rFonts w:eastAsia="Times New Roman"/>
          <w:color w:val="222222"/>
          <w:sz w:val="24"/>
          <w:szCs w:val="24"/>
        </w:rPr>
        <w:t>B</w:t>
      </w:r>
      <w:r w:rsidR="00EC18F3">
        <w:rPr>
          <w:rFonts w:eastAsia="Times New Roman"/>
          <w:color w:val="222222"/>
          <w:sz w:val="24"/>
          <w:szCs w:val="24"/>
        </w:rPr>
        <w:t xml:space="preserve">iblical era </w:t>
      </w:r>
      <w:r w:rsidR="00AE193B">
        <w:rPr>
          <w:rFonts w:eastAsia="Times New Roman"/>
          <w:color w:val="222222"/>
          <w:sz w:val="24"/>
          <w:szCs w:val="24"/>
        </w:rPr>
        <w:t xml:space="preserve">waiting </w:t>
      </w:r>
      <w:r w:rsidR="00EC18F3">
        <w:rPr>
          <w:rFonts w:eastAsia="Times New Roman"/>
          <w:color w:val="222222"/>
          <w:sz w:val="24"/>
          <w:szCs w:val="24"/>
        </w:rPr>
        <w:t>on the other side of</w:t>
      </w:r>
      <w:r w:rsidR="005177CC">
        <w:rPr>
          <w:rFonts w:eastAsia="Times New Roman"/>
          <w:color w:val="222222"/>
          <w:sz w:val="24"/>
          <w:szCs w:val="24"/>
        </w:rPr>
        <w:t xml:space="preserve"> </w:t>
      </w:r>
      <w:r w:rsidR="005177CC" w:rsidRPr="005177CC">
        <w:rPr>
          <w:rFonts w:eastAsia="Times New Roman"/>
          <w:i/>
          <w:color w:val="222222"/>
          <w:sz w:val="24"/>
          <w:szCs w:val="24"/>
        </w:rPr>
        <w:t>Malakhi</w:t>
      </w:r>
      <w:r w:rsidR="00EC18F3">
        <w:rPr>
          <w:rFonts w:eastAsia="Times New Roman"/>
          <w:color w:val="222222"/>
          <w:sz w:val="24"/>
          <w:szCs w:val="24"/>
        </w:rPr>
        <w:t>,</w:t>
      </w:r>
      <w:r w:rsidR="005177CC">
        <w:rPr>
          <w:rFonts w:eastAsia="Times New Roman"/>
          <w:color w:val="222222"/>
          <w:sz w:val="24"/>
          <w:szCs w:val="24"/>
        </w:rPr>
        <w:t xml:space="preserve"> </w:t>
      </w:r>
      <w:r w:rsidR="009D633D">
        <w:rPr>
          <w:rFonts w:eastAsia="Times New Roman"/>
          <w:color w:val="222222"/>
          <w:sz w:val="24"/>
          <w:szCs w:val="24"/>
        </w:rPr>
        <w:t xml:space="preserve">in the end, the reciprocal love between God and His people remains eternal. </w:t>
      </w:r>
      <w:r w:rsidR="00EC18F3">
        <w:rPr>
          <w:rFonts w:eastAsia="Times New Roman"/>
          <w:color w:val="222222"/>
          <w:sz w:val="24"/>
          <w:szCs w:val="24"/>
        </w:rPr>
        <w:t xml:space="preserve"> </w:t>
      </w:r>
    </w:p>
    <w:p w14:paraId="5BABDB64" w14:textId="115FCAAD" w:rsidR="00466EA3" w:rsidRDefault="00466EA3" w:rsidP="00AF6992">
      <w:pPr>
        <w:shd w:val="clear" w:color="auto" w:fill="FFFFFF"/>
        <w:spacing w:line="240" w:lineRule="auto"/>
        <w:jc w:val="both"/>
        <w:rPr>
          <w:rFonts w:eastAsia="Times New Roman"/>
          <w:color w:val="222222"/>
          <w:sz w:val="24"/>
          <w:szCs w:val="24"/>
        </w:rPr>
      </w:pPr>
    </w:p>
    <w:p w14:paraId="387A132F" w14:textId="77777777" w:rsidR="00A3472E" w:rsidRPr="00A3472E" w:rsidRDefault="00A3472E" w:rsidP="00AF6992">
      <w:pPr>
        <w:shd w:val="clear" w:color="auto" w:fill="FFFFFF"/>
        <w:spacing w:line="240" w:lineRule="auto"/>
        <w:jc w:val="both"/>
        <w:rPr>
          <w:rFonts w:eastAsia="Times New Roman"/>
          <w:color w:val="222222"/>
          <w:sz w:val="24"/>
          <w:szCs w:val="24"/>
        </w:rPr>
      </w:pPr>
    </w:p>
    <w:sectPr w:rsidR="00A3472E" w:rsidRPr="00A3472E" w:rsidSect="00A3472E">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CD9CB" w14:textId="77777777" w:rsidR="00DB6A16" w:rsidRDefault="00DB6A16" w:rsidP="00404776">
      <w:pPr>
        <w:spacing w:line="240" w:lineRule="auto"/>
      </w:pPr>
      <w:r>
        <w:separator/>
      </w:r>
    </w:p>
  </w:endnote>
  <w:endnote w:type="continuationSeparator" w:id="0">
    <w:p w14:paraId="535D42D2" w14:textId="77777777" w:rsidR="00DB6A16" w:rsidRDefault="00DB6A16" w:rsidP="00404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52143" w14:textId="77777777" w:rsidR="00DB6A16" w:rsidRDefault="00DB6A16" w:rsidP="00404776">
      <w:pPr>
        <w:spacing w:line="240" w:lineRule="auto"/>
      </w:pPr>
      <w:r>
        <w:separator/>
      </w:r>
    </w:p>
  </w:footnote>
  <w:footnote w:type="continuationSeparator" w:id="0">
    <w:p w14:paraId="2109C109" w14:textId="77777777" w:rsidR="00DB6A16" w:rsidRDefault="00DB6A16" w:rsidP="00404776">
      <w:pPr>
        <w:spacing w:line="240" w:lineRule="auto"/>
      </w:pPr>
      <w:r>
        <w:continuationSeparator/>
      </w:r>
    </w:p>
  </w:footnote>
  <w:footnote w:id="1">
    <w:p w14:paraId="426175C2" w14:textId="0DA1040D" w:rsidR="00067584" w:rsidRPr="00247E2E" w:rsidRDefault="00067584" w:rsidP="00247E2E">
      <w:pPr>
        <w:pStyle w:val="FootnoteText"/>
        <w:rPr>
          <w:sz w:val="20"/>
          <w:szCs w:val="20"/>
        </w:rPr>
      </w:pPr>
      <w:r w:rsidRPr="00247E2E">
        <w:rPr>
          <w:rStyle w:val="FootnoteReference"/>
          <w:sz w:val="20"/>
          <w:szCs w:val="20"/>
        </w:rPr>
        <w:footnoteRef/>
      </w:r>
      <w:r w:rsidRPr="00247E2E">
        <w:rPr>
          <w:sz w:val="20"/>
          <w:szCs w:val="20"/>
        </w:rPr>
        <w:t xml:space="preserve"> </w:t>
      </w:r>
      <w:r w:rsidRPr="00247E2E">
        <w:rPr>
          <w:color w:val="222222"/>
          <w:sz w:val="20"/>
          <w:szCs w:val="20"/>
        </w:rPr>
        <w:t xml:space="preserve">See also </w:t>
      </w:r>
      <w:r w:rsidRPr="00247E2E">
        <w:rPr>
          <w:i/>
          <w:color w:val="222222"/>
          <w:sz w:val="20"/>
          <w:szCs w:val="20"/>
        </w:rPr>
        <w:t xml:space="preserve">Nechemia </w:t>
      </w:r>
      <w:r w:rsidRPr="00247E2E">
        <w:rPr>
          <w:color w:val="222222"/>
          <w:sz w:val="20"/>
          <w:szCs w:val="20"/>
        </w:rPr>
        <w:t>5:19, 6:14, 13:14, 13:22, 13:29 and 13:31.</w:t>
      </w:r>
    </w:p>
  </w:footnote>
  <w:footnote w:id="2">
    <w:p w14:paraId="7B325A28" w14:textId="2E844482" w:rsidR="00067584" w:rsidRPr="00247E2E" w:rsidRDefault="00067584">
      <w:pPr>
        <w:pStyle w:val="FootnoteText"/>
        <w:rPr>
          <w:sz w:val="20"/>
          <w:szCs w:val="20"/>
        </w:rPr>
      </w:pPr>
      <w:r w:rsidRPr="00247E2E">
        <w:rPr>
          <w:rStyle w:val="FootnoteReference"/>
          <w:sz w:val="20"/>
          <w:szCs w:val="20"/>
        </w:rPr>
        <w:footnoteRef/>
      </w:r>
      <w:r w:rsidRPr="00247E2E">
        <w:rPr>
          <w:sz w:val="20"/>
          <w:szCs w:val="20"/>
        </w:rPr>
        <w:t xml:space="preserve"> </w:t>
      </w:r>
      <w:r w:rsidRPr="00247E2E">
        <w:rPr>
          <w:i/>
          <w:sz w:val="20"/>
          <w:szCs w:val="20"/>
        </w:rPr>
        <w:t>Da’at Mikra</w:t>
      </w:r>
      <w:r>
        <w:rPr>
          <w:iCs/>
          <w:sz w:val="20"/>
          <w:szCs w:val="20"/>
        </w:rPr>
        <w:t>,</w:t>
      </w:r>
      <w:r w:rsidRPr="00247E2E">
        <w:rPr>
          <w:sz w:val="20"/>
          <w:szCs w:val="20"/>
        </w:rPr>
        <w:t xml:space="preserve"> p. 8, notes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1921"/>
    <w:multiLevelType w:val="hybridMultilevel"/>
    <w:tmpl w:val="F21E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6280E"/>
    <w:multiLevelType w:val="hybridMultilevel"/>
    <w:tmpl w:val="842CFD0C"/>
    <w:lvl w:ilvl="0" w:tplc="38466588">
      <w:start w:val="1"/>
      <w:numFmt w:val="decimal"/>
      <w:lvlText w:val="%1."/>
      <w:lvlJc w:val="left"/>
      <w:pPr>
        <w:ind w:left="720" w:hanging="360"/>
      </w:pPr>
      <w:rPr>
        <w:b w:val="0"/>
      </w:rPr>
    </w:lvl>
    <w:lvl w:ilvl="1" w:tplc="4FFCCF76">
      <w:start w:val="1"/>
      <w:numFmt w:val="lowerLetter"/>
      <w:lvlText w:val="%2."/>
      <w:lvlJc w:val="left"/>
      <w:pPr>
        <w:ind w:left="1440" w:hanging="360"/>
      </w:pPr>
      <w:rPr>
        <w:b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A3"/>
    <w:rsid w:val="0001578B"/>
    <w:rsid w:val="00017AB6"/>
    <w:rsid w:val="00034A5F"/>
    <w:rsid w:val="00040E31"/>
    <w:rsid w:val="00043FFD"/>
    <w:rsid w:val="000536BD"/>
    <w:rsid w:val="00055D30"/>
    <w:rsid w:val="00065179"/>
    <w:rsid w:val="00067584"/>
    <w:rsid w:val="0007120C"/>
    <w:rsid w:val="000715A5"/>
    <w:rsid w:val="000722FB"/>
    <w:rsid w:val="00080AC3"/>
    <w:rsid w:val="00090B7E"/>
    <w:rsid w:val="00094597"/>
    <w:rsid w:val="000965AB"/>
    <w:rsid w:val="000976CD"/>
    <w:rsid w:val="000A77C2"/>
    <w:rsid w:val="000C5F64"/>
    <w:rsid w:val="000D31DF"/>
    <w:rsid w:val="000F7F33"/>
    <w:rsid w:val="001046B2"/>
    <w:rsid w:val="00113BE7"/>
    <w:rsid w:val="00122916"/>
    <w:rsid w:val="0012791A"/>
    <w:rsid w:val="00137DE7"/>
    <w:rsid w:val="001838AA"/>
    <w:rsid w:val="001938F6"/>
    <w:rsid w:val="001B5BC1"/>
    <w:rsid w:val="001C61D4"/>
    <w:rsid w:val="001C640D"/>
    <w:rsid w:val="001D2914"/>
    <w:rsid w:val="001D7F47"/>
    <w:rsid w:val="001F1D1F"/>
    <w:rsid w:val="001F3210"/>
    <w:rsid w:val="0021450E"/>
    <w:rsid w:val="00227C1E"/>
    <w:rsid w:val="00241569"/>
    <w:rsid w:val="00243596"/>
    <w:rsid w:val="00247E2E"/>
    <w:rsid w:val="00252482"/>
    <w:rsid w:val="00262835"/>
    <w:rsid w:val="00276CB5"/>
    <w:rsid w:val="00292490"/>
    <w:rsid w:val="002A5879"/>
    <w:rsid w:val="002B1324"/>
    <w:rsid w:val="002B5EA8"/>
    <w:rsid w:val="002C1E34"/>
    <w:rsid w:val="002C54D8"/>
    <w:rsid w:val="002D4D21"/>
    <w:rsid w:val="00300EE9"/>
    <w:rsid w:val="00330BC5"/>
    <w:rsid w:val="003311D1"/>
    <w:rsid w:val="0033207F"/>
    <w:rsid w:val="00352E4D"/>
    <w:rsid w:val="0036046F"/>
    <w:rsid w:val="003845FB"/>
    <w:rsid w:val="00393D6D"/>
    <w:rsid w:val="00395378"/>
    <w:rsid w:val="00395902"/>
    <w:rsid w:val="003A6172"/>
    <w:rsid w:val="003A73BB"/>
    <w:rsid w:val="003B7EB0"/>
    <w:rsid w:val="003C1014"/>
    <w:rsid w:val="003C7CE8"/>
    <w:rsid w:val="003D15E7"/>
    <w:rsid w:val="003D1611"/>
    <w:rsid w:val="003E1380"/>
    <w:rsid w:val="003E2BAE"/>
    <w:rsid w:val="003F118B"/>
    <w:rsid w:val="004036B1"/>
    <w:rsid w:val="00404776"/>
    <w:rsid w:val="004301FC"/>
    <w:rsid w:val="00431D38"/>
    <w:rsid w:val="00436F1E"/>
    <w:rsid w:val="00442E37"/>
    <w:rsid w:val="004436C1"/>
    <w:rsid w:val="004531CE"/>
    <w:rsid w:val="00466EA3"/>
    <w:rsid w:val="0047461E"/>
    <w:rsid w:val="00491699"/>
    <w:rsid w:val="00491BEA"/>
    <w:rsid w:val="0049242C"/>
    <w:rsid w:val="00497B48"/>
    <w:rsid w:val="004A3CFF"/>
    <w:rsid w:val="004A76F1"/>
    <w:rsid w:val="004B1C7E"/>
    <w:rsid w:val="004B5FAF"/>
    <w:rsid w:val="004B6F7D"/>
    <w:rsid w:val="004C15A5"/>
    <w:rsid w:val="004C1B67"/>
    <w:rsid w:val="004D1153"/>
    <w:rsid w:val="004D13A6"/>
    <w:rsid w:val="004F4F75"/>
    <w:rsid w:val="005177CC"/>
    <w:rsid w:val="00524B8F"/>
    <w:rsid w:val="00536C61"/>
    <w:rsid w:val="00552325"/>
    <w:rsid w:val="00576F85"/>
    <w:rsid w:val="00580B41"/>
    <w:rsid w:val="0059489A"/>
    <w:rsid w:val="005A3C38"/>
    <w:rsid w:val="005A4307"/>
    <w:rsid w:val="005B2BF0"/>
    <w:rsid w:val="005C1D8F"/>
    <w:rsid w:val="005F6213"/>
    <w:rsid w:val="006040B9"/>
    <w:rsid w:val="006068BB"/>
    <w:rsid w:val="00625AFD"/>
    <w:rsid w:val="00641911"/>
    <w:rsid w:val="00647CDF"/>
    <w:rsid w:val="00647EB3"/>
    <w:rsid w:val="006523A4"/>
    <w:rsid w:val="00653A23"/>
    <w:rsid w:val="00665087"/>
    <w:rsid w:val="006762FD"/>
    <w:rsid w:val="00680631"/>
    <w:rsid w:val="006829B5"/>
    <w:rsid w:val="00691E79"/>
    <w:rsid w:val="00693048"/>
    <w:rsid w:val="006A70E6"/>
    <w:rsid w:val="006C0CC4"/>
    <w:rsid w:val="006D0653"/>
    <w:rsid w:val="006D1AFE"/>
    <w:rsid w:val="006F5A34"/>
    <w:rsid w:val="006F67F7"/>
    <w:rsid w:val="00703A5E"/>
    <w:rsid w:val="00705336"/>
    <w:rsid w:val="00713EDF"/>
    <w:rsid w:val="007143D5"/>
    <w:rsid w:val="0071738E"/>
    <w:rsid w:val="00725D8F"/>
    <w:rsid w:val="007337FC"/>
    <w:rsid w:val="00752A89"/>
    <w:rsid w:val="00757CCE"/>
    <w:rsid w:val="00770052"/>
    <w:rsid w:val="00774E30"/>
    <w:rsid w:val="00783E19"/>
    <w:rsid w:val="00784B05"/>
    <w:rsid w:val="00787C85"/>
    <w:rsid w:val="007A289B"/>
    <w:rsid w:val="007B50AA"/>
    <w:rsid w:val="007D080F"/>
    <w:rsid w:val="007E0C36"/>
    <w:rsid w:val="007E170E"/>
    <w:rsid w:val="007E2C8C"/>
    <w:rsid w:val="007E7863"/>
    <w:rsid w:val="007F1CB2"/>
    <w:rsid w:val="007F3345"/>
    <w:rsid w:val="0082082E"/>
    <w:rsid w:val="00836A47"/>
    <w:rsid w:val="00854FD9"/>
    <w:rsid w:val="008703EC"/>
    <w:rsid w:val="008719BD"/>
    <w:rsid w:val="0088491F"/>
    <w:rsid w:val="00891B1C"/>
    <w:rsid w:val="008C6E9D"/>
    <w:rsid w:val="008E2BD5"/>
    <w:rsid w:val="008E3ABA"/>
    <w:rsid w:val="008F2BF9"/>
    <w:rsid w:val="008F3C12"/>
    <w:rsid w:val="00903882"/>
    <w:rsid w:val="009144F6"/>
    <w:rsid w:val="00915DE7"/>
    <w:rsid w:val="009170EF"/>
    <w:rsid w:val="009305CC"/>
    <w:rsid w:val="00943A8D"/>
    <w:rsid w:val="00947DBF"/>
    <w:rsid w:val="00947EF2"/>
    <w:rsid w:val="0096263B"/>
    <w:rsid w:val="00966391"/>
    <w:rsid w:val="009731C8"/>
    <w:rsid w:val="009751E9"/>
    <w:rsid w:val="00981F18"/>
    <w:rsid w:val="0098316E"/>
    <w:rsid w:val="00990096"/>
    <w:rsid w:val="009977B2"/>
    <w:rsid w:val="009B13BF"/>
    <w:rsid w:val="009C00E4"/>
    <w:rsid w:val="009C46CC"/>
    <w:rsid w:val="009D633D"/>
    <w:rsid w:val="009F15D4"/>
    <w:rsid w:val="00A007F0"/>
    <w:rsid w:val="00A13C38"/>
    <w:rsid w:val="00A26A7B"/>
    <w:rsid w:val="00A3472E"/>
    <w:rsid w:val="00A42D49"/>
    <w:rsid w:val="00A550AD"/>
    <w:rsid w:val="00A61662"/>
    <w:rsid w:val="00A819D4"/>
    <w:rsid w:val="00A852DF"/>
    <w:rsid w:val="00A95484"/>
    <w:rsid w:val="00AA5249"/>
    <w:rsid w:val="00AA648E"/>
    <w:rsid w:val="00AB26CF"/>
    <w:rsid w:val="00AC3471"/>
    <w:rsid w:val="00AC5EDF"/>
    <w:rsid w:val="00AD07DB"/>
    <w:rsid w:val="00AE193B"/>
    <w:rsid w:val="00AF3B00"/>
    <w:rsid w:val="00AF6992"/>
    <w:rsid w:val="00B10452"/>
    <w:rsid w:val="00B10A4C"/>
    <w:rsid w:val="00B11AF9"/>
    <w:rsid w:val="00B23C9A"/>
    <w:rsid w:val="00B50B78"/>
    <w:rsid w:val="00B57B94"/>
    <w:rsid w:val="00B706B1"/>
    <w:rsid w:val="00B767FD"/>
    <w:rsid w:val="00B7720A"/>
    <w:rsid w:val="00B86828"/>
    <w:rsid w:val="00BB791D"/>
    <w:rsid w:val="00BC306E"/>
    <w:rsid w:val="00BC323E"/>
    <w:rsid w:val="00BC37C8"/>
    <w:rsid w:val="00BD0E6F"/>
    <w:rsid w:val="00BD7F86"/>
    <w:rsid w:val="00BE1C0C"/>
    <w:rsid w:val="00BE6CEC"/>
    <w:rsid w:val="00BF3C8F"/>
    <w:rsid w:val="00C03EF5"/>
    <w:rsid w:val="00C1308B"/>
    <w:rsid w:val="00C21D3D"/>
    <w:rsid w:val="00C52C2D"/>
    <w:rsid w:val="00C560A5"/>
    <w:rsid w:val="00C64B05"/>
    <w:rsid w:val="00C91D5D"/>
    <w:rsid w:val="00C9219A"/>
    <w:rsid w:val="00CC0FA3"/>
    <w:rsid w:val="00CD4B5F"/>
    <w:rsid w:val="00CF2D77"/>
    <w:rsid w:val="00D12DCE"/>
    <w:rsid w:val="00D13B08"/>
    <w:rsid w:val="00D55F27"/>
    <w:rsid w:val="00D775A7"/>
    <w:rsid w:val="00D827D0"/>
    <w:rsid w:val="00D90225"/>
    <w:rsid w:val="00D91ECD"/>
    <w:rsid w:val="00DB339D"/>
    <w:rsid w:val="00DB6A16"/>
    <w:rsid w:val="00DC692D"/>
    <w:rsid w:val="00DC7EBF"/>
    <w:rsid w:val="00DE6E81"/>
    <w:rsid w:val="00DF10D3"/>
    <w:rsid w:val="00E03C90"/>
    <w:rsid w:val="00E14EF2"/>
    <w:rsid w:val="00E23972"/>
    <w:rsid w:val="00E2614A"/>
    <w:rsid w:val="00E347B1"/>
    <w:rsid w:val="00E41290"/>
    <w:rsid w:val="00E417A0"/>
    <w:rsid w:val="00E462F2"/>
    <w:rsid w:val="00E52BFC"/>
    <w:rsid w:val="00E6204F"/>
    <w:rsid w:val="00E67523"/>
    <w:rsid w:val="00E7305E"/>
    <w:rsid w:val="00E8591B"/>
    <w:rsid w:val="00E901CF"/>
    <w:rsid w:val="00EC129B"/>
    <w:rsid w:val="00EC18F3"/>
    <w:rsid w:val="00EE132A"/>
    <w:rsid w:val="00F03CAB"/>
    <w:rsid w:val="00F03CBF"/>
    <w:rsid w:val="00F05A91"/>
    <w:rsid w:val="00F06B9A"/>
    <w:rsid w:val="00F1365F"/>
    <w:rsid w:val="00F17F64"/>
    <w:rsid w:val="00F200F7"/>
    <w:rsid w:val="00F45D33"/>
    <w:rsid w:val="00F46D7E"/>
    <w:rsid w:val="00F63DD5"/>
    <w:rsid w:val="00F752E8"/>
    <w:rsid w:val="00F8132B"/>
    <w:rsid w:val="00F93D11"/>
    <w:rsid w:val="00F9625F"/>
    <w:rsid w:val="00FA2830"/>
    <w:rsid w:val="00FA3FFF"/>
    <w:rsid w:val="00FB03EE"/>
    <w:rsid w:val="00FB1F0E"/>
    <w:rsid w:val="00FC5A6D"/>
    <w:rsid w:val="00FD7766"/>
    <w:rsid w:val="00FE268D"/>
    <w:rsid w:val="00FE2A07"/>
    <w:rsid w:val="00FF09E4"/>
    <w:rsid w:val="00FF5CBF"/>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8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ListParagraph">
    <w:name w:val="List Paragraph"/>
    <w:basedOn w:val="Normal"/>
    <w:uiPriority w:val="34"/>
    <w:qFormat/>
    <w:rsid w:val="00113BE7"/>
    <w:pPr>
      <w:ind w:left="720"/>
      <w:contextualSpacing/>
    </w:pPr>
  </w:style>
  <w:style w:type="paragraph" w:styleId="FootnoteText">
    <w:name w:val="footnote text"/>
    <w:basedOn w:val="Normal"/>
    <w:link w:val="FootnoteTextChar"/>
    <w:uiPriority w:val="99"/>
    <w:unhideWhenUsed/>
    <w:rsid w:val="00404776"/>
    <w:pPr>
      <w:spacing w:line="240" w:lineRule="auto"/>
    </w:pPr>
    <w:rPr>
      <w:sz w:val="24"/>
      <w:szCs w:val="24"/>
    </w:rPr>
  </w:style>
  <w:style w:type="character" w:customStyle="1" w:styleId="FootnoteTextChar">
    <w:name w:val="Footnote Text Char"/>
    <w:basedOn w:val="DefaultParagraphFont"/>
    <w:link w:val="FootnoteText"/>
    <w:uiPriority w:val="99"/>
    <w:rsid w:val="00404776"/>
    <w:rPr>
      <w:sz w:val="24"/>
      <w:szCs w:val="24"/>
    </w:rPr>
  </w:style>
  <w:style w:type="character" w:styleId="FootnoteReference">
    <w:name w:val="footnote reference"/>
    <w:basedOn w:val="DefaultParagraphFont"/>
    <w:uiPriority w:val="99"/>
    <w:unhideWhenUsed/>
    <w:rsid w:val="00404776"/>
    <w:rPr>
      <w:vertAlign w:val="superscript"/>
    </w:rPr>
  </w:style>
  <w:style w:type="character" w:styleId="CommentReference">
    <w:name w:val="annotation reference"/>
    <w:basedOn w:val="DefaultParagraphFont"/>
    <w:uiPriority w:val="99"/>
    <w:semiHidden/>
    <w:unhideWhenUsed/>
    <w:rsid w:val="00247E2E"/>
    <w:rPr>
      <w:sz w:val="16"/>
      <w:szCs w:val="16"/>
    </w:rPr>
  </w:style>
  <w:style w:type="paragraph" w:styleId="CommentText">
    <w:name w:val="annotation text"/>
    <w:basedOn w:val="Normal"/>
    <w:link w:val="CommentTextChar"/>
    <w:uiPriority w:val="99"/>
    <w:semiHidden/>
    <w:unhideWhenUsed/>
    <w:rsid w:val="00247E2E"/>
    <w:pPr>
      <w:spacing w:line="240" w:lineRule="auto"/>
    </w:pPr>
    <w:rPr>
      <w:sz w:val="20"/>
      <w:szCs w:val="20"/>
    </w:rPr>
  </w:style>
  <w:style w:type="character" w:customStyle="1" w:styleId="CommentTextChar">
    <w:name w:val="Comment Text Char"/>
    <w:basedOn w:val="DefaultParagraphFont"/>
    <w:link w:val="CommentText"/>
    <w:uiPriority w:val="99"/>
    <w:semiHidden/>
    <w:rsid w:val="00247E2E"/>
    <w:rPr>
      <w:sz w:val="20"/>
      <w:szCs w:val="20"/>
    </w:rPr>
  </w:style>
  <w:style w:type="paragraph" w:styleId="CommentSubject">
    <w:name w:val="annotation subject"/>
    <w:basedOn w:val="CommentText"/>
    <w:next w:val="CommentText"/>
    <w:link w:val="CommentSubjectChar"/>
    <w:uiPriority w:val="99"/>
    <w:semiHidden/>
    <w:unhideWhenUsed/>
    <w:rsid w:val="00247E2E"/>
    <w:rPr>
      <w:b/>
      <w:bCs/>
    </w:rPr>
  </w:style>
  <w:style w:type="character" w:customStyle="1" w:styleId="CommentSubjectChar">
    <w:name w:val="Comment Subject Char"/>
    <w:basedOn w:val="CommentTextChar"/>
    <w:link w:val="CommentSubject"/>
    <w:uiPriority w:val="99"/>
    <w:semiHidden/>
    <w:rsid w:val="00247E2E"/>
    <w:rPr>
      <w:b/>
      <w:bCs/>
      <w:sz w:val="20"/>
      <w:szCs w:val="20"/>
    </w:rPr>
  </w:style>
  <w:style w:type="paragraph" w:styleId="Revision">
    <w:name w:val="Revision"/>
    <w:hidden/>
    <w:uiPriority w:val="99"/>
    <w:semiHidden/>
    <w:rsid w:val="00247E2E"/>
    <w:pPr>
      <w:spacing w:line="240" w:lineRule="auto"/>
    </w:pPr>
  </w:style>
  <w:style w:type="paragraph" w:styleId="BalloonText">
    <w:name w:val="Balloon Text"/>
    <w:basedOn w:val="Normal"/>
    <w:link w:val="BalloonTextChar"/>
    <w:uiPriority w:val="99"/>
    <w:semiHidden/>
    <w:unhideWhenUsed/>
    <w:rsid w:val="00247E2E"/>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47E2E"/>
    <w:rPr>
      <w:rFonts w:ascii="Segoe UI" w:hAnsi="Segoe UI"/>
      <w:sz w:val="18"/>
      <w:szCs w:val="18"/>
    </w:rPr>
  </w:style>
  <w:style w:type="paragraph" w:styleId="Header">
    <w:name w:val="header"/>
    <w:basedOn w:val="Normal"/>
    <w:link w:val="HeaderChar"/>
    <w:uiPriority w:val="99"/>
    <w:unhideWhenUsed/>
    <w:rsid w:val="00AF6992"/>
    <w:pPr>
      <w:tabs>
        <w:tab w:val="center" w:pos="4680"/>
        <w:tab w:val="right" w:pos="9360"/>
      </w:tabs>
      <w:spacing w:line="240" w:lineRule="auto"/>
    </w:pPr>
  </w:style>
  <w:style w:type="character" w:customStyle="1" w:styleId="HeaderChar">
    <w:name w:val="Header Char"/>
    <w:basedOn w:val="DefaultParagraphFont"/>
    <w:link w:val="Header"/>
    <w:uiPriority w:val="99"/>
    <w:rsid w:val="00AF6992"/>
  </w:style>
  <w:style w:type="paragraph" w:styleId="Footer">
    <w:name w:val="footer"/>
    <w:basedOn w:val="Normal"/>
    <w:link w:val="FooterChar"/>
    <w:uiPriority w:val="99"/>
    <w:unhideWhenUsed/>
    <w:rsid w:val="00AF6992"/>
    <w:pPr>
      <w:tabs>
        <w:tab w:val="center" w:pos="4680"/>
        <w:tab w:val="right" w:pos="9360"/>
      </w:tabs>
      <w:spacing w:line="240" w:lineRule="auto"/>
    </w:pPr>
  </w:style>
  <w:style w:type="character" w:customStyle="1" w:styleId="FooterChar">
    <w:name w:val="Footer Char"/>
    <w:basedOn w:val="DefaultParagraphFont"/>
    <w:link w:val="Footer"/>
    <w:uiPriority w:val="99"/>
    <w:rsid w:val="00AF6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ListParagraph">
    <w:name w:val="List Paragraph"/>
    <w:basedOn w:val="Normal"/>
    <w:uiPriority w:val="34"/>
    <w:qFormat/>
    <w:rsid w:val="00113BE7"/>
    <w:pPr>
      <w:ind w:left="720"/>
      <w:contextualSpacing/>
    </w:pPr>
  </w:style>
  <w:style w:type="paragraph" w:styleId="FootnoteText">
    <w:name w:val="footnote text"/>
    <w:basedOn w:val="Normal"/>
    <w:link w:val="FootnoteTextChar"/>
    <w:uiPriority w:val="99"/>
    <w:unhideWhenUsed/>
    <w:rsid w:val="00404776"/>
    <w:pPr>
      <w:spacing w:line="240" w:lineRule="auto"/>
    </w:pPr>
    <w:rPr>
      <w:sz w:val="24"/>
      <w:szCs w:val="24"/>
    </w:rPr>
  </w:style>
  <w:style w:type="character" w:customStyle="1" w:styleId="FootnoteTextChar">
    <w:name w:val="Footnote Text Char"/>
    <w:basedOn w:val="DefaultParagraphFont"/>
    <w:link w:val="FootnoteText"/>
    <w:uiPriority w:val="99"/>
    <w:rsid w:val="00404776"/>
    <w:rPr>
      <w:sz w:val="24"/>
      <w:szCs w:val="24"/>
    </w:rPr>
  </w:style>
  <w:style w:type="character" w:styleId="FootnoteReference">
    <w:name w:val="footnote reference"/>
    <w:basedOn w:val="DefaultParagraphFont"/>
    <w:uiPriority w:val="99"/>
    <w:unhideWhenUsed/>
    <w:rsid w:val="00404776"/>
    <w:rPr>
      <w:vertAlign w:val="superscript"/>
    </w:rPr>
  </w:style>
  <w:style w:type="character" w:styleId="CommentReference">
    <w:name w:val="annotation reference"/>
    <w:basedOn w:val="DefaultParagraphFont"/>
    <w:uiPriority w:val="99"/>
    <w:semiHidden/>
    <w:unhideWhenUsed/>
    <w:rsid w:val="00247E2E"/>
    <w:rPr>
      <w:sz w:val="16"/>
      <w:szCs w:val="16"/>
    </w:rPr>
  </w:style>
  <w:style w:type="paragraph" w:styleId="CommentText">
    <w:name w:val="annotation text"/>
    <w:basedOn w:val="Normal"/>
    <w:link w:val="CommentTextChar"/>
    <w:uiPriority w:val="99"/>
    <w:semiHidden/>
    <w:unhideWhenUsed/>
    <w:rsid w:val="00247E2E"/>
    <w:pPr>
      <w:spacing w:line="240" w:lineRule="auto"/>
    </w:pPr>
    <w:rPr>
      <w:sz w:val="20"/>
      <w:szCs w:val="20"/>
    </w:rPr>
  </w:style>
  <w:style w:type="character" w:customStyle="1" w:styleId="CommentTextChar">
    <w:name w:val="Comment Text Char"/>
    <w:basedOn w:val="DefaultParagraphFont"/>
    <w:link w:val="CommentText"/>
    <w:uiPriority w:val="99"/>
    <w:semiHidden/>
    <w:rsid w:val="00247E2E"/>
    <w:rPr>
      <w:sz w:val="20"/>
      <w:szCs w:val="20"/>
    </w:rPr>
  </w:style>
  <w:style w:type="paragraph" w:styleId="CommentSubject">
    <w:name w:val="annotation subject"/>
    <w:basedOn w:val="CommentText"/>
    <w:next w:val="CommentText"/>
    <w:link w:val="CommentSubjectChar"/>
    <w:uiPriority w:val="99"/>
    <w:semiHidden/>
    <w:unhideWhenUsed/>
    <w:rsid w:val="00247E2E"/>
    <w:rPr>
      <w:b/>
      <w:bCs/>
    </w:rPr>
  </w:style>
  <w:style w:type="character" w:customStyle="1" w:styleId="CommentSubjectChar">
    <w:name w:val="Comment Subject Char"/>
    <w:basedOn w:val="CommentTextChar"/>
    <w:link w:val="CommentSubject"/>
    <w:uiPriority w:val="99"/>
    <w:semiHidden/>
    <w:rsid w:val="00247E2E"/>
    <w:rPr>
      <w:b/>
      <w:bCs/>
      <w:sz w:val="20"/>
      <w:szCs w:val="20"/>
    </w:rPr>
  </w:style>
  <w:style w:type="paragraph" w:styleId="Revision">
    <w:name w:val="Revision"/>
    <w:hidden/>
    <w:uiPriority w:val="99"/>
    <w:semiHidden/>
    <w:rsid w:val="00247E2E"/>
    <w:pPr>
      <w:spacing w:line="240" w:lineRule="auto"/>
    </w:pPr>
  </w:style>
  <w:style w:type="paragraph" w:styleId="BalloonText">
    <w:name w:val="Balloon Text"/>
    <w:basedOn w:val="Normal"/>
    <w:link w:val="BalloonTextChar"/>
    <w:uiPriority w:val="99"/>
    <w:semiHidden/>
    <w:unhideWhenUsed/>
    <w:rsid w:val="00247E2E"/>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47E2E"/>
    <w:rPr>
      <w:rFonts w:ascii="Segoe UI" w:hAnsi="Segoe UI"/>
      <w:sz w:val="18"/>
      <w:szCs w:val="18"/>
    </w:rPr>
  </w:style>
  <w:style w:type="paragraph" w:styleId="Header">
    <w:name w:val="header"/>
    <w:basedOn w:val="Normal"/>
    <w:link w:val="HeaderChar"/>
    <w:uiPriority w:val="99"/>
    <w:unhideWhenUsed/>
    <w:rsid w:val="00AF6992"/>
    <w:pPr>
      <w:tabs>
        <w:tab w:val="center" w:pos="4680"/>
        <w:tab w:val="right" w:pos="9360"/>
      </w:tabs>
      <w:spacing w:line="240" w:lineRule="auto"/>
    </w:pPr>
  </w:style>
  <w:style w:type="character" w:customStyle="1" w:styleId="HeaderChar">
    <w:name w:val="Header Char"/>
    <w:basedOn w:val="DefaultParagraphFont"/>
    <w:link w:val="Header"/>
    <w:uiPriority w:val="99"/>
    <w:rsid w:val="00AF6992"/>
  </w:style>
  <w:style w:type="paragraph" w:styleId="Footer">
    <w:name w:val="footer"/>
    <w:basedOn w:val="Normal"/>
    <w:link w:val="FooterChar"/>
    <w:uiPriority w:val="99"/>
    <w:unhideWhenUsed/>
    <w:rsid w:val="00AF6992"/>
    <w:pPr>
      <w:tabs>
        <w:tab w:val="center" w:pos="4680"/>
        <w:tab w:val="right" w:pos="9360"/>
      </w:tabs>
      <w:spacing w:line="240" w:lineRule="auto"/>
    </w:pPr>
  </w:style>
  <w:style w:type="character" w:customStyle="1" w:styleId="FooterChar">
    <w:name w:val="Footer Char"/>
    <w:basedOn w:val="DefaultParagraphFont"/>
    <w:link w:val="Footer"/>
    <w:uiPriority w:val="99"/>
    <w:rsid w:val="00AF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1814">
      <w:bodyDiv w:val="1"/>
      <w:marLeft w:val="0"/>
      <w:marRight w:val="0"/>
      <w:marTop w:val="0"/>
      <w:marBottom w:val="0"/>
      <w:divBdr>
        <w:top w:val="none" w:sz="0" w:space="0" w:color="auto"/>
        <w:left w:val="none" w:sz="0" w:space="0" w:color="auto"/>
        <w:bottom w:val="none" w:sz="0" w:space="0" w:color="auto"/>
        <w:right w:val="none" w:sz="0" w:space="0" w:color="auto"/>
      </w:divBdr>
      <w:divsChild>
        <w:div w:id="836767869">
          <w:marLeft w:val="0"/>
          <w:marRight w:val="0"/>
          <w:marTop w:val="0"/>
          <w:marBottom w:val="0"/>
          <w:divBdr>
            <w:top w:val="none" w:sz="0" w:space="0" w:color="auto"/>
            <w:left w:val="none" w:sz="0" w:space="0" w:color="auto"/>
            <w:bottom w:val="none" w:sz="0" w:space="0" w:color="auto"/>
            <w:right w:val="none" w:sz="0" w:space="0" w:color="auto"/>
          </w:divBdr>
        </w:div>
        <w:div w:id="205412906">
          <w:marLeft w:val="0"/>
          <w:marRight w:val="0"/>
          <w:marTop w:val="0"/>
          <w:marBottom w:val="0"/>
          <w:divBdr>
            <w:top w:val="none" w:sz="0" w:space="0" w:color="auto"/>
            <w:left w:val="none" w:sz="0" w:space="0" w:color="auto"/>
            <w:bottom w:val="none" w:sz="0" w:space="0" w:color="auto"/>
            <w:right w:val="none" w:sz="0" w:space="0" w:color="auto"/>
          </w:divBdr>
        </w:div>
        <w:div w:id="817771506">
          <w:marLeft w:val="0"/>
          <w:marRight w:val="0"/>
          <w:marTop w:val="0"/>
          <w:marBottom w:val="0"/>
          <w:divBdr>
            <w:top w:val="none" w:sz="0" w:space="0" w:color="auto"/>
            <w:left w:val="none" w:sz="0" w:space="0" w:color="auto"/>
            <w:bottom w:val="none" w:sz="0" w:space="0" w:color="auto"/>
            <w:right w:val="none" w:sz="0" w:space="0" w:color="auto"/>
          </w:divBdr>
        </w:div>
        <w:div w:id="1941257509">
          <w:marLeft w:val="0"/>
          <w:marRight w:val="0"/>
          <w:marTop w:val="0"/>
          <w:marBottom w:val="0"/>
          <w:divBdr>
            <w:top w:val="none" w:sz="0" w:space="0" w:color="auto"/>
            <w:left w:val="none" w:sz="0" w:space="0" w:color="auto"/>
            <w:bottom w:val="none" w:sz="0" w:space="0" w:color="auto"/>
            <w:right w:val="none" w:sz="0" w:space="0" w:color="auto"/>
          </w:divBdr>
        </w:div>
        <w:div w:id="1102993377">
          <w:marLeft w:val="0"/>
          <w:marRight w:val="0"/>
          <w:marTop w:val="0"/>
          <w:marBottom w:val="0"/>
          <w:divBdr>
            <w:top w:val="none" w:sz="0" w:space="0" w:color="auto"/>
            <w:left w:val="none" w:sz="0" w:space="0" w:color="auto"/>
            <w:bottom w:val="none" w:sz="0" w:space="0" w:color="auto"/>
            <w:right w:val="none" w:sz="0" w:space="0" w:color="auto"/>
          </w:divBdr>
        </w:div>
        <w:div w:id="1758625479">
          <w:marLeft w:val="0"/>
          <w:marRight w:val="0"/>
          <w:marTop w:val="0"/>
          <w:marBottom w:val="0"/>
          <w:divBdr>
            <w:top w:val="none" w:sz="0" w:space="0" w:color="auto"/>
            <w:left w:val="none" w:sz="0" w:space="0" w:color="auto"/>
            <w:bottom w:val="none" w:sz="0" w:space="0" w:color="auto"/>
            <w:right w:val="none" w:sz="0" w:space="0" w:color="auto"/>
          </w:divBdr>
        </w:div>
        <w:div w:id="1334066179">
          <w:marLeft w:val="0"/>
          <w:marRight w:val="0"/>
          <w:marTop w:val="0"/>
          <w:marBottom w:val="0"/>
          <w:divBdr>
            <w:top w:val="none" w:sz="0" w:space="0" w:color="auto"/>
            <w:left w:val="none" w:sz="0" w:space="0" w:color="auto"/>
            <w:bottom w:val="none" w:sz="0" w:space="0" w:color="auto"/>
            <w:right w:val="none" w:sz="0" w:space="0" w:color="auto"/>
          </w:divBdr>
        </w:div>
        <w:div w:id="1528327763">
          <w:marLeft w:val="0"/>
          <w:marRight w:val="0"/>
          <w:marTop w:val="0"/>
          <w:marBottom w:val="0"/>
          <w:divBdr>
            <w:top w:val="none" w:sz="0" w:space="0" w:color="auto"/>
            <w:left w:val="none" w:sz="0" w:space="0" w:color="auto"/>
            <w:bottom w:val="none" w:sz="0" w:space="0" w:color="auto"/>
            <w:right w:val="none" w:sz="0" w:space="0" w:color="auto"/>
          </w:divBdr>
        </w:div>
        <w:div w:id="429087408">
          <w:marLeft w:val="0"/>
          <w:marRight w:val="0"/>
          <w:marTop w:val="0"/>
          <w:marBottom w:val="0"/>
          <w:divBdr>
            <w:top w:val="none" w:sz="0" w:space="0" w:color="auto"/>
            <w:left w:val="none" w:sz="0" w:space="0" w:color="auto"/>
            <w:bottom w:val="none" w:sz="0" w:space="0" w:color="auto"/>
            <w:right w:val="none" w:sz="0" w:space="0" w:color="auto"/>
          </w:divBdr>
        </w:div>
        <w:div w:id="1023634786">
          <w:marLeft w:val="0"/>
          <w:marRight w:val="0"/>
          <w:marTop w:val="0"/>
          <w:marBottom w:val="0"/>
          <w:divBdr>
            <w:top w:val="none" w:sz="0" w:space="0" w:color="auto"/>
            <w:left w:val="none" w:sz="0" w:space="0" w:color="auto"/>
            <w:bottom w:val="none" w:sz="0" w:space="0" w:color="auto"/>
            <w:right w:val="none" w:sz="0" w:space="0" w:color="auto"/>
          </w:divBdr>
        </w:div>
        <w:div w:id="16472499">
          <w:marLeft w:val="0"/>
          <w:marRight w:val="0"/>
          <w:marTop w:val="0"/>
          <w:marBottom w:val="0"/>
          <w:divBdr>
            <w:top w:val="none" w:sz="0" w:space="0" w:color="auto"/>
            <w:left w:val="none" w:sz="0" w:space="0" w:color="auto"/>
            <w:bottom w:val="none" w:sz="0" w:space="0" w:color="auto"/>
            <w:right w:val="none" w:sz="0" w:space="0" w:color="auto"/>
          </w:divBdr>
        </w:div>
        <w:div w:id="938370906">
          <w:marLeft w:val="0"/>
          <w:marRight w:val="0"/>
          <w:marTop w:val="0"/>
          <w:marBottom w:val="0"/>
          <w:divBdr>
            <w:top w:val="none" w:sz="0" w:space="0" w:color="auto"/>
            <w:left w:val="none" w:sz="0" w:space="0" w:color="auto"/>
            <w:bottom w:val="none" w:sz="0" w:space="0" w:color="auto"/>
            <w:right w:val="none" w:sz="0" w:space="0" w:color="auto"/>
          </w:divBdr>
        </w:div>
        <w:div w:id="62720355">
          <w:marLeft w:val="0"/>
          <w:marRight w:val="0"/>
          <w:marTop w:val="0"/>
          <w:marBottom w:val="0"/>
          <w:divBdr>
            <w:top w:val="none" w:sz="0" w:space="0" w:color="auto"/>
            <w:left w:val="none" w:sz="0" w:space="0" w:color="auto"/>
            <w:bottom w:val="none" w:sz="0" w:space="0" w:color="auto"/>
            <w:right w:val="none" w:sz="0" w:space="0" w:color="auto"/>
          </w:divBdr>
        </w:div>
        <w:div w:id="423381822">
          <w:marLeft w:val="0"/>
          <w:marRight w:val="0"/>
          <w:marTop w:val="0"/>
          <w:marBottom w:val="0"/>
          <w:divBdr>
            <w:top w:val="none" w:sz="0" w:space="0" w:color="auto"/>
            <w:left w:val="none" w:sz="0" w:space="0" w:color="auto"/>
            <w:bottom w:val="none" w:sz="0" w:space="0" w:color="auto"/>
            <w:right w:val="none" w:sz="0" w:space="0" w:color="auto"/>
          </w:divBdr>
        </w:div>
        <w:div w:id="886339956">
          <w:marLeft w:val="0"/>
          <w:marRight w:val="0"/>
          <w:marTop w:val="0"/>
          <w:marBottom w:val="0"/>
          <w:divBdr>
            <w:top w:val="none" w:sz="0" w:space="0" w:color="auto"/>
            <w:left w:val="none" w:sz="0" w:space="0" w:color="auto"/>
            <w:bottom w:val="none" w:sz="0" w:space="0" w:color="auto"/>
            <w:right w:val="none" w:sz="0" w:space="0" w:color="auto"/>
          </w:divBdr>
        </w:div>
        <w:div w:id="1976524910">
          <w:marLeft w:val="0"/>
          <w:marRight w:val="0"/>
          <w:marTop w:val="0"/>
          <w:marBottom w:val="0"/>
          <w:divBdr>
            <w:top w:val="none" w:sz="0" w:space="0" w:color="auto"/>
            <w:left w:val="none" w:sz="0" w:space="0" w:color="auto"/>
            <w:bottom w:val="none" w:sz="0" w:space="0" w:color="auto"/>
            <w:right w:val="none" w:sz="0" w:space="0" w:color="auto"/>
          </w:divBdr>
        </w:div>
        <w:div w:id="1995986835">
          <w:marLeft w:val="0"/>
          <w:marRight w:val="0"/>
          <w:marTop w:val="0"/>
          <w:marBottom w:val="0"/>
          <w:divBdr>
            <w:top w:val="none" w:sz="0" w:space="0" w:color="auto"/>
            <w:left w:val="none" w:sz="0" w:space="0" w:color="auto"/>
            <w:bottom w:val="none" w:sz="0" w:space="0" w:color="auto"/>
            <w:right w:val="none" w:sz="0" w:space="0" w:color="auto"/>
          </w:divBdr>
        </w:div>
        <w:div w:id="863636495">
          <w:marLeft w:val="0"/>
          <w:marRight w:val="0"/>
          <w:marTop w:val="0"/>
          <w:marBottom w:val="0"/>
          <w:divBdr>
            <w:top w:val="none" w:sz="0" w:space="0" w:color="auto"/>
            <w:left w:val="none" w:sz="0" w:space="0" w:color="auto"/>
            <w:bottom w:val="none" w:sz="0" w:space="0" w:color="auto"/>
            <w:right w:val="none" w:sz="0" w:space="0" w:color="auto"/>
          </w:divBdr>
        </w:div>
        <w:div w:id="456990887">
          <w:marLeft w:val="0"/>
          <w:marRight w:val="0"/>
          <w:marTop w:val="0"/>
          <w:marBottom w:val="0"/>
          <w:divBdr>
            <w:top w:val="none" w:sz="0" w:space="0" w:color="auto"/>
            <w:left w:val="none" w:sz="0" w:space="0" w:color="auto"/>
            <w:bottom w:val="none" w:sz="0" w:space="0" w:color="auto"/>
            <w:right w:val="none" w:sz="0" w:space="0" w:color="auto"/>
          </w:divBdr>
        </w:div>
        <w:div w:id="1266306438">
          <w:marLeft w:val="0"/>
          <w:marRight w:val="0"/>
          <w:marTop w:val="0"/>
          <w:marBottom w:val="0"/>
          <w:divBdr>
            <w:top w:val="none" w:sz="0" w:space="0" w:color="auto"/>
            <w:left w:val="none" w:sz="0" w:space="0" w:color="auto"/>
            <w:bottom w:val="none" w:sz="0" w:space="0" w:color="auto"/>
            <w:right w:val="none" w:sz="0" w:space="0" w:color="auto"/>
          </w:divBdr>
        </w:div>
        <w:div w:id="448545985">
          <w:marLeft w:val="0"/>
          <w:marRight w:val="0"/>
          <w:marTop w:val="0"/>
          <w:marBottom w:val="0"/>
          <w:divBdr>
            <w:top w:val="none" w:sz="0" w:space="0" w:color="auto"/>
            <w:left w:val="none" w:sz="0" w:space="0" w:color="auto"/>
            <w:bottom w:val="none" w:sz="0" w:space="0" w:color="auto"/>
            <w:right w:val="none" w:sz="0" w:space="0" w:color="auto"/>
          </w:divBdr>
        </w:div>
        <w:div w:id="729310985">
          <w:marLeft w:val="0"/>
          <w:marRight w:val="0"/>
          <w:marTop w:val="0"/>
          <w:marBottom w:val="0"/>
          <w:divBdr>
            <w:top w:val="none" w:sz="0" w:space="0" w:color="auto"/>
            <w:left w:val="none" w:sz="0" w:space="0" w:color="auto"/>
            <w:bottom w:val="none" w:sz="0" w:space="0" w:color="auto"/>
            <w:right w:val="none" w:sz="0" w:space="0" w:color="auto"/>
          </w:divBdr>
        </w:div>
        <w:div w:id="1882278139">
          <w:marLeft w:val="0"/>
          <w:marRight w:val="0"/>
          <w:marTop w:val="0"/>
          <w:marBottom w:val="0"/>
          <w:divBdr>
            <w:top w:val="none" w:sz="0" w:space="0" w:color="auto"/>
            <w:left w:val="none" w:sz="0" w:space="0" w:color="auto"/>
            <w:bottom w:val="none" w:sz="0" w:space="0" w:color="auto"/>
            <w:right w:val="none" w:sz="0" w:space="0" w:color="auto"/>
          </w:divBdr>
        </w:div>
        <w:div w:id="1661886881">
          <w:marLeft w:val="0"/>
          <w:marRight w:val="0"/>
          <w:marTop w:val="0"/>
          <w:marBottom w:val="0"/>
          <w:divBdr>
            <w:top w:val="none" w:sz="0" w:space="0" w:color="auto"/>
            <w:left w:val="none" w:sz="0" w:space="0" w:color="auto"/>
            <w:bottom w:val="none" w:sz="0" w:space="0" w:color="auto"/>
            <w:right w:val="none" w:sz="0" w:space="0" w:color="auto"/>
          </w:divBdr>
        </w:div>
      </w:divsChild>
    </w:div>
    <w:div w:id="835267289">
      <w:bodyDiv w:val="1"/>
      <w:marLeft w:val="0"/>
      <w:marRight w:val="0"/>
      <w:marTop w:val="0"/>
      <w:marBottom w:val="0"/>
      <w:divBdr>
        <w:top w:val="none" w:sz="0" w:space="0" w:color="auto"/>
        <w:left w:val="none" w:sz="0" w:space="0" w:color="auto"/>
        <w:bottom w:val="none" w:sz="0" w:space="0" w:color="auto"/>
        <w:right w:val="none" w:sz="0" w:space="0" w:color="auto"/>
      </w:divBdr>
      <w:divsChild>
        <w:div w:id="100685444">
          <w:marLeft w:val="0"/>
          <w:marRight w:val="0"/>
          <w:marTop w:val="0"/>
          <w:marBottom w:val="0"/>
          <w:divBdr>
            <w:top w:val="none" w:sz="0" w:space="0" w:color="auto"/>
            <w:left w:val="none" w:sz="0" w:space="0" w:color="auto"/>
            <w:bottom w:val="none" w:sz="0" w:space="0" w:color="auto"/>
            <w:right w:val="none" w:sz="0" w:space="0" w:color="auto"/>
          </w:divBdr>
        </w:div>
        <w:div w:id="399989260">
          <w:marLeft w:val="0"/>
          <w:marRight w:val="0"/>
          <w:marTop w:val="0"/>
          <w:marBottom w:val="0"/>
          <w:divBdr>
            <w:top w:val="none" w:sz="0" w:space="0" w:color="auto"/>
            <w:left w:val="none" w:sz="0" w:space="0" w:color="auto"/>
            <w:bottom w:val="none" w:sz="0" w:space="0" w:color="auto"/>
            <w:right w:val="none" w:sz="0" w:space="0" w:color="auto"/>
          </w:divBdr>
        </w:div>
        <w:div w:id="795175983">
          <w:marLeft w:val="0"/>
          <w:marRight w:val="0"/>
          <w:marTop w:val="0"/>
          <w:marBottom w:val="0"/>
          <w:divBdr>
            <w:top w:val="none" w:sz="0" w:space="0" w:color="auto"/>
            <w:left w:val="none" w:sz="0" w:space="0" w:color="auto"/>
            <w:bottom w:val="none" w:sz="0" w:space="0" w:color="auto"/>
            <w:right w:val="none" w:sz="0" w:space="0" w:color="auto"/>
          </w:divBdr>
        </w:div>
        <w:div w:id="1631134332">
          <w:marLeft w:val="0"/>
          <w:marRight w:val="0"/>
          <w:marTop w:val="0"/>
          <w:marBottom w:val="0"/>
          <w:divBdr>
            <w:top w:val="none" w:sz="0" w:space="0" w:color="auto"/>
            <w:left w:val="none" w:sz="0" w:space="0" w:color="auto"/>
            <w:bottom w:val="none" w:sz="0" w:space="0" w:color="auto"/>
            <w:right w:val="none" w:sz="0" w:space="0" w:color="auto"/>
          </w:divBdr>
        </w:div>
        <w:div w:id="2124415285">
          <w:marLeft w:val="0"/>
          <w:marRight w:val="0"/>
          <w:marTop w:val="0"/>
          <w:marBottom w:val="0"/>
          <w:divBdr>
            <w:top w:val="none" w:sz="0" w:space="0" w:color="auto"/>
            <w:left w:val="none" w:sz="0" w:space="0" w:color="auto"/>
            <w:bottom w:val="none" w:sz="0" w:space="0" w:color="auto"/>
            <w:right w:val="none" w:sz="0" w:space="0" w:color="auto"/>
          </w:divBdr>
        </w:div>
        <w:div w:id="1461000880">
          <w:marLeft w:val="0"/>
          <w:marRight w:val="0"/>
          <w:marTop w:val="0"/>
          <w:marBottom w:val="0"/>
          <w:divBdr>
            <w:top w:val="none" w:sz="0" w:space="0" w:color="auto"/>
            <w:left w:val="none" w:sz="0" w:space="0" w:color="auto"/>
            <w:bottom w:val="none" w:sz="0" w:space="0" w:color="auto"/>
            <w:right w:val="none" w:sz="0" w:space="0" w:color="auto"/>
          </w:divBdr>
        </w:div>
        <w:div w:id="1536498530">
          <w:marLeft w:val="0"/>
          <w:marRight w:val="0"/>
          <w:marTop w:val="0"/>
          <w:marBottom w:val="0"/>
          <w:divBdr>
            <w:top w:val="none" w:sz="0" w:space="0" w:color="auto"/>
            <w:left w:val="none" w:sz="0" w:space="0" w:color="auto"/>
            <w:bottom w:val="none" w:sz="0" w:space="0" w:color="auto"/>
            <w:right w:val="none" w:sz="0" w:space="0" w:color="auto"/>
          </w:divBdr>
        </w:div>
        <w:div w:id="404036331">
          <w:marLeft w:val="0"/>
          <w:marRight w:val="0"/>
          <w:marTop w:val="0"/>
          <w:marBottom w:val="0"/>
          <w:divBdr>
            <w:top w:val="none" w:sz="0" w:space="0" w:color="auto"/>
            <w:left w:val="none" w:sz="0" w:space="0" w:color="auto"/>
            <w:bottom w:val="none" w:sz="0" w:space="0" w:color="auto"/>
            <w:right w:val="none" w:sz="0" w:space="0" w:color="auto"/>
          </w:divBdr>
        </w:div>
        <w:div w:id="695889361">
          <w:marLeft w:val="0"/>
          <w:marRight w:val="0"/>
          <w:marTop w:val="0"/>
          <w:marBottom w:val="0"/>
          <w:divBdr>
            <w:top w:val="none" w:sz="0" w:space="0" w:color="auto"/>
            <w:left w:val="none" w:sz="0" w:space="0" w:color="auto"/>
            <w:bottom w:val="none" w:sz="0" w:space="0" w:color="auto"/>
            <w:right w:val="none" w:sz="0" w:space="0" w:color="auto"/>
          </w:divBdr>
        </w:div>
        <w:div w:id="80223198">
          <w:marLeft w:val="0"/>
          <w:marRight w:val="0"/>
          <w:marTop w:val="0"/>
          <w:marBottom w:val="0"/>
          <w:divBdr>
            <w:top w:val="none" w:sz="0" w:space="0" w:color="auto"/>
            <w:left w:val="none" w:sz="0" w:space="0" w:color="auto"/>
            <w:bottom w:val="none" w:sz="0" w:space="0" w:color="auto"/>
            <w:right w:val="none" w:sz="0" w:space="0" w:color="auto"/>
          </w:divBdr>
        </w:div>
        <w:div w:id="613177405">
          <w:marLeft w:val="0"/>
          <w:marRight w:val="0"/>
          <w:marTop w:val="0"/>
          <w:marBottom w:val="0"/>
          <w:divBdr>
            <w:top w:val="none" w:sz="0" w:space="0" w:color="auto"/>
            <w:left w:val="none" w:sz="0" w:space="0" w:color="auto"/>
            <w:bottom w:val="none" w:sz="0" w:space="0" w:color="auto"/>
            <w:right w:val="none" w:sz="0" w:space="0" w:color="auto"/>
          </w:divBdr>
        </w:div>
        <w:div w:id="936136639">
          <w:marLeft w:val="0"/>
          <w:marRight w:val="0"/>
          <w:marTop w:val="0"/>
          <w:marBottom w:val="0"/>
          <w:divBdr>
            <w:top w:val="none" w:sz="0" w:space="0" w:color="auto"/>
            <w:left w:val="none" w:sz="0" w:space="0" w:color="auto"/>
            <w:bottom w:val="none" w:sz="0" w:space="0" w:color="auto"/>
            <w:right w:val="none" w:sz="0" w:space="0" w:color="auto"/>
          </w:divBdr>
        </w:div>
        <w:div w:id="2033916699">
          <w:marLeft w:val="0"/>
          <w:marRight w:val="0"/>
          <w:marTop w:val="0"/>
          <w:marBottom w:val="0"/>
          <w:divBdr>
            <w:top w:val="none" w:sz="0" w:space="0" w:color="auto"/>
            <w:left w:val="none" w:sz="0" w:space="0" w:color="auto"/>
            <w:bottom w:val="none" w:sz="0" w:space="0" w:color="auto"/>
            <w:right w:val="none" w:sz="0" w:space="0" w:color="auto"/>
          </w:divBdr>
        </w:div>
        <w:div w:id="1742753687">
          <w:marLeft w:val="0"/>
          <w:marRight w:val="0"/>
          <w:marTop w:val="0"/>
          <w:marBottom w:val="0"/>
          <w:divBdr>
            <w:top w:val="none" w:sz="0" w:space="0" w:color="auto"/>
            <w:left w:val="none" w:sz="0" w:space="0" w:color="auto"/>
            <w:bottom w:val="none" w:sz="0" w:space="0" w:color="auto"/>
            <w:right w:val="none" w:sz="0" w:space="0" w:color="auto"/>
          </w:divBdr>
        </w:div>
        <w:div w:id="1795758187">
          <w:marLeft w:val="0"/>
          <w:marRight w:val="0"/>
          <w:marTop w:val="0"/>
          <w:marBottom w:val="0"/>
          <w:divBdr>
            <w:top w:val="none" w:sz="0" w:space="0" w:color="auto"/>
            <w:left w:val="none" w:sz="0" w:space="0" w:color="auto"/>
            <w:bottom w:val="none" w:sz="0" w:space="0" w:color="auto"/>
            <w:right w:val="none" w:sz="0" w:space="0" w:color="auto"/>
          </w:divBdr>
        </w:div>
        <w:div w:id="1198129983">
          <w:marLeft w:val="0"/>
          <w:marRight w:val="0"/>
          <w:marTop w:val="0"/>
          <w:marBottom w:val="0"/>
          <w:divBdr>
            <w:top w:val="none" w:sz="0" w:space="0" w:color="auto"/>
            <w:left w:val="none" w:sz="0" w:space="0" w:color="auto"/>
            <w:bottom w:val="none" w:sz="0" w:space="0" w:color="auto"/>
            <w:right w:val="none" w:sz="0" w:space="0" w:color="auto"/>
          </w:divBdr>
        </w:div>
        <w:div w:id="230819492">
          <w:marLeft w:val="0"/>
          <w:marRight w:val="0"/>
          <w:marTop w:val="0"/>
          <w:marBottom w:val="0"/>
          <w:divBdr>
            <w:top w:val="none" w:sz="0" w:space="0" w:color="auto"/>
            <w:left w:val="none" w:sz="0" w:space="0" w:color="auto"/>
            <w:bottom w:val="none" w:sz="0" w:space="0" w:color="auto"/>
            <w:right w:val="none" w:sz="0" w:space="0" w:color="auto"/>
          </w:divBdr>
        </w:div>
        <w:div w:id="1080831569">
          <w:marLeft w:val="0"/>
          <w:marRight w:val="0"/>
          <w:marTop w:val="0"/>
          <w:marBottom w:val="0"/>
          <w:divBdr>
            <w:top w:val="none" w:sz="0" w:space="0" w:color="auto"/>
            <w:left w:val="none" w:sz="0" w:space="0" w:color="auto"/>
            <w:bottom w:val="none" w:sz="0" w:space="0" w:color="auto"/>
            <w:right w:val="none" w:sz="0" w:space="0" w:color="auto"/>
          </w:divBdr>
        </w:div>
        <w:div w:id="1651012822">
          <w:marLeft w:val="0"/>
          <w:marRight w:val="0"/>
          <w:marTop w:val="0"/>
          <w:marBottom w:val="0"/>
          <w:divBdr>
            <w:top w:val="none" w:sz="0" w:space="0" w:color="auto"/>
            <w:left w:val="none" w:sz="0" w:space="0" w:color="auto"/>
            <w:bottom w:val="none" w:sz="0" w:space="0" w:color="auto"/>
            <w:right w:val="none" w:sz="0" w:space="0" w:color="auto"/>
          </w:divBdr>
        </w:div>
        <w:div w:id="1389182938">
          <w:marLeft w:val="0"/>
          <w:marRight w:val="0"/>
          <w:marTop w:val="0"/>
          <w:marBottom w:val="0"/>
          <w:divBdr>
            <w:top w:val="none" w:sz="0" w:space="0" w:color="auto"/>
            <w:left w:val="none" w:sz="0" w:space="0" w:color="auto"/>
            <w:bottom w:val="none" w:sz="0" w:space="0" w:color="auto"/>
            <w:right w:val="none" w:sz="0" w:space="0" w:color="auto"/>
          </w:divBdr>
        </w:div>
        <w:div w:id="391081533">
          <w:marLeft w:val="0"/>
          <w:marRight w:val="0"/>
          <w:marTop w:val="0"/>
          <w:marBottom w:val="0"/>
          <w:divBdr>
            <w:top w:val="none" w:sz="0" w:space="0" w:color="auto"/>
            <w:left w:val="none" w:sz="0" w:space="0" w:color="auto"/>
            <w:bottom w:val="none" w:sz="0" w:space="0" w:color="auto"/>
            <w:right w:val="none" w:sz="0" w:space="0" w:color="auto"/>
          </w:divBdr>
        </w:div>
        <w:div w:id="893811734">
          <w:marLeft w:val="0"/>
          <w:marRight w:val="0"/>
          <w:marTop w:val="0"/>
          <w:marBottom w:val="0"/>
          <w:divBdr>
            <w:top w:val="none" w:sz="0" w:space="0" w:color="auto"/>
            <w:left w:val="none" w:sz="0" w:space="0" w:color="auto"/>
            <w:bottom w:val="none" w:sz="0" w:space="0" w:color="auto"/>
            <w:right w:val="none" w:sz="0" w:space="0" w:color="auto"/>
          </w:divBdr>
        </w:div>
        <w:div w:id="2132745207">
          <w:marLeft w:val="0"/>
          <w:marRight w:val="0"/>
          <w:marTop w:val="0"/>
          <w:marBottom w:val="0"/>
          <w:divBdr>
            <w:top w:val="none" w:sz="0" w:space="0" w:color="auto"/>
            <w:left w:val="none" w:sz="0" w:space="0" w:color="auto"/>
            <w:bottom w:val="none" w:sz="0" w:space="0" w:color="auto"/>
            <w:right w:val="none" w:sz="0" w:space="0" w:color="auto"/>
          </w:divBdr>
        </w:div>
        <w:div w:id="1785224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9DE1-883C-439F-AA51-66172E1D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10084</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2017-08-22T07:56:00Z</dcterms:created>
  <dcterms:modified xsi:type="dcterms:W3CDTF">2017-08-22T07:57:00Z</dcterms:modified>
</cp:coreProperties>
</file>