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88A" w:rsidRPr="000C1970" w:rsidRDefault="0014188A" w:rsidP="005F5148">
      <w:pPr>
        <w:pStyle w:val="CC"/>
        <w:keepLines w:val="0"/>
        <w:tabs>
          <w:tab w:val="left" w:pos="720"/>
        </w:tabs>
        <w:spacing w:after="0"/>
        <w:ind w:left="0" w:firstLine="0"/>
        <w:jc w:val="center"/>
        <w:outlineLvl w:val="0"/>
        <w:rPr>
          <w:rFonts w:asciiTheme="minorBidi" w:hAnsiTheme="minorBidi" w:cstheme="minorBidi"/>
          <w:sz w:val="24"/>
          <w:szCs w:val="24"/>
        </w:rPr>
      </w:pPr>
      <w:r w:rsidRPr="000C1970">
        <w:rPr>
          <w:rFonts w:asciiTheme="minorBidi" w:hAnsiTheme="minorBidi" w:cstheme="minorBidi"/>
          <w:sz w:val="24"/>
          <w:szCs w:val="24"/>
        </w:rPr>
        <w:t>YESHIVAT HAR ETZION</w:t>
      </w:r>
    </w:p>
    <w:p w:rsidR="0014188A" w:rsidRPr="000C1970" w:rsidRDefault="0014188A" w:rsidP="005F5148">
      <w:pPr>
        <w:pStyle w:val="CC"/>
        <w:keepLines w:val="0"/>
        <w:tabs>
          <w:tab w:val="left" w:pos="720"/>
        </w:tabs>
        <w:spacing w:after="0"/>
        <w:ind w:left="0" w:firstLine="0"/>
        <w:jc w:val="center"/>
        <w:rPr>
          <w:rFonts w:asciiTheme="minorBidi" w:hAnsiTheme="minorBidi" w:cstheme="minorBidi"/>
          <w:sz w:val="24"/>
          <w:szCs w:val="24"/>
        </w:rPr>
      </w:pPr>
      <w:r w:rsidRPr="000C1970">
        <w:rPr>
          <w:rFonts w:asciiTheme="minorBidi" w:hAnsiTheme="minorBidi" w:cstheme="minorBidi"/>
          <w:sz w:val="24"/>
          <w:szCs w:val="24"/>
        </w:rPr>
        <w:t>ISRAEL KOSCHITZKY VIRTUAL BEIT MIDRASH (VBM)</w:t>
      </w:r>
    </w:p>
    <w:p w:rsidR="0014188A" w:rsidRPr="000C1970" w:rsidRDefault="0014188A" w:rsidP="005F5148">
      <w:pPr>
        <w:pStyle w:val="CC"/>
        <w:keepLines w:val="0"/>
        <w:tabs>
          <w:tab w:val="left" w:pos="720"/>
        </w:tabs>
        <w:spacing w:after="0"/>
        <w:ind w:left="0" w:firstLine="0"/>
        <w:jc w:val="center"/>
        <w:rPr>
          <w:rFonts w:asciiTheme="minorBidi" w:hAnsiTheme="minorBidi" w:cstheme="minorBidi"/>
          <w:sz w:val="24"/>
          <w:szCs w:val="24"/>
        </w:rPr>
      </w:pPr>
      <w:r w:rsidRPr="000C1970">
        <w:rPr>
          <w:rFonts w:asciiTheme="minorBidi" w:hAnsiTheme="minorBidi" w:cstheme="minorBidi"/>
          <w:sz w:val="24"/>
          <w:szCs w:val="24"/>
        </w:rPr>
        <w:t>*********************************************************</w:t>
      </w:r>
    </w:p>
    <w:p w:rsidR="0014188A" w:rsidRPr="000C1970" w:rsidRDefault="0014188A" w:rsidP="005F5148">
      <w:pPr>
        <w:pStyle w:val="CC"/>
        <w:keepLines w:val="0"/>
        <w:tabs>
          <w:tab w:val="left" w:pos="720"/>
        </w:tabs>
        <w:spacing w:after="0"/>
        <w:ind w:left="0" w:firstLine="0"/>
        <w:jc w:val="center"/>
        <w:rPr>
          <w:rFonts w:asciiTheme="minorBidi" w:hAnsiTheme="minorBidi" w:cstheme="minorBidi"/>
          <w:sz w:val="24"/>
          <w:szCs w:val="24"/>
        </w:rPr>
      </w:pPr>
    </w:p>
    <w:p w:rsidR="0014188A" w:rsidRPr="000C1970" w:rsidRDefault="0014188A" w:rsidP="005F5148">
      <w:pPr>
        <w:pStyle w:val="CC"/>
        <w:keepLines w:val="0"/>
        <w:tabs>
          <w:tab w:val="left" w:pos="720"/>
        </w:tabs>
        <w:spacing w:after="0"/>
        <w:ind w:left="0" w:firstLine="0"/>
        <w:jc w:val="center"/>
        <w:outlineLvl w:val="0"/>
        <w:rPr>
          <w:rFonts w:asciiTheme="minorBidi" w:hAnsiTheme="minorBidi" w:cstheme="minorBidi"/>
          <w:sz w:val="24"/>
          <w:szCs w:val="24"/>
        </w:rPr>
      </w:pPr>
      <w:r w:rsidRPr="000C1970">
        <w:rPr>
          <w:rFonts w:asciiTheme="minorBidi" w:hAnsiTheme="minorBidi" w:cstheme="minorBidi"/>
          <w:sz w:val="24"/>
          <w:szCs w:val="24"/>
        </w:rPr>
        <w:t>GEOGRAPHY IN THE PARASHA</w:t>
      </w:r>
    </w:p>
    <w:p w:rsidR="0014188A" w:rsidRPr="000C1970" w:rsidRDefault="0014188A" w:rsidP="005F5148">
      <w:pPr>
        <w:pStyle w:val="CC"/>
        <w:keepLines w:val="0"/>
        <w:tabs>
          <w:tab w:val="left" w:pos="720"/>
        </w:tabs>
        <w:spacing w:after="0"/>
        <w:ind w:left="0" w:firstLine="0"/>
        <w:jc w:val="center"/>
        <w:rPr>
          <w:rFonts w:asciiTheme="minorBidi" w:hAnsiTheme="minorBidi" w:cstheme="minorBidi"/>
          <w:sz w:val="24"/>
          <w:szCs w:val="24"/>
        </w:rPr>
      </w:pPr>
    </w:p>
    <w:p w:rsidR="00D159C3" w:rsidRDefault="00D159C3" w:rsidP="005F5148">
      <w:pPr>
        <w:spacing w:after="0" w:line="240" w:lineRule="auto"/>
        <w:jc w:val="center"/>
        <w:outlineLvl w:val="0"/>
        <w:rPr>
          <w:rFonts w:asciiTheme="minorBidi" w:hAnsiTheme="minorBidi"/>
          <w:b/>
          <w:bCs/>
          <w:i/>
          <w:iCs/>
          <w:sz w:val="24"/>
          <w:szCs w:val="24"/>
        </w:rPr>
      </w:pPr>
    </w:p>
    <w:p w:rsidR="0014188A" w:rsidRPr="000C1970" w:rsidRDefault="0014188A" w:rsidP="005F5148">
      <w:pPr>
        <w:spacing w:after="0" w:line="240" w:lineRule="auto"/>
        <w:jc w:val="center"/>
        <w:outlineLvl w:val="0"/>
        <w:rPr>
          <w:rFonts w:asciiTheme="minorBidi" w:hAnsiTheme="minorBidi"/>
          <w:b/>
          <w:bCs/>
          <w:sz w:val="24"/>
          <w:szCs w:val="24"/>
        </w:rPr>
      </w:pPr>
      <w:r w:rsidRPr="000C1970">
        <w:rPr>
          <w:rFonts w:asciiTheme="minorBidi" w:hAnsiTheme="minorBidi"/>
          <w:b/>
          <w:bCs/>
          <w:i/>
          <w:iCs/>
          <w:sz w:val="24"/>
          <w:szCs w:val="24"/>
        </w:rPr>
        <w:t xml:space="preserve">PARASHAT </w:t>
      </w:r>
      <w:r w:rsidR="00EF6D55">
        <w:rPr>
          <w:rFonts w:asciiTheme="minorBidi" w:hAnsiTheme="minorBidi"/>
          <w:b/>
          <w:bCs/>
          <w:i/>
          <w:iCs/>
          <w:sz w:val="24"/>
          <w:szCs w:val="24"/>
        </w:rPr>
        <w:t>BEHAR</w:t>
      </w:r>
    </w:p>
    <w:p w:rsidR="003241CE" w:rsidRPr="000C1970" w:rsidRDefault="003241CE" w:rsidP="005F5148">
      <w:pPr>
        <w:spacing w:after="0" w:line="240" w:lineRule="auto"/>
        <w:jc w:val="center"/>
        <w:rPr>
          <w:rFonts w:asciiTheme="minorBidi" w:hAnsiTheme="minorBidi"/>
          <w:b/>
          <w:bCs/>
          <w:sz w:val="24"/>
          <w:szCs w:val="24"/>
        </w:rPr>
      </w:pPr>
    </w:p>
    <w:p w:rsidR="004A6EF7" w:rsidRPr="000A1ECE" w:rsidRDefault="00F07FFB" w:rsidP="005F5148">
      <w:pPr>
        <w:spacing w:after="0" w:line="240" w:lineRule="auto"/>
        <w:jc w:val="center"/>
        <w:outlineLvl w:val="0"/>
        <w:rPr>
          <w:rFonts w:asciiTheme="minorBidi" w:hAnsiTheme="minorBidi"/>
          <w:b/>
          <w:bCs/>
          <w:sz w:val="24"/>
          <w:szCs w:val="24"/>
        </w:rPr>
      </w:pPr>
      <w:r>
        <w:rPr>
          <w:rFonts w:asciiTheme="minorBidi" w:hAnsiTheme="minorBidi"/>
          <w:b/>
          <w:bCs/>
          <w:sz w:val="24"/>
          <w:szCs w:val="24"/>
        </w:rPr>
        <w:t>Walled Cities</w:t>
      </w:r>
    </w:p>
    <w:p w:rsidR="00F7770D" w:rsidRPr="000C1970" w:rsidRDefault="00F7770D" w:rsidP="005F5148">
      <w:pPr>
        <w:spacing w:after="0" w:line="240" w:lineRule="auto"/>
        <w:jc w:val="center"/>
        <w:rPr>
          <w:rFonts w:asciiTheme="minorBidi" w:hAnsiTheme="minorBidi"/>
          <w:b/>
          <w:bCs/>
          <w:sz w:val="24"/>
          <w:szCs w:val="24"/>
        </w:rPr>
      </w:pPr>
      <w:r w:rsidRPr="000C1970">
        <w:rPr>
          <w:rFonts w:asciiTheme="minorBidi" w:hAnsiTheme="minorBidi"/>
          <w:b/>
          <w:bCs/>
          <w:sz w:val="24"/>
          <w:szCs w:val="24"/>
        </w:rPr>
        <w:t xml:space="preserve">By </w:t>
      </w:r>
      <w:r w:rsidR="003241CE" w:rsidRPr="000C1970">
        <w:rPr>
          <w:rFonts w:asciiTheme="minorBidi" w:hAnsiTheme="minorBidi"/>
          <w:b/>
          <w:bCs/>
          <w:sz w:val="24"/>
          <w:szCs w:val="24"/>
        </w:rPr>
        <w:t>Prof.</w:t>
      </w:r>
      <w:r w:rsidRPr="000C1970">
        <w:rPr>
          <w:rFonts w:asciiTheme="minorBidi" w:hAnsiTheme="minorBidi"/>
          <w:b/>
          <w:bCs/>
          <w:sz w:val="24"/>
          <w:szCs w:val="24"/>
        </w:rPr>
        <w:t xml:space="preserve"> Yoel Elitzur</w:t>
      </w:r>
    </w:p>
    <w:p w:rsidR="0077133E" w:rsidRDefault="0077133E" w:rsidP="005F5148">
      <w:pPr>
        <w:spacing w:after="0" w:line="240" w:lineRule="auto"/>
        <w:jc w:val="both"/>
        <w:rPr>
          <w:rFonts w:asciiTheme="minorBidi" w:hAnsiTheme="minorBidi"/>
          <w:b/>
          <w:bCs/>
          <w:sz w:val="24"/>
          <w:szCs w:val="24"/>
        </w:rPr>
      </w:pPr>
    </w:p>
    <w:p w:rsidR="00D159C3" w:rsidRPr="000C1970" w:rsidRDefault="00D159C3" w:rsidP="005F5148">
      <w:pPr>
        <w:spacing w:after="0" w:line="240" w:lineRule="auto"/>
        <w:jc w:val="both"/>
        <w:rPr>
          <w:rFonts w:asciiTheme="minorBidi" w:hAnsiTheme="minorBidi"/>
          <w:b/>
          <w:bCs/>
          <w:sz w:val="24"/>
          <w:szCs w:val="24"/>
        </w:rPr>
      </w:pPr>
    </w:p>
    <w:p w:rsidR="0014188A" w:rsidRPr="000A1ECE" w:rsidRDefault="00F07FFB" w:rsidP="005F5148">
      <w:pPr>
        <w:spacing w:after="0" w:line="240" w:lineRule="auto"/>
        <w:jc w:val="both"/>
        <w:outlineLvl w:val="0"/>
        <w:rPr>
          <w:rFonts w:asciiTheme="minorBidi" w:hAnsiTheme="minorBidi"/>
          <w:b/>
          <w:bCs/>
          <w:i/>
          <w:iCs/>
          <w:sz w:val="24"/>
          <w:szCs w:val="24"/>
        </w:rPr>
      </w:pPr>
      <w:r>
        <w:rPr>
          <w:rFonts w:asciiTheme="minorBidi" w:hAnsiTheme="minorBidi"/>
          <w:b/>
          <w:bCs/>
          <w:sz w:val="24"/>
          <w:szCs w:val="24"/>
        </w:rPr>
        <w:t>The Walled City: A</w:t>
      </w:r>
      <w:r w:rsidR="00104FBD">
        <w:rPr>
          <w:rFonts w:asciiTheme="minorBidi" w:hAnsiTheme="minorBidi"/>
          <w:b/>
          <w:bCs/>
          <w:sz w:val="24"/>
          <w:szCs w:val="24"/>
        </w:rPr>
        <w:t xml:space="preserve">n Exception to </w:t>
      </w:r>
      <w:r>
        <w:rPr>
          <w:rFonts w:asciiTheme="minorBidi" w:hAnsiTheme="minorBidi"/>
          <w:b/>
          <w:bCs/>
          <w:sz w:val="24"/>
          <w:szCs w:val="24"/>
        </w:rPr>
        <w:t xml:space="preserve">the Laws of </w:t>
      </w:r>
      <w:r w:rsidR="00C32B63">
        <w:rPr>
          <w:rFonts w:asciiTheme="minorBidi" w:hAnsiTheme="minorBidi"/>
          <w:b/>
          <w:bCs/>
          <w:i/>
          <w:iCs/>
          <w:sz w:val="24"/>
          <w:szCs w:val="24"/>
        </w:rPr>
        <w:t>Yovel</w:t>
      </w:r>
    </w:p>
    <w:p w:rsidR="008C05DA" w:rsidRDefault="008C05DA" w:rsidP="005F5148">
      <w:pPr>
        <w:spacing w:after="0" w:line="240" w:lineRule="auto"/>
        <w:jc w:val="both"/>
        <w:rPr>
          <w:rFonts w:asciiTheme="minorBidi" w:hAnsiTheme="minorBidi"/>
          <w:b/>
          <w:bCs/>
          <w:sz w:val="24"/>
          <w:szCs w:val="24"/>
        </w:rPr>
      </w:pPr>
    </w:p>
    <w:p w:rsidR="00F07FFB" w:rsidRDefault="00F07FFB" w:rsidP="005F5148">
      <w:pPr>
        <w:spacing w:after="0" w:line="240" w:lineRule="auto"/>
        <w:jc w:val="both"/>
        <w:rPr>
          <w:rFonts w:asciiTheme="minorBidi" w:hAnsiTheme="minorBidi"/>
          <w:sz w:val="24"/>
          <w:szCs w:val="24"/>
        </w:rPr>
      </w:pPr>
      <w:r>
        <w:rPr>
          <w:rFonts w:asciiTheme="minorBidi" w:hAnsiTheme="minorBidi"/>
          <w:b/>
          <w:bCs/>
          <w:sz w:val="24"/>
          <w:szCs w:val="24"/>
        </w:rPr>
        <w:tab/>
      </w:r>
      <w:r>
        <w:rPr>
          <w:rFonts w:asciiTheme="minorBidi" w:hAnsiTheme="minorBidi"/>
          <w:i/>
          <w:iCs/>
          <w:sz w:val="24"/>
          <w:szCs w:val="24"/>
        </w:rPr>
        <w:t>Parashat Behar</w:t>
      </w:r>
      <w:r>
        <w:rPr>
          <w:rFonts w:asciiTheme="minorBidi" w:hAnsiTheme="minorBidi"/>
          <w:sz w:val="24"/>
          <w:szCs w:val="24"/>
        </w:rPr>
        <w:t xml:space="preserve"> deals with the laws of the land of Israel and the </w:t>
      </w:r>
      <w:r w:rsidR="00C32B63">
        <w:rPr>
          <w:rFonts w:asciiTheme="minorBidi" w:hAnsiTheme="minorBidi"/>
          <w:i/>
          <w:iCs/>
          <w:sz w:val="24"/>
          <w:szCs w:val="24"/>
        </w:rPr>
        <w:t>yovel</w:t>
      </w:r>
      <w:r>
        <w:rPr>
          <w:rFonts w:asciiTheme="minorBidi" w:hAnsiTheme="minorBidi"/>
          <w:sz w:val="24"/>
          <w:szCs w:val="24"/>
        </w:rPr>
        <w:t xml:space="preserve"> year, and it is in this context that the unique phrase “</w:t>
      </w:r>
      <w:r w:rsidRPr="00104FBD">
        <w:rPr>
          <w:rFonts w:asciiTheme="minorBidi" w:hAnsiTheme="minorBidi"/>
          <w:b/>
          <w:bCs/>
          <w:sz w:val="24"/>
          <w:szCs w:val="24"/>
        </w:rPr>
        <w:t>a dwelling house in a walled city</w:t>
      </w:r>
      <w:r>
        <w:rPr>
          <w:rFonts w:asciiTheme="minorBidi" w:hAnsiTheme="minorBidi"/>
          <w:sz w:val="24"/>
          <w:szCs w:val="24"/>
        </w:rPr>
        <w:t>” appears. The Torah states:</w:t>
      </w:r>
    </w:p>
    <w:p w:rsidR="00F07FFB" w:rsidRPr="00F07FFB" w:rsidRDefault="00F07FFB" w:rsidP="005F5148">
      <w:pPr>
        <w:spacing w:after="0" w:line="240" w:lineRule="auto"/>
        <w:jc w:val="both"/>
        <w:rPr>
          <w:rFonts w:asciiTheme="minorBidi" w:hAnsiTheme="minorBidi"/>
          <w:sz w:val="24"/>
          <w:szCs w:val="24"/>
        </w:rPr>
      </w:pPr>
    </w:p>
    <w:p w:rsidR="00F07FFB" w:rsidRDefault="00F07FFB" w:rsidP="005F5148">
      <w:pPr>
        <w:spacing w:after="0" w:line="240" w:lineRule="auto"/>
        <w:ind w:left="709"/>
        <w:jc w:val="both"/>
        <w:rPr>
          <w:rFonts w:asciiTheme="minorBidi" w:hAnsiTheme="minorBidi"/>
          <w:sz w:val="24"/>
          <w:szCs w:val="24"/>
        </w:rPr>
      </w:pPr>
      <w:r>
        <w:rPr>
          <w:rFonts w:asciiTheme="minorBidi" w:hAnsiTheme="minorBidi"/>
          <w:sz w:val="24"/>
          <w:szCs w:val="24"/>
        </w:rPr>
        <w:t>If a man sells a dwelling house in a walled city, it may be redeemed until a year has elapsed since its sale; the redemption period shall be a year. If it is not redeemed before a full year has elapsed, the house in the walled city shall pass to the purchaser beyond reclaim throughout the ages; it shall not be released in the jubilee. (Leviticus 25:29-30)</w:t>
      </w:r>
    </w:p>
    <w:p w:rsidR="00F07FFB" w:rsidRDefault="00F07FFB" w:rsidP="005F5148">
      <w:pPr>
        <w:spacing w:after="0" w:line="240" w:lineRule="auto"/>
        <w:jc w:val="both"/>
        <w:rPr>
          <w:rFonts w:asciiTheme="minorBidi" w:hAnsiTheme="minorBidi"/>
          <w:sz w:val="24"/>
          <w:szCs w:val="24"/>
        </w:rPr>
      </w:pPr>
    </w:p>
    <w:p w:rsidR="00F07FFB" w:rsidRDefault="00F07FFB" w:rsidP="005F5148">
      <w:pPr>
        <w:spacing w:after="0" w:line="240" w:lineRule="auto"/>
        <w:jc w:val="both"/>
        <w:rPr>
          <w:rFonts w:asciiTheme="minorBidi" w:hAnsiTheme="minorBidi"/>
          <w:sz w:val="24"/>
          <w:szCs w:val="24"/>
        </w:rPr>
      </w:pPr>
      <w:r>
        <w:rPr>
          <w:rFonts w:asciiTheme="minorBidi" w:hAnsiTheme="minorBidi"/>
          <w:sz w:val="24"/>
          <w:szCs w:val="24"/>
        </w:rPr>
        <w:t>This law essentially constitutes a</w:t>
      </w:r>
      <w:r w:rsidR="00104FBD">
        <w:rPr>
          <w:rFonts w:asciiTheme="minorBidi" w:hAnsiTheme="minorBidi"/>
          <w:sz w:val="24"/>
          <w:szCs w:val="24"/>
        </w:rPr>
        <w:t>n exception to</w:t>
      </w:r>
      <w:r>
        <w:rPr>
          <w:rFonts w:asciiTheme="minorBidi" w:hAnsiTheme="minorBidi"/>
          <w:sz w:val="24"/>
          <w:szCs w:val="24"/>
        </w:rPr>
        <w:t xml:space="preserve"> the laws of </w:t>
      </w:r>
      <w:r w:rsidR="00C32B63" w:rsidRPr="00C32B63">
        <w:rPr>
          <w:rFonts w:asciiTheme="minorBidi" w:hAnsiTheme="minorBidi"/>
          <w:i/>
          <w:iCs/>
          <w:sz w:val="24"/>
          <w:szCs w:val="24"/>
        </w:rPr>
        <w:t>yovel</w:t>
      </w:r>
      <w:r>
        <w:rPr>
          <w:rFonts w:asciiTheme="minorBidi" w:hAnsiTheme="minorBidi"/>
          <w:sz w:val="24"/>
          <w:szCs w:val="24"/>
        </w:rPr>
        <w:t xml:space="preserve">. According to the laws of </w:t>
      </w:r>
      <w:r w:rsidR="00C32B63" w:rsidRPr="00C32B63">
        <w:rPr>
          <w:rFonts w:asciiTheme="minorBidi" w:hAnsiTheme="minorBidi"/>
          <w:i/>
          <w:iCs/>
          <w:sz w:val="24"/>
          <w:szCs w:val="24"/>
        </w:rPr>
        <w:t>yovel</w:t>
      </w:r>
      <w:r>
        <w:rPr>
          <w:rFonts w:asciiTheme="minorBidi" w:hAnsiTheme="minorBidi"/>
          <w:sz w:val="24"/>
          <w:szCs w:val="24"/>
        </w:rPr>
        <w:t xml:space="preserve">, </w:t>
      </w:r>
      <w:r w:rsidR="004A201E">
        <w:rPr>
          <w:rFonts w:asciiTheme="minorBidi" w:hAnsiTheme="minorBidi"/>
          <w:sz w:val="24"/>
          <w:szCs w:val="24"/>
        </w:rPr>
        <w:t>every field</w:t>
      </w:r>
      <w:r>
        <w:rPr>
          <w:rFonts w:asciiTheme="minorBidi" w:hAnsiTheme="minorBidi"/>
          <w:sz w:val="24"/>
          <w:szCs w:val="24"/>
        </w:rPr>
        <w:t xml:space="preserve"> </w:t>
      </w:r>
      <w:r w:rsidR="004A201E">
        <w:rPr>
          <w:rFonts w:asciiTheme="minorBidi" w:hAnsiTheme="minorBidi"/>
          <w:sz w:val="24"/>
          <w:szCs w:val="24"/>
        </w:rPr>
        <w:t xml:space="preserve">returns to its original owners during the </w:t>
      </w:r>
      <w:r w:rsidR="00C32B63">
        <w:rPr>
          <w:rFonts w:asciiTheme="minorBidi" w:hAnsiTheme="minorBidi"/>
          <w:i/>
          <w:iCs/>
          <w:sz w:val="24"/>
          <w:szCs w:val="24"/>
        </w:rPr>
        <w:t>yovel</w:t>
      </w:r>
      <w:r w:rsidR="004A201E">
        <w:rPr>
          <w:rFonts w:asciiTheme="minorBidi" w:hAnsiTheme="minorBidi"/>
          <w:sz w:val="24"/>
          <w:szCs w:val="24"/>
        </w:rPr>
        <w:t xml:space="preserve"> year. In contrast, the Torah states in the above passage that a house in a walled city does not return to its original owners (though the seller has the right to annul the transaction within a year of the sale).</w:t>
      </w:r>
    </w:p>
    <w:p w:rsidR="004A201E" w:rsidRDefault="004A201E" w:rsidP="005F5148">
      <w:pPr>
        <w:spacing w:after="0" w:line="240" w:lineRule="auto"/>
        <w:jc w:val="both"/>
        <w:rPr>
          <w:rFonts w:asciiTheme="minorBidi" w:hAnsiTheme="minorBidi"/>
          <w:sz w:val="24"/>
          <w:szCs w:val="24"/>
        </w:rPr>
      </w:pPr>
    </w:p>
    <w:p w:rsidR="004A201E" w:rsidRDefault="004A201E" w:rsidP="005F5148">
      <w:pPr>
        <w:spacing w:after="0" w:line="240" w:lineRule="auto"/>
        <w:jc w:val="both"/>
        <w:rPr>
          <w:rFonts w:asciiTheme="minorBidi" w:hAnsiTheme="minorBidi"/>
          <w:sz w:val="24"/>
          <w:szCs w:val="24"/>
        </w:rPr>
      </w:pPr>
      <w:r>
        <w:rPr>
          <w:rFonts w:asciiTheme="minorBidi" w:hAnsiTheme="minorBidi"/>
          <w:sz w:val="24"/>
          <w:szCs w:val="24"/>
        </w:rPr>
        <w:tab/>
        <w:t>What is the reason for this law? A logical assumption might be that in the reality of urban life</w:t>
      </w:r>
      <w:r w:rsidR="00210932">
        <w:rPr>
          <w:rFonts w:asciiTheme="minorBidi" w:hAnsiTheme="minorBidi"/>
          <w:sz w:val="24"/>
          <w:szCs w:val="24"/>
        </w:rPr>
        <w:t>,</w:t>
      </w:r>
      <w:r>
        <w:rPr>
          <w:rFonts w:asciiTheme="minorBidi" w:hAnsiTheme="minorBidi"/>
          <w:sz w:val="24"/>
          <w:szCs w:val="24"/>
        </w:rPr>
        <w:t xml:space="preserve"> </w:t>
      </w:r>
      <w:r w:rsidR="00210932">
        <w:rPr>
          <w:rFonts w:asciiTheme="minorBidi" w:hAnsiTheme="minorBidi"/>
          <w:sz w:val="24"/>
          <w:szCs w:val="24"/>
        </w:rPr>
        <w:t xml:space="preserve">the concept of ancestral territory becomes irrelevant. It would be ludicrous for a person to claim, for instance, that the second floor of a luxury apartment building in Tel Aviv is part of his ancestral territory. </w:t>
      </w:r>
      <w:r w:rsidR="00104FBD">
        <w:rPr>
          <w:rFonts w:asciiTheme="minorBidi" w:hAnsiTheme="minorBidi"/>
          <w:sz w:val="24"/>
          <w:szCs w:val="24"/>
        </w:rPr>
        <w:t>These buildings change over the years; they are destroyed and rebuilt, they change ownership according to the city’s needs and its development. In such a reality, the notion of ancestral territory cannot exist. In contrast, “</w:t>
      </w:r>
      <w:r w:rsidR="00104FBD" w:rsidRPr="00104FBD">
        <w:rPr>
          <w:rFonts w:asciiTheme="minorBidi" w:hAnsiTheme="minorBidi"/>
          <w:b/>
          <w:bCs/>
          <w:sz w:val="24"/>
          <w:szCs w:val="24"/>
        </w:rPr>
        <w:t xml:space="preserve">houses in </w:t>
      </w:r>
      <w:r w:rsidR="00FE73A3">
        <w:rPr>
          <w:rFonts w:asciiTheme="minorBidi" w:hAnsiTheme="minorBidi"/>
          <w:b/>
          <w:bCs/>
          <w:i/>
          <w:iCs/>
          <w:sz w:val="24"/>
          <w:szCs w:val="24"/>
        </w:rPr>
        <w:t xml:space="preserve">chatzerim </w:t>
      </w:r>
      <w:r w:rsidR="00FE73A3">
        <w:rPr>
          <w:rFonts w:asciiTheme="minorBidi" w:hAnsiTheme="minorBidi"/>
          <w:b/>
          <w:bCs/>
          <w:sz w:val="24"/>
          <w:szCs w:val="24"/>
        </w:rPr>
        <w:t>(</w:t>
      </w:r>
      <w:r w:rsidR="00104FBD" w:rsidRPr="00104FBD">
        <w:rPr>
          <w:rFonts w:asciiTheme="minorBidi" w:hAnsiTheme="minorBidi"/>
          <w:b/>
          <w:bCs/>
          <w:sz w:val="24"/>
          <w:szCs w:val="24"/>
        </w:rPr>
        <w:t>villages</w:t>
      </w:r>
      <w:r w:rsidR="003E713B" w:rsidRPr="005F5148">
        <w:rPr>
          <w:rFonts w:asciiTheme="minorBidi" w:hAnsiTheme="minorBidi"/>
          <w:b/>
          <w:bCs/>
          <w:sz w:val="24"/>
          <w:szCs w:val="24"/>
        </w:rPr>
        <w:t>)</w:t>
      </w:r>
      <w:r w:rsidR="00104FBD">
        <w:rPr>
          <w:rFonts w:asciiTheme="minorBidi" w:hAnsiTheme="minorBidi"/>
          <w:sz w:val="24"/>
          <w:szCs w:val="24"/>
        </w:rPr>
        <w:t xml:space="preserve"> that have no encircling walls shall be classed as open country; they may be redeemed, and they shall be released through the jubilee” (25:31). This is an exception to the exception: a house in an unwalled town is part of the framework of rural life, and thus it </w:t>
      </w:r>
      <w:r w:rsidR="008F1D68">
        <w:rPr>
          <w:rFonts w:asciiTheme="minorBidi" w:hAnsiTheme="minorBidi"/>
          <w:sz w:val="24"/>
          <w:szCs w:val="24"/>
        </w:rPr>
        <w:t xml:space="preserve">is equivalent to fields for the purposes of </w:t>
      </w:r>
      <w:r w:rsidR="00C32B63" w:rsidRPr="00C32B63">
        <w:rPr>
          <w:rFonts w:asciiTheme="minorBidi" w:hAnsiTheme="minorBidi"/>
          <w:i/>
          <w:iCs/>
          <w:sz w:val="24"/>
          <w:szCs w:val="24"/>
        </w:rPr>
        <w:t>yovel</w:t>
      </w:r>
      <w:r w:rsidR="00C32B63">
        <w:rPr>
          <w:rFonts w:asciiTheme="minorBidi" w:hAnsiTheme="minorBidi"/>
          <w:sz w:val="24"/>
          <w:szCs w:val="24"/>
        </w:rPr>
        <w:t xml:space="preserve"> </w:t>
      </w:r>
      <w:r w:rsidR="008F1D68">
        <w:rPr>
          <w:rFonts w:asciiTheme="minorBidi" w:hAnsiTheme="minorBidi"/>
          <w:sz w:val="24"/>
          <w:szCs w:val="24"/>
        </w:rPr>
        <w:t>– it returns to its original owner.</w:t>
      </w:r>
    </w:p>
    <w:p w:rsidR="008F1D68" w:rsidRDefault="008F1D68" w:rsidP="005F5148">
      <w:pPr>
        <w:spacing w:after="0" w:line="240" w:lineRule="auto"/>
        <w:jc w:val="both"/>
        <w:rPr>
          <w:rFonts w:asciiTheme="minorBidi" w:hAnsiTheme="minorBidi"/>
          <w:sz w:val="24"/>
          <w:szCs w:val="24"/>
        </w:rPr>
      </w:pPr>
    </w:p>
    <w:p w:rsidR="008F1D68" w:rsidRDefault="008F1D68" w:rsidP="005F5148">
      <w:pPr>
        <w:spacing w:after="0" w:line="240" w:lineRule="auto"/>
        <w:jc w:val="both"/>
        <w:rPr>
          <w:rFonts w:asciiTheme="minorBidi" w:hAnsiTheme="minorBidi"/>
          <w:b/>
          <w:bCs/>
          <w:sz w:val="24"/>
          <w:szCs w:val="24"/>
        </w:rPr>
      </w:pPr>
      <w:r>
        <w:rPr>
          <w:rFonts w:asciiTheme="minorBidi" w:hAnsiTheme="minorBidi"/>
          <w:b/>
          <w:bCs/>
          <w:sz w:val="24"/>
          <w:szCs w:val="24"/>
        </w:rPr>
        <w:t xml:space="preserve">The Walled City in Three </w:t>
      </w:r>
      <w:r>
        <w:rPr>
          <w:rFonts w:asciiTheme="minorBidi" w:hAnsiTheme="minorBidi"/>
          <w:b/>
          <w:bCs/>
          <w:i/>
          <w:iCs/>
          <w:sz w:val="24"/>
          <w:szCs w:val="24"/>
        </w:rPr>
        <w:t>Halakhot</w:t>
      </w:r>
    </w:p>
    <w:p w:rsidR="008F1D68" w:rsidRDefault="008F1D68" w:rsidP="005F5148">
      <w:pPr>
        <w:spacing w:after="0" w:line="240" w:lineRule="auto"/>
        <w:jc w:val="both"/>
        <w:rPr>
          <w:rFonts w:asciiTheme="minorBidi" w:hAnsiTheme="minorBidi"/>
          <w:b/>
          <w:bCs/>
          <w:sz w:val="24"/>
          <w:szCs w:val="24"/>
        </w:rPr>
      </w:pPr>
    </w:p>
    <w:p w:rsidR="008F1D68" w:rsidRDefault="008F1D68" w:rsidP="005F5148">
      <w:pPr>
        <w:spacing w:after="0" w:line="240" w:lineRule="auto"/>
        <w:jc w:val="both"/>
        <w:rPr>
          <w:rFonts w:asciiTheme="minorBidi" w:hAnsiTheme="minorBidi"/>
          <w:sz w:val="24"/>
          <w:szCs w:val="24"/>
        </w:rPr>
      </w:pPr>
      <w:r>
        <w:rPr>
          <w:rFonts w:asciiTheme="minorBidi" w:hAnsiTheme="minorBidi"/>
          <w:b/>
          <w:bCs/>
          <w:sz w:val="24"/>
          <w:szCs w:val="24"/>
        </w:rPr>
        <w:tab/>
      </w:r>
      <w:r w:rsidR="00234BE2">
        <w:rPr>
          <w:rFonts w:asciiTheme="minorBidi" w:hAnsiTheme="minorBidi"/>
          <w:sz w:val="24"/>
          <w:szCs w:val="24"/>
        </w:rPr>
        <w:t xml:space="preserve">The first </w:t>
      </w:r>
      <w:r w:rsidR="00234BE2">
        <w:rPr>
          <w:rFonts w:asciiTheme="minorBidi" w:hAnsiTheme="minorBidi"/>
          <w:i/>
          <w:iCs/>
          <w:sz w:val="24"/>
          <w:szCs w:val="24"/>
        </w:rPr>
        <w:t>halakha</w:t>
      </w:r>
      <w:r w:rsidR="00234BE2">
        <w:rPr>
          <w:rFonts w:asciiTheme="minorBidi" w:hAnsiTheme="minorBidi"/>
          <w:sz w:val="24"/>
          <w:szCs w:val="24"/>
        </w:rPr>
        <w:t xml:space="preserve"> is the one we discussed above: </w:t>
      </w:r>
      <w:r w:rsidR="00202E5B">
        <w:rPr>
          <w:rFonts w:asciiTheme="minorBidi" w:hAnsiTheme="minorBidi"/>
          <w:sz w:val="24"/>
          <w:szCs w:val="24"/>
        </w:rPr>
        <w:t xml:space="preserve">the explicit Torah law </w:t>
      </w:r>
      <w:r w:rsidR="00234BE2">
        <w:rPr>
          <w:rFonts w:asciiTheme="minorBidi" w:hAnsiTheme="minorBidi"/>
          <w:sz w:val="24"/>
          <w:szCs w:val="24"/>
        </w:rPr>
        <w:t>that a house in a walled city</w:t>
      </w:r>
      <w:r w:rsidR="00202E5B">
        <w:rPr>
          <w:rFonts w:asciiTheme="minorBidi" w:hAnsiTheme="minorBidi"/>
          <w:sz w:val="24"/>
          <w:szCs w:val="24"/>
        </w:rPr>
        <w:t xml:space="preserve"> is not released through</w:t>
      </w:r>
      <w:r w:rsidR="00C32B63">
        <w:rPr>
          <w:rFonts w:asciiTheme="minorBidi" w:hAnsiTheme="minorBidi"/>
          <w:sz w:val="24"/>
          <w:szCs w:val="24"/>
        </w:rPr>
        <w:t xml:space="preserve"> </w:t>
      </w:r>
      <w:r w:rsidR="00C32B63">
        <w:rPr>
          <w:rFonts w:asciiTheme="minorBidi" w:hAnsiTheme="minorBidi"/>
          <w:i/>
          <w:iCs/>
          <w:sz w:val="24"/>
          <w:szCs w:val="24"/>
        </w:rPr>
        <w:t>yovel</w:t>
      </w:r>
      <w:r w:rsidR="00202E5B">
        <w:rPr>
          <w:rFonts w:asciiTheme="minorBidi" w:hAnsiTheme="minorBidi"/>
          <w:sz w:val="24"/>
          <w:szCs w:val="24"/>
        </w:rPr>
        <w:t xml:space="preserve">. The second </w:t>
      </w:r>
      <w:r w:rsidR="00202E5B">
        <w:rPr>
          <w:rFonts w:asciiTheme="minorBidi" w:hAnsiTheme="minorBidi"/>
          <w:i/>
          <w:iCs/>
          <w:sz w:val="24"/>
          <w:szCs w:val="24"/>
        </w:rPr>
        <w:t>halakha</w:t>
      </w:r>
      <w:r w:rsidR="00202E5B">
        <w:rPr>
          <w:rFonts w:asciiTheme="minorBidi" w:hAnsiTheme="minorBidi"/>
          <w:sz w:val="24"/>
          <w:szCs w:val="24"/>
        </w:rPr>
        <w:t xml:space="preserve"> is presented in the </w:t>
      </w:r>
      <w:r w:rsidR="00202E5B" w:rsidRPr="00C27DD9">
        <w:rPr>
          <w:rFonts w:asciiTheme="minorBidi" w:hAnsiTheme="minorBidi"/>
          <w:sz w:val="24"/>
          <w:szCs w:val="24"/>
        </w:rPr>
        <w:t>Mishna</w:t>
      </w:r>
      <w:r w:rsidR="00202E5B">
        <w:rPr>
          <w:rFonts w:asciiTheme="minorBidi" w:hAnsiTheme="minorBidi"/>
          <w:sz w:val="24"/>
          <w:szCs w:val="24"/>
        </w:rPr>
        <w:t>:</w:t>
      </w:r>
    </w:p>
    <w:p w:rsidR="00202E5B" w:rsidRDefault="00202E5B" w:rsidP="005F5148">
      <w:pPr>
        <w:spacing w:after="0" w:line="240" w:lineRule="auto"/>
        <w:jc w:val="both"/>
        <w:rPr>
          <w:rFonts w:asciiTheme="minorBidi" w:hAnsiTheme="minorBidi"/>
          <w:sz w:val="24"/>
          <w:szCs w:val="24"/>
        </w:rPr>
      </w:pPr>
    </w:p>
    <w:p w:rsidR="00202E5B" w:rsidRDefault="00202E5B" w:rsidP="005F5148">
      <w:pPr>
        <w:spacing w:after="0" w:line="240" w:lineRule="auto"/>
        <w:ind w:left="720"/>
        <w:jc w:val="both"/>
        <w:rPr>
          <w:rFonts w:asciiTheme="minorBidi" w:hAnsiTheme="minorBidi"/>
          <w:sz w:val="24"/>
          <w:szCs w:val="24"/>
        </w:rPr>
      </w:pPr>
      <w:r>
        <w:rPr>
          <w:rFonts w:asciiTheme="minorBidi" w:hAnsiTheme="minorBidi"/>
          <w:sz w:val="24"/>
          <w:szCs w:val="24"/>
        </w:rPr>
        <w:lastRenderedPageBreak/>
        <w:t xml:space="preserve">Walled cities are holier [than the rest of the land of Israel], for </w:t>
      </w:r>
      <w:r>
        <w:rPr>
          <w:rFonts w:asciiTheme="minorBidi" w:hAnsiTheme="minorBidi"/>
          <w:i/>
          <w:iCs/>
          <w:sz w:val="24"/>
          <w:szCs w:val="24"/>
        </w:rPr>
        <w:t>metzora’im</w:t>
      </w:r>
      <w:r>
        <w:rPr>
          <w:rFonts w:asciiTheme="minorBidi" w:hAnsiTheme="minorBidi"/>
          <w:sz w:val="24"/>
          <w:szCs w:val="24"/>
        </w:rPr>
        <w:t xml:space="preserve"> must be sent out of them; and a corpse, though it may be carried about within them as long as it is desired, may not be brought back once it has been taken out. (</w:t>
      </w:r>
      <w:r>
        <w:rPr>
          <w:rFonts w:asciiTheme="minorBidi" w:hAnsiTheme="minorBidi"/>
          <w:i/>
          <w:iCs/>
          <w:sz w:val="24"/>
          <w:szCs w:val="24"/>
        </w:rPr>
        <w:t>Kelim</w:t>
      </w:r>
      <w:r>
        <w:rPr>
          <w:rFonts w:asciiTheme="minorBidi" w:hAnsiTheme="minorBidi"/>
          <w:sz w:val="24"/>
          <w:szCs w:val="24"/>
        </w:rPr>
        <w:t xml:space="preserve"> 1:7)</w:t>
      </w:r>
    </w:p>
    <w:p w:rsidR="00202E5B" w:rsidRDefault="00202E5B" w:rsidP="005F5148">
      <w:pPr>
        <w:spacing w:after="0" w:line="240" w:lineRule="auto"/>
        <w:jc w:val="both"/>
        <w:rPr>
          <w:rFonts w:asciiTheme="minorBidi" w:hAnsiTheme="minorBidi"/>
          <w:sz w:val="24"/>
          <w:szCs w:val="24"/>
        </w:rPr>
      </w:pPr>
    </w:p>
    <w:p w:rsidR="00AF33CF" w:rsidRDefault="00202E5B" w:rsidP="005F5148">
      <w:pPr>
        <w:spacing w:after="0" w:line="240" w:lineRule="auto"/>
        <w:jc w:val="both"/>
        <w:rPr>
          <w:rFonts w:asciiTheme="minorBidi" w:hAnsiTheme="minorBidi"/>
          <w:sz w:val="24"/>
          <w:szCs w:val="24"/>
        </w:rPr>
      </w:pPr>
      <w:r>
        <w:rPr>
          <w:rFonts w:asciiTheme="minorBidi" w:hAnsiTheme="minorBidi"/>
          <w:sz w:val="24"/>
          <w:szCs w:val="24"/>
        </w:rPr>
        <w:tab/>
        <w:t xml:space="preserve">There is one other </w:t>
      </w:r>
      <w:r>
        <w:rPr>
          <w:rFonts w:asciiTheme="minorBidi" w:hAnsiTheme="minorBidi"/>
          <w:i/>
          <w:iCs/>
          <w:sz w:val="24"/>
          <w:szCs w:val="24"/>
        </w:rPr>
        <w:t>halakha</w:t>
      </w:r>
      <w:r>
        <w:rPr>
          <w:rFonts w:asciiTheme="minorBidi" w:hAnsiTheme="minorBidi"/>
          <w:sz w:val="24"/>
          <w:szCs w:val="24"/>
        </w:rPr>
        <w:t xml:space="preserve"> that is stated almost explicitly in the </w:t>
      </w:r>
      <w:r>
        <w:rPr>
          <w:rFonts w:asciiTheme="minorBidi" w:hAnsiTheme="minorBidi"/>
          <w:i/>
          <w:iCs/>
          <w:sz w:val="24"/>
          <w:szCs w:val="24"/>
        </w:rPr>
        <w:t>Tanakh</w:t>
      </w:r>
      <w:r>
        <w:rPr>
          <w:rFonts w:asciiTheme="minorBidi" w:hAnsiTheme="minorBidi"/>
          <w:sz w:val="24"/>
          <w:szCs w:val="24"/>
        </w:rPr>
        <w:t xml:space="preserve">: the </w:t>
      </w:r>
      <w:r w:rsidR="00AF33CF">
        <w:rPr>
          <w:rFonts w:asciiTheme="minorBidi" w:hAnsiTheme="minorBidi"/>
          <w:sz w:val="24"/>
          <w:szCs w:val="24"/>
        </w:rPr>
        <w:t xml:space="preserve">date for </w:t>
      </w:r>
      <w:r w:rsidR="00EE38E4">
        <w:rPr>
          <w:rFonts w:asciiTheme="minorBidi" w:hAnsiTheme="minorBidi"/>
          <w:sz w:val="24"/>
          <w:szCs w:val="24"/>
        </w:rPr>
        <w:t xml:space="preserve">celebrating and </w:t>
      </w:r>
      <w:r w:rsidR="00AF33CF">
        <w:rPr>
          <w:rFonts w:asciiTheme="minorBidi" w:hAnsiTheme="minorBidi"/>
          <w:sz w:val="24"/>
          <w:szCs w:val="24"/>
        </w:rPr>
        <w:t xml:space="preserve">reading the </w:t>
      </w:r>
      <w:r w:rsidR="00AF33CF">
        <w:rPr>
          <w:rFonts w:asciiTheme="minorBidi" w:hAnsiTheme="minorBidi"/>
          <w:i/>
          <w:iCs/>
          <w:sz w:val="24"/>
          <w:szCs w:val="24"/>
        </w:rPr>
        <w:t>megilla</w:t>
      </w:r>
      <w:r w:rsidR="00AF33CF">
        <w:rPr>
          <w:rFonts w:asciiTheme="minorBidi" w:hAnsiTheme="minorBidi"/>
          <w:sz w:val="24"/>
          <w:szCs w:val="24"/>
        </w:rPr>
        <w:t xml:space="preserve"> on Purim. We read:</w:t>
      </w:r>
    </w:p>
    <w:p w:rsidR="00AF33CF" w:rsidRDefault="00AF33CF" w:rsidP="005F5148">
      <w:pPr>
        <w:spacing w:after="0" w:line="240" w:lineRule="auto"/>
        <w:jc w:val="both"/>
        <w:rPr>
          <w:rFonts w:asciiTheme="minorBidi" w:hAnsiTheme="minorBidi"/>
          <w:sz w:val="24"/>
          <w:szCs w:val="24"/>
        </w:rPr>
      </w:pPr>
    </w:p>
    <w:p w:rsidR="00202E5B" w:rsidRDefault="00AF33CF" w:rsidP="005F5148">
      <w:pPr>
        <w:spacing w:after="0" w:line="240" w:lineRule="auto"/>
        <w:ind w:left="720"/>
        <w:jc w:val="both"/>
        <w:rPr>
          <w:rFonts w:asciiTheme="minorBidi" w:hAnsiTheme="minorBidi"/>
          <w:sz w:val="24"/>
          <w:szCs w:val="24"/>
        </w:rPr>
      </w:pPr>
      <w:r>
        <w:rPr>
          <w:rFonts w:asciiTheme="minorBidi" w:hAnsiTheme="minorBidi"/>
          <w:sz w:val="24"/>
          <w:szCs w:val="24"/>
        </w:rPr>
        <w:t xml:space="preserve">That is why </w:t>
      </w:r>
      <w:r w:rsidR="002F0554">
        <w:rPr>
          <w:rFonts w:asciiTheme="minorBidi" w:hAnsiTheme="minorBidi"/>
          <w:sz w:val="24"/>
          <w:szCs w:val="24"/>
        </w:rPr>
        <w:t xml:space="preserve">unwalled </w:t>
      </w:r>
      <w:r>
        <w:rPr>
          <w:rFonts w:asciiTheme="minorBidi" w:hAnsiTheme="minorBidi"/>
          <w:sz w:val="24"/>
          <w:szCs w:val="24"/>
        </w:rPr>
        <w:t>Jews, who live in unwalled cities, observe the fourteenth day of the month of Adar and make it a day of merrymaking and feasting, and as a holiday and an occasion for sending gifts to one another. (Esther 9:19)</w:t>
      </w:r>
    </w:p>
    <w:p w:rsidR="00AF33CF" w:rsidRDefault="00AF33CF" w:rsidP="005F5148">
      <w:pPr>
        <w:spacing w:after="0" w:line="240" w:lineRule="auto"/>
        <w:jc w:val="both"/>
        <w:rPr>
          <w:rFonts w:asciiTheme="minorBidi" w:hAnsiTheme="minorBidi"/>
          <w:sz w:val="24"/>
          <w:szCs w:val="24"/>
        </w:rPr>
      </w:pPr>
    </w:p>
    <w:p w:rsidR="00AF33CF" w:rsidRDefault="00AF33CF" w:rsidP="005F5148">
      <w:pPr>
        <w:spacing w:after="0" w:line="240" w:lineRule="auto"/>
        <w:jc w:val="both"/>
        <w:rPr>
          <w:rFonts w:asciiTheme="minorBidi" w:hAnsiTheme="minorBidi"/>
          <w:sz w:val="24"/>
          <w:szCs w:val="24"/>
        </w:rPr>
      </w:pPr>
      <w:r>
        <w:rPr>
          <w:rFonts w:asciiTheme="minorBidi" w:hAnsiTheme="minorBidi"/>
          <w:sz w:val="24"/>
          <w:szCs w:val="24"/>
        </w:rPr>
        <w:t xml:space="preserve">The </w:t>
      </w:r>
      <w:r>
        <w:rPr>
          <w:rFonts w:asciiTheme="minorBidi" w:hAnsiTheme="minorBidi"/>
          <w:i/>
          <w:iCs/>
          <w:sz w:val="24"/>
          <w:szCs w:val="24"/>
        </w:rPr>
        <w:t>megilla</w:t>
      </w:r>
      <w:r>
        <w:rPr>
          <w:rFonts w:asciiTheme="minorBidi" w:hAnsiTheme="minorBidi"/>
          <w:sz w:val="24"/>
          <w:szCs w:val="24"/>
        </w:rPr>
        <w:t xml:space="preserve"> continues, immediately thereafter, “…charging them to observe the fourteenth and fifteenth days of Adar, every year” (9:21). We can infer from these two verses that residents of walled cities observe Purim on the fifteenth day of Adar and not on the fourteenth, a</w:t>
      </w:r>
      <w:r w:rsidR="00EE38E4">
        <w:rPr>
          <w:rFonts w:asciiTheme="minorBidi" w:hAnsiTheme="minorBidi"/>
          <w:sz w:val="24"/>
          <w:szCs w:val="24"/>
        </w:rPr>
        <w:t>s</w:t>
      </w:r>
      <w:r>
        <w:rPr>
          <w:rFonts w:asciiTheme="minorBidi" w:hAnsiTheme="minorBidi"/>
          <w:sz w:val="24"/>
          <w:szCs w:val="24"/>
        </w:rPr>
        <w:t xml:space="preserve"> stated in the Talmud: “Since the </w:t>
      </w:r>
      <w:r w:rsidR="00344AB6">
        <w:rPr>
          <w:rFonts w:asciiTheme="minorBidi" w:hAnsiTheme="minorBidi"/>
          <w:sz w:val="24"/>
          <w:szCs w:val="24"/>
        </w:rPr>
        <w:t>“</w:t>
      </w:r>
      <w:r w:rsidR="002F0554">
        <w:rPr>
          <w:rFonts w:asciiTheme="minorBidi" w:hAnsiTheme="minorBidi"/>
          <w:sz w:val="24"/>
          <w:szCs w:val="24"/>
        </w:rPr>
        <w:t>unwalled</w:t>
      </w:r>
      <w:r w:rsidR="00344AB6">
        <w:rPr>
          <w:rFonts w:asciiTheme="minorBidi" w:hAnsiTheme="minorBidi"/>
          <w:sz w:val="24"/>
          <w:szCs w:val="24"/>
        </w:rPr>
        <w:t>”</w:t>
      </w:r>
      <w:r w:rsidR="002F0554">
        <w:rPr>
          <w:rFonts w:asciiTheme="minorBidi" w:hAnsiTheme="minorBidi"/>
          <w:sz w:val="24"/>
          <w:szCs w:val="24"/>
        </w:rPr>
        <w:t xml:space="preserve"> </w:t>
      </w:r>
      <w:r>
        <w:rPr>
          <w:rFonts w:asciiTheme="minorBidi" w:hAnsiTheme="minorBidi"/>
          <w:sz w:val="24"/>
          <w:szCs w:val="24"/>
        </w:rPr>
        <w:t xml:space="preserve">[are to read] on the fourteenth, the </w:t>
      </w:r>
      <w:r w:rsidR="00344AB6">
        <w:rPr>
          <w:rFonts w:asciiTheme="minorBidi" w:hAnsiTheme="minorBidi"/>
          <w:sz w:val="24"/>
          <w:szCs w:val="24"/>
        </w:rPr>
        <w:t>“</w:t>
      </w:r>
      <w:r>
        <w:rPr>
          <w:rFonts w:asciiTheme="minorBidi" w:hAnsiTheme="minorBidi"/>
          <w:sz w:val="24"/>
          <w:szCs w:val="24"/>
        </w:rPr>
        <w:t>walled</w:t>
      </w:r>
      <w:r w:rsidR="00344AB6">
        <w:rPr>
          <w:rFonts w:asciiTheme="minorBidi" w:hAnsiTheme="minorBidi"/>
          <w:sz w:val="24"/>
          <w:szCs w:val="24"/>
        </w:rPr>
        <w:t>”</w:t>
      </w:r>
      <w:r>
        <w:rPr>
          <w:rFonts w:asciiTheme="minorBidi" w:hAnsiTheme="minorBidi"/>
          <w:sz w:val="24"/>
          <w:szCs w:val="24"/>
        </w:rPr>
        <w:t xml:space="preserve"> [must read] on the fifteenth</w:t>
      </w:r>
      <w:r w:rsidR="006A2400">
        <w:rPr>
          <w:rFonts w:asciiTheme="minorBidi" w:hAnsiTheme="minorBidi"/>
          <w:sz w:val="24"/>
          <w:szCs w:val="24"/>
        </w:rPr>
        <w:t>” (</w:t>
      </w:r>
      <w:r w:rsidR="006A2400">
        <w:rPr>
          <w:rFonts w:asciiTheme="minorBidi" w:hAnsiTheme="minorBidi"/>
          <w:i/>
          <w:iCs/>
          <w:sz w:val="24"/>
          <w:szCs w:val="24"/>
        </w:rPr>
        <w:t xml:space="preserve">Megilla </w:t>
      </w:r>
      <w:r w:rsidR="006A2400">
        <w:rPr>
          <w:rFonts w:asciiTheme="minorBidi" w:hAnsiTheme="minorBidi"/>
          <w:sz w:val="24"/>
          <w:szCs w:val="24"/>
        </w:rPr>
        <w:t>2b).</w:t>
      </w:r>
      <w:r w:rsidR="00344AB6">
        <w:rPr>
          <w:rStyle w:val="FootnoteReference"/>
          <w:rFonts w:asciiTheme="minorBidi" w:hAnsiTheme="minorBidi"/>
          <w:sz w:val="24"/>
          <w:szCs w:val="24"/>
        </w:rPr>
        <w:footnoteReference w:id="1"/>
      </w:r>
    </w:p>
    <w:p w:rsidR="005F5148" w:rsidRDefault="005F5148" w:rsidP="005F5148">
      <w:pPr>
        <w:spacing w:after="0" w:line="240" w:lineRule="auto"/>
        <w:jc w:val="both"/>
        <w:rPr>
          <w:rFonts w:asciiTheme="minorBidi" w:hAnsiTheme="minorBidi"/>
          <w:sz w:val="24"/>
          <w:szCs w:val="24"/>
        </w:rPr>
      </w:pPr>
    </w:p>
    <w:p w:rsidR="005F5148" w:rsidRDefault="005F5148" w:rsidP="005F5148">
      <w:pPr>
        <w:spacing w:after="0" w:line="240" w:lineRule="auto"/>
        <w:jc w:val="both"/>
        <w:rPr>
          <w:rFonts w:asciiTheme="minorBidi" w:hAnsiTheme="minorBidi"/>
          <w:sz w:val="24"/>
          <w:szCs w:val="24"/>
        </w:rPr>
      </w:pPr>
      <w:r>
        <w:rPr>
          <w:rFonts w:asciiTheme="minorBidi" w:hAnsiTheme="minorBidi"/>
          <w:noProof/>
          <w:sz w:val="24"/>
          <w:szCs w:val="24"/>
        </w:rPr>
        <w:lastRenderedPageBreak/>
        <w:drawing>
          <wp:inline distT="0" distB="0" distL="0" distR="0">
            <wp:extent cx="4681728" cy="6483096"/>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behar-map.jpg"/>
                    <pic:cNvPicPr/>
                  </pic:nvPicPr>
                  <pic:blipFill>
                    <a:blip r:embed="rId9">
                      <a:extLst>
                        <a:ext uri="{28A0092B-C50C-407E-A947-70E740481C1C}">
                          <a14:useLocalDpi xmlns:a14="http://schemas.microsoft.com/office/drawing/2010/main" val="0"/>
                        </a:ext>
                      </a:extLst>
                    </a:blip>
                    <a:stretch>
                      <a:fillRect/>
                    </a:stretch>
                  </pic:blipFill>
                  <pic:spPr>
                    <a:xfrm>
                      <a:off x="0" y="0"/>
                      <a:ext cx="4681728" cy="6483096"/>
                    </a:xfrm>
                    <a:prstGeom prst="rect">
                      <a:avLst/>
                    </a:prstGeom>
                  </pic:spPr>
                </pic:pic>
              </a:graphicData>
            </a:graphic>
          </wp:inline>
        </w:drawing>
      </w:r>
    </w:p>
    <w:p w:rsidR="006A2400" w:rsidRDefault="006A2400" w:rsidP="005F5148">
      <w:pPr>
        <w:spacing w:after="0" w:line="240" w:lineRule="auto"/>
        <w:jc w:val="both"/>
        <w:rPr>
          <w:rFonts w:asciiTheme="minorBidi" w:hAnsiTheme="minorBidi"/>
          <w:sz w:val="24"/>
          <w:szCs w:val="24"/>
        </w:rPr>
      </w:pPr>
    </w:p>
    <w:p w:rsidR="005F5148" w:rsidRDefault="005F5148" w:rsidP="005F5148">
      <w:pPr>
        <w:spacing w:after="0" w:line="240" w:lineRule="auto"/>
        <w:jc w:val="both"/>
        <w:rPr>
          <w:rFonts w:asciiTheme="minorBidi" w:hAnsiTheme="minorBidi"/>
          <w:b/>
          <w:bCs/>
          <w:sz w:val="24"/>
          <w:szCs w:val="24"/>
        </w:rPr>
      </w:pPr>
    </w:p>
    <w:p w:rsidR="006A2400" w:rsidRDefault="006A2400" w:rsidP="005F5148">
      <w:pPr>
        <w:spacing w:after="0" w:line="240" w:lineRule="auto"/>
        <w:jc w:val="both"/>
        <w:rPr>
          <w:rFonts w:asciiTheme="minorBidi" w:hAnsiTheme="minorBidi"/>
          <w:b/>
          <w:bCs/>
          <w:sz w:val="24"/>
          <w:szCs w:val="24"/>
        </w:rPr>
      </w:pPr>
      <w:r>
        <w:rPr>
          <w:rFonts w:asciiTheme="minorBidi" w:hAnsiTheme="minorBidi"/>
          <w:b/>
          <w:bCs/>
          <w:sz w:val="24"/>
          <w:szCs w:val="24"/>
        </w:rPr>
        <w:t>How Many Walled Cities Were There in the Land of Israel at the Time of Joshua’s Conquest?</w:t>
      </w:r>
    </w:p>
    <w:p w:rsidR="006A2400" w:rsidRDefault="006A2400" w:rsidP="005F5148">
      <w:pPr>
        <w:spacing w:after="0" w:line="240" w:lineRule="auto"/>
        <w:jc w:val="both"/>
        <w:rPr>
          <w:rFonts w:asciiTheme="minorBidi" w:hAnsiTheme="minorBidi"/>
          <w:b/>
          <w:bCs/>
          <w:sz w:val="24"/>
          <w:szCs w:val="24"/>
        </w:rPr>
      </w:pPr>
    </w:p>
    <w:p w:rsidR="006A2400" w:rsidRDefault="006A2400" w:rsidP="005F5148">
      <w:pPr>
        <w:spacing w:after="0" w:line="240" w:lineRule="auto"/>
        <w:jc w:val="both"/>
        <w:rPr>
          <w:rFonts w:asciiTheme="minorBidi" w:hAnsiTheme="minorBidi"/>
          <w:sz w:val="24"/>
          <w:szCs w:val="24"/>
        </w:rPr>
      </w:pPr>
      <w:r>
        <w:rPr>
          <w:rFonts w:asciiTheme="minorBidi" w:hAnsiTheme="minorBidi"/>
          <w:b/>
          <w:bCs/>
          <w:sz w:val="24"/>
          <w:szCs w:val="24"/>
        </w:rPr>
        <w:tab/>
      </w:r>
      <w:r w:rsidR="006F02A3">
        <w:rPr>
          <w:rFonts w:asciiTheme="minorBidi" w:hAnsiTheme="minorBidi"/>
          <w:sz w:val="24"/>
          <w:szCs w:val="24"/>
        </w:rPr>
        <w:t>According to the Mishna (</w:t>
      </w:r>
      <w:r w:rsidR="003E713B" w:rsidRPr="005F5148">
        <w:rPr>
          <w:rFonts w:asciiTheme="minorBidi" w:hAnsiTheme="minorBidi"/>
          <w:i/>
          <w:iCs/>
          <w:sz w:val="24"/>
          <w:szCs w:val="24"/>
        </w:rPr>
        <w:t>Megilla</w:t>
      </w:r>
      <w:r w:rsidR="006F02A3">
        <w:rPr>
          <w:rFonts w:asciiTheme="minorBidi" w:hAnsiTheme="minorBidi"/>
          <w:sz w:val="24"/>
          <w:szCs w:val="24"/>
        </w:rPr>
        <w:t xml:space="preserve"> 1:1, </w:t>
      </w:r>
      <w:r w:rsidR="003E713B" w:rsidRPr="005F5148">
        <w:rPr>
          <w:rFonts w:asciiTheme="minorBidi" w:hAnsiTheme="minorBidi"/>
          <w:i/>
          <w:iCs/>
          <w:sz w:val="24"/>
          <w:szCs w:val="24"/>
        </w:rPr>
        <w:t>Arakhin</w:t>
      </w:r>
      <w:r w:rsidR="006F02A3">
        <w:rPr>
          <w:rFonts w:asciiTheme="minorBidi" w:hAnsiTheme="minorBidi"/>
          <w:sz w:val="24"/>
          <w:szCs w:val="24"/>
        </w:rPr>
        <w:t xml:space="preserve"> 9:6)</w:t>
      </w:r>
      <w:r w:rsidR="00FE73A3">
        <w:rPr>
          <w:rFonts w:asciiTheme="minorBidi" w:hAnsiTheme="minorBidi"/>
          <w:sz w:val="24"/>
          <w:szCs w:val="24"/>
        </w:rPr>
        <w:t>,</w:t>
      </w:r>
      <w:r w:rsidR="006F02A3">
        <w:rPr>
          <w:rFonts w:asciiTheme="minorBidi" w:hAnsiTheme="minorBidi"/>
          <w:sz w:val="24"/>
          <w:szCs w:val="24"/>
        </w:rPr>
        <w:t xml:space="preserve"> the </w:t>
      </w:r>
      <w:r w:rsidR="00FE73A3">
        <w:rPr>
          <w:rFonts w:asciiTheme="minorBidi" w:hAnsiTheme="minorBidi"/>
          <w:sz w:val="24"/>
          <w:szCs w:val="24"/>
        </w:rPr>
        <w:t xml:space="preserve">factor </w:t>
      </w:r>
      <w:r w:rsidR="006F02A3">
        <w:rPr>
          <w:rFonts w:asciiTheme="minorBidi" w:hAnsiTheme="minorBidi"/>
          <w:sz w:val="24"/>
          <w:szCs w:val="24"/>
        </w:rPr>
        <w:t xml:space="preserve">that determines if a city is </w:t>
      </w:r>
      <w:r w:rsidR="00FE73A3">
        <w:rPr>
          <w:rFonts w:asciiTheme="minorBidi" w:hAnsiTheme="minorBidi"/>
          <w:sz w:val="24"/>
          <w:szCs w:val="24"/>
        </w:rPr>
        <w:t>“</w:t>
      </w:r>
      <w:r w:rsidR="006F02A3">
        <w:rPr>
          <w:rFonts w:asciiTheme="minorBidi" w:hAnsiTheme="minorBidi"/>
          <w:sz w:val="24"/>
          <w:szCs w:val="24"/>
        </w:rPr>
        <w:t>walled</w:t>
      </w:r>
      <w:r w:rsidR="00FE73A3">
        <w:rPr>
          <w:rFonts w:asciiTheme="minorBidi" w:hAnsiTheme="minorBidi"/>
          <w:sz w:val="24"/>
          <w:szCs w:val="24"/>
        </w:rPr>
        <w:t>”</w:t>
      </w:r>
      <w:r w:rsidR="006F02A3">
        <w:rPr>
          <w:rFonts w:asciiTheme="minorBidi" w:hAnsiTheme="minorBidi"/>
          <w:sz w:val="24"/>
          <w:szCs w:val="24"/>
        </w:rPr>
        <w:t xml:space="preserve"> or </w:t>
      </w:r>
      <w:r w:rsidR="00FE73A3">
        <w:rPr>
          <w:rFonts w:asciiTheme="minorBidi" w:hAnsiTheme="minorBidi"/>
          <w:sz w:val="24"/>
          <w:szCs w:val="24"/>
        </w:rPr>
        <w:t>“</w:t>
      </w:r>
      <w:r w:rsidR="006F02A3">
        <w:rPr>
          <w:rFonts w:asciiTheme="minorBidi" w:hAnsiTheme="minorBidi"/>
          <w:sz w:val="24"/>
          <w:szCs w:val="24"/>
        </w:rPr>
        <w:t>unwalled</w:t>
      </w:r>
      <w:r w:rsidR="00FE73A3">
        <w:rPr>
          <w:rFonts w:asciiTheme="minorBidi" w:hAnsiTheme="minorBidi"/>
          <w:sz w:val="24"/>
          <w:szCs w:val="24"/>
        </w:rPr>
        <w:t>”</w:t>
      </w:r>
      <w:r w:rsidR="006F02A3">
        <w:rPr>
          <w:rFonts w:asciiTheme="minorBidi" w:hAnsiTheme="minorBidi"/>
          <w:sz w:val="24"/>
          <w:szCs w:val="24"/>
        </w:rPr>
        <w:t xml:space="preserve"> is </w:t>
      </w:r>
      <w:r w:rsidR="00FE73A3">
        <w:rPr>
          <w:rFonts w:asciiTheme="minorBidi" w:hAnsiTheme="minorBidi"/>
          <w:sz w:val="24"/>
          <w:szCs w:val="24"/>
        </w:rPr>
        <w:t>whether it was walled during “</w:t>
      </w:r>
      <w:r w:rsidR="006F02A3">
        <w:rPr>
          <w:rFonts w:asciiTheme="minorBidi" w:hAnsiTheme="minorBidi"/>
          <w:sz w:val="24"/>
          <w:szCs w:val="24"/>
        </w:rPr>
        <w:t>the days of Joshua son of Nun</w:t>
      </w:r>
      <w:r w:rsidR="00C93865">
        <w:rPr>
          <w:rFonts w:asciiTheme="minorBidi" w:hAnsiTheme="minorBidi"/>
          <w:sz w:val="24"/>
          <w:szCs w:val="24"/>
        </w:rPr>
        <w:t>,</w:t>
      </w:r>
      <w:r w:rsidR="00FE73A3">
        <w:rPr>
          <w:rFonts w:asciiTheme="minorBidi" w:hAnsiTheme="minorBidi"/>
          <w:sz w:val="24"/>
          <w:szCs w:val="24"/>
        </w:rPr>
        <w:t>”</w:t>
      </w:r>
      <w:r w:rsidR="006F02A3">
        <w:rPr>
          <w:rFonts w:asciiTheme="minorBidi" w:hAnsiTheme="minorBidi"/>
          <w:sz w:val="24"/>
          <w:szCs w:val="24"/>
        </w:rPr>
        <w:t xml:space="preserve"> or as Rambam expresses it</w:t>
      </w:r>
      <w:r w:rsidR="00FE73A3">
        <w:rPr>
          <w:rFonts w:asciiTheme="minorBidi" w:hAnsiTheme="minorBidi"/>
          <w:sz w:val="24"/>
          <w:szCs w:val="24"/>
        </w:rPr>
        <w:t>,</w:t>
      </w:r>
      <w:r w:rsidR="00C93865">
        <w:rPr>
          <w:rFonts w:asciiTheme="minorBidi" w:hAnsiTheme="minorBidi"/>
          <w:sz w:val="24"/>
          <w:szCs w:val="24"/>
        </w:rPr>
        <w:t xml:space="preserve"> </w:t>
      </w:r>
      <w:r w:rsidR="00FE73A3">
        <w:rPr>
          <w:rFonts w:asciiTheme="minorBidi" w:hAnsiTheme="minorBidi"/>
          <w:sz w:val="24"/>
          <w:szCs w:val="24"/>
        </w:rPr>
        <w:t xml:space="preserve">“surrounded by </w:t>
      </w:r>
      <w:r w:rsidR="00C93865">
        <w:rPr>
          <w:rFonts w:asciiTheme="minorBidi" w:hAnsiTheme="minorBidi"/>
          <w:sz w:val="24"/>
          <w:szCs w:val="24"/>
        </w:rPr>
        <w:t xml:space="preserve">a wall </w:t>
      </w:r>
      <w:r w:rsidR="00FE73A3">
        <w:rPr>
          <w:rFonts w:asciiTheme="minorBidi" w:hAnsiTheme="minorBidi"/>
          <w:sz w:val="24"/>
          <w:szCs w:val="24"/>
        </w:rPr>
        <w:t xml:space="preserve">at the time </w:t>
      </w:r>
      <w:r w:rsidR="00C93865">
        <w:rPr>
          <w:rFonts w:asciiTheme="minorBidi" w:hAnsiTheme="minorBidi"/>
          <w:sz w:val="24"/>
          <w:szCs w:val="24"/>
        </w:rPr>
        <w:t xml:space="preserve">when </w:t>
      </w:r>
      <w:r w:rsidR="00FE73A3">
        <w:rPr>
          <w:rFonts w:asciiTheme="minorBidi" w:hAnsiTheme="minorBidi"/>
          <w:sz w:val="24"/>
          <w:szCs w:val="24"/>
        </w:rPr>
        <w:t xml:space="preserve">Joshua conquered </w:t>
      </w:r>
      <w:r w:rsidR="00C93865">
        <w:rPr>
          <w:rFonts w:asciiTheme="minorBidi" w:hAnsiTheme="minorBidi"/>
          <w:sz w:val="24"/>
          <w:szCs w:val="24"/>
        </w:rPr>
        <w:t>the land</w:t>
      </w:r>
      <w:r w:rsidR="00FE73A3">
        <w:rPr>
          <w:rFonts w:asciiTheme="minorBidi" w:hAnsiTheme="minorBidi"/>
          <w:sz w:val="24"/>
          <w:szCs w:val="24"/>
        </w:rPr>
        <w:t>”</w:t>
      </w:r>
      <w:r w:rsidR="00C93865">
        <w:rPr>
          <w:rFonts w:asciiTheme="minorBidi" w:hAnsiTheme="minorBidi"/>
          <w:sz w:val="24"/>
          <w:szCs w:val="24"/>
        </w:rPr>
        <w:t xml:space="preserve"> (</w:t>
      </w:r>
      <w:r w:rsidR="003E713B" w:rsidRPr="005F5148">
        <w:rPr>
          <w:rFonts w:asciiTheme="minorBidi" w:hAnsiTheme="minorBidi"/>
          <w:i/>
          <w:iCs/>
          <w:sz w:val="24"/>
          <w:szCs w:val="24"/>
        </w:rPr>
        <w:t>Shemita</w:t>
      </w:r>
      <w:r w:rsidR="00C93865">
        <w:rPr>
          <w:rFonts w:asciiTheme="minorBidi" w:hAnsiTheme="minorBidi"/>
          <w:sz w:val="24"/>
          <w:szCs w:val="24"/>
        </w:rPr>
        <w:t xml:space="preserve"> </w:t>
      </w:r>
      <w:r w:rsidR="003E713B" w:rsidRPr="005F5148">
        <w:rPr>
          <w:rFonts w:asciiTheme="minorBidi" w:hAnsiTheme="minorBidi"/>
          <w:i/>
          <w:iCs/>
          <w:sz w:val="24"/>
          <w:szCs w:val="24"/>
        </w:rPr>
        <w:t>Ve-yovel</w:t>
      </w:r>
      <w:r w:rsidR="00C93865">
        <w:rPr>
          <w:rFonts w:asciiTheme="minorBidi" w:hAnsiTheme="minorBidi"/>
          <w:sz w:val="24"/>
          <w:szCs w:val="24"/>
        </w:rPr>
        <w:t xml:space="preserve"> 12:15). How many walled cities </w:t>
      </w:r>
      <w:r w:rsidR="00FE73A3">
        <w:rPr>
          <w:rFonts w:asciiTheme="minorBidi" w:hAnsiTheme="minorBidi"/>
          <w:sz w:val="24"/>
          <w:szCs w:val="24"/>
        </w:rPr>
        <w:t xml:space="preserve">did </w:t>
      </w:r>
      <w:r w:rsidR="00C93865">
        <w:rPr>
          <w:rFonts w:asciiTheme="minorBidi" w:hAnsiTheme="minorBidi"/>
          <w:sz w:val="24"/>
          <w:szCs w:val="24"/>
        </w:rPr>
        <w:t xml:space="preserve">Joshua and the </w:t>
      </w:r>
      <w:r w:rsidR="00FE73A3">
        <w:rPr>
          <w:rFonts w:asciiTheme="minorBidi" w:hAnsiTheme="minorBidi"/>
          <w:sz w:val="24"/>
          <w:szCs w:val="24"/>
        </w:rPr>
        <w:t xml:space="preserve">people </w:t>
      </w:r>
      <w:r w:rsidR="00C93865">
        <w:rPr>
          <w:rFonts w:asciiTheme="minorBidi" w:hAnsiTheme="minorBidi"/>
          <w:sz w:val="24"/>
          <w:szCs w:val="24"/>
        </w:rPr>
        <w:t xml:space="preserve">of Israel </w:t>
      </w:r>
      <w:r w:rsidR="00FE73A3">
        <w:rPr>
          <w:rFonts w:asciiTheme="minorBidi" w:hAnsiTheme="minorBidi"/>
          <w:sz w:val="24"/>
          <w:szCs w:val="24"/>
        </w:rPr>
        <w:t xml:space="preserve">encounter </w:t>
      </w:r>
      <w:r w:rsidR="00C93865">
        <w:rPr>
          <w:rFonts w:asciiTheme="minorBidi" w:hAnsiTheme="minorBidi"/>
          <w:sz w:val="24"/>
          <w:szCs w:val="24"/>
        </w:rPr>
        <w:t xml:space="preserve">when they conquered the land? </w:t>
      </w:r>
      <w:r>
        <w:rPr>
          <w:rFonts w:asciiTheme="minorBidi" w:hAnsiTheme="minorBidi"/>
          <w:sz w:val="24"/>
          <w:szCs w:val="24"/>
        </w:rPr>
        <w:t>The</w:t>
      </w:r>
      <w:r w:rsidR="00C93865">
        <w:rPr>
          <w:rFonts w:asciiTheme="minorBidi" w:hAnsiTheme="minorBidi"/>
          <w:sz w:val="24"/>
          <w:szCs w:val="24"/>
        </w:rPr>
        <w:t xml:space="preserve"> answer is </w:t>
      </w:r>
      <w:r>
        <w:rPr>
          <w:rFonts w:asciiTheme="minorBidi" w:hAnsiTheme="minorBidi"/>
          <w:sz w:val="24"/>
          <w:szCs w:val="24"/>
        </w:rPr>
        <w:t xml:space="preserve">apparently hundreds. The Torah notes that in a single district in the land of Israel – the district of Argob – there were sixty cities that “were fortified with high walls, gates and bars” </w:t>
      </w:r>
      <w:r>
        <w:rPr>
          <w:rFonts w:asciiTheme="minorBidi" w:hAnsiTheme="minorBidi"/>
          <w:sz w:val="24"/>
          <w:szCs w:val="24"/>
        </w:rPr>
        <w:lastRenderedPageBreak/>
        <w:t>(Deuteronomy 3:5). It follows, then, that throughout the rest of the land there were many times more than that.</w:t>
      </w:r>
    </w:p>
    <w:p w:rsidR="006A2400" w:rsidRDefault="006A2400" w:rsidP="005F5148">
      <w:pPr>
        <w:spacing w:after="0" w:line="240" w:lineRule="auto"/>
        <w:jc w:val="both"/>
        <w:rPr>
          <w:rFonts w:asciiTheme="minorBidi" w:hAnsiTheme="minorBidi"/>
          <w:sz w:val="24"/>
          <w:szCs w:val="24"/>
        </w:rPr>
      </w:pPr>
    </w:p>
    <w:p w:rsidR="006A2400" w:rsidRDefault="006A2400" w:rsidP="005F5148">
      <w:pPr>
        <w:spacing w:after="0" w:line="240" w:lineRule="auto"/>
        <w:jc w:val="both"/>
        <w:rPr>
          <w:rFonts w:asciiTheme="minorBidi" w:hAnsiTheme="minorBidi"/>
          <w:sz w:val="24"/>
          <w:szCs w:val="24"/>
        </w:rPr>
      </w:pPr>
      <w:r>
        <w:rPr>
          <w:rFonts w:asciiTheme="minorBidi" w:hAnsiTheme="minorBidi"/>
          <w:sz w:val="24"/>
          <w:szCs w:val="24"/>
        </w:rPr>
        <w:tab/>
        <w:t xml:space="preserve">Furthermore, the distinction that our </w:t>
      </w:r>
      <w:r>
        <w:rPr>
          <w:rFonts w:asciiTheme="minorBidi" w:hAnsiTheme="minorBidi"/>
          <w:i/>
          <w:iCs/>
          <w:sz w:val="24"/>
          <w:szCs w:val="24"/>
        </w:rPr>
        <w:t>parasha</w:t>
      </w:r>
      <w:r>
        <w:rPr>
          <w:rFonts w:asciiTheme="minorBidi" w:hAnsiTheme="minorBidi"/>
          <w:sz w:val="24"/>
          <w:szCs w:val="24"/>
        </w:rPr>
        <w:t xml:space="preserve"> makes between a walled </w:t>
      </w:r>
      <w:r>
        <w:rPr>
          <w:rFonts w:asciiTheme="minorBidi" w:hAnsiTheme="minorBidi"/>
          <w:b/>
          <w:bCs/>
          <w:sz w:val="24"/>
          <w:szCs w:val="24"/>
        </w:rPr>
        <w:t>city</w:t>
      </w:r>
      <w:r>
        <w:rPr>
          <w:rFonts w:asciiTheme="minorBidi" w:hAnsiTheme="minorBidi"/>
          <w:sz w:val="24"/>
          <w:szCs w:val="24"/>
        </w:rPr>
        <w:t xml:space="preserve"> and “houses in</w:t>
      </w:r>
      <w:r w:rsidR="00C93865">
        <w:rPr>
          <w:rFonts w:asciiTheme="minorBidi" w:hAnsiTheme="minorBidi"/>
          <w:sz w:val="24"/>
          <w:szCs w:val="24"/>
        </w:rPr>
        <w:t xml:space="preserve"> </w:t>
      </w:r>
      <w:r w:rsidR="003E713B" w:rsidRPr="005F5148">
        <w:rPr>
          <w:rFonts w:asciiTheme="minorBidi" w:hAnsiTheme="minorBidi"/>
          <w:b/>
          <w:bCs/>
          <w:i/>
          <w:iCs/>
          <w:sz w:val="24"/>
          <w:szCs w:val="24"/>
        </w:rPr>
        <w:t>chatzerim</w:t>
      </w:r>
      <w:r>
        <w:rPr>
          <w:rFonts w:asciiTheme="minorBidi" w:hAnsiTheme="minorBidi"/>
          <w:sz w:val="24"/>
          <w:szCs w:val="24"/>
        </w:rPr>
        <w:t xml:space="preserve"> that have no encircling walls” </w:t>
      </w:r>
      <w:r w:rsidR="00F74047">
        <w:rPr>
          <w:rFonts w:asciiTheme="minorBidi" w:hAnsiTheme="minorBidi"/>
          <w:sz w:val="24"/>
          <w:szCs w:val="24"/>
        </w:rPr>
        <w:t>aids us greatly in understanding the chapters in Joshua that discuss the apportionment of the land. The formula used consistently throughout these geographical lists is “[number]</w:t>
      </w:r>
      <w:r w:rsidR="00C93865">
        <w:rPr>
          <w:rFonts w:asciiTheme="minorBidi" w:hAnsiTheme="minorBidi"/>
          <w:sz w:val="24"/>
          <w:szCs w:val="24"/>
        </w:rPr>
        <w:t xml:space="preserve"> </w:t>
      </w:r>
      <w:r w:rsidR="003E713B" w:rsidRPr="005F5148">
        <w:rPr>
          <w:rFonts w:asciiTheme="minorBidi" w:hAnsiTheme="minorBidi"/>
          <w:b/>
          <w:bCs/>
          <w:i/>
          <w:iCs/>
          <w:sz w:val="24"/>
          <w:szCs w:val="24"/>
        </w:rPr>
        <w:t>arim</w:t>
      </w:r>
      <w:r w:rsidR="00C93865">
        <w:rPr>
          <w:rFonts w:asciiTheme="minorBidi" w:hAnsiTheme="minorBidi"/>
          <w:sz w:val="24"/>
          <w:szCs w:val="24"/>
        </w:rPr>
        <w:t xml:space="preserve"> </w:t>
      </w:r>
      <w:r w:rsidR="0021562D">
        <w:rPr>
          <w:rFonts w:asciiTheme="minorBidi" w:hAnsiTheme="minorBidi"/>
          <w:b/>
          <w:bCs/>
          <w:sz w:val="24"/>
          <w:szCs w:val="24"/>
        </w:rPr>
        <w:t>(</w:t>
      </w:r>
      <w:r w:rsidR="00F74047" w:rsidRPr="00F74047">
        <w:rPr>
          <w:rFonts w:asciiTheme="minorBidi" w:hAnsiTheme="minorBidi"/>
          <w:b/>
          <w:bCs/>
          <w:sz w:val="24"/>
          <w:szCs w:val="24"/>
        </w:rPr>
        <w:t>cities</w:t>
      </w:r>
      <w:r w:rsidR="0021562D">
        <w:rPr>
          <w:rFonts w:asciiTheme="minorBidi" w:hAnsiTheme="minorBidi"/>
          <w:b/>
          <w:bCs/>
          <w:sz w:val="24"/>
          <w:szCs w:val="24"/>
        </w:rPr>
        <w:t>)</w:t>
      </w:r>
      <w:r w:rsidR="00F74047">
        <w:rPr>
          <w:rFonts w:asciiTheme="minorBidi" w:hAnsiTheme="minorBidi"/>
          <w:sz w:val="24"/>
          <w:szCs w:val="24"/>
        </w:rPr>
        <w:t>, with their</w:t>
      </w:r>
      <w:r w:rsidR="00C93865">
        <w:rPr>
          <w:rFonts w:asciiTheme="minorBidi" w:hAnsiTheme="minorBidi"/>
          <w:sz w:val="24"/>
          <w:szCs w:val="24"/>
        </w:rPr>
        <w:t xml:space="preserve"> </w:t>
      </w:r>
      <w:r w:rsidR="003E713B" w:rsidRPr="005F5148">
        <w:rPr>
          <w:rFonts w:asciiTheme="minorBidi" w:hAnsiTheme="minorBidi"/>
          <w:b/>
          <w:bCs/>
          <w:i/>
          <w:iCs/>
          <w:sz w:val="24"/>
          <w:szCs w:val="24"/>
        </w:rPr>
        <w:t>chatzerim</w:t>
      </w:r>
      <w:r w:rsidR="00F74047" w:rsidRPr="00F74047">
        <w:rPr>
          <w:rFonts w:asciiTheme="minorBidi" w:hAnsiTheme="minorBidi"/>
          <w:sz w:val="24"/>
          <w:szCs w:val="24"/>
        </w:rPr>
        <w:t>.</w:t>
      </w:r>
      <w:r w:rsidR="00F74047">
        <w:rPr>
          <w:rFonts w:asciiTheme="minorBidi" w:hAnsiTheme="minorBidi"/>
          <w:sz w:val="24"/>
          <w:szCs w:val="24"/>
        </w:rPr>
        <w:t xml:space="preserve">” Based on </w:t>
      </w:r>
      <w:r w:rsidR="00F74047">
        <w:rPr>
          <w:rFonts w:asciiTheme="minorBidi" w:hAnsiTheme="minorBidi"/>
          <w:i/>
          <w:iCs/>
          <w:sz w:val="24"/>
          <w:szCs w:val="24"/>
        </w:rPr>
        <w:t>Parashat Behar</w:t>
      </w:r>
      <w:r w:rsidR="00F74047">
        <w:rPr>
          <w:rFonts w:asciiTheme="minorBidi" w:hAnsiTheme="minorBidi"/>
          <w:sz w:val="24"/>
          <w:szCs w:val="24"/>
        </w:rPr>
        <w:t>, this means that all the cities listed by name in Joshua were walled cities.</w:t>
      </w:r>
      <w:r w:rsidR="00F74047">
        <w:rPr>
          <w:rStyle w:val="FootnoteReference"/>
          <w:rFonts w:asciiTheme="minorBidi" w:hAnsiTheme="minorBidi"/>
          <w:sz w:val="24"/>
          <w:szCs w:val="24"/>
        </w:rPr>
        <w:footnoteReference w:id="2"/>
      </w:r>
    </w:p>
    <w:p w:rsidR="00F74047" w:rsidRDefault="00F74047" w:rsidP="005F5148">
      <w:pPr>
        <w:spacing w:after="0" w:line="240" w:lineRule="auto"/>
        <w:jc w:val="both"/>
        <w:rPr>
          <w:rFonts w:asciiTheme="minorBidi" w:hAnsiTheme="minorBidi"/>
          <w:sz w:val="24"/>
          <w:szCs w:val="24"/>
        </w:rPr>
      </w:pPr>
    </w:p>
    <w:p w:rsidR="00F74047" w:rsidRDefault="00F74047" w:rsidP="005F5148">
      <w:pPr>
        <w:spacing w:after="0" w:line="240" w:lineRule="auto"/>
        <w:jc w:val="both"/>
        <w:rPr>
          <w:rFonts w:asciiTheme="minorBidi" w:hAnsiTheme="minorBidi"/>
          <w:sz w:val="24"/>
          <w:szCs w:val="24"/>
        </w:rPr>
      </w:pPr>
      <w:r>
        <w:rPr>
          <w:rFonts w:asciiTheme="minorBidi" w:hAnsiTheme="minorBidi"/>
          <w:sz w:val="24"/>
          <w:szCs w:val="24"/>
        </w:rPr>
        <w:tab/>
      </w:r>
      <w:r w:rsidR="00377260">
        <w:rPr>
          <w:rFonts w:asciiTheme="minorBidi" w:hAnsiTheme="minorBidi"/>
          <w:sz w:val="24"/>
          <w:szCs w:val="24"/>
        </w:rPr>
        <w:t xml:space="preserve">The </w:t>
      </w:r>
      <w:r w:rsidR="00377260">
        <w:rPr>
          <w:rFonts w:asciiTheme="minorBidi" w:hAnsiTheme="minorBidi"/>
          <w:i/>
          <w:iCs/>
          <w:sz w:val="24"/>
          <w:szCs w:val="24"/>
        </w:rPr>
        <w:t>Talmud Yerushalmi</w:t>
      </w:r>
      <w:r w:rsidR="00377260">
        <w:rPr>
          <w:rFonts w:asciiTheme="minorBidi" w:hAnsiTheme="minorBidi"/>
          <w:sz w:val="24"/>
          <w:szCs w:val="24"/>
        </w:rPr>
        <w:t xml:space="preserve"> records a dispute among </w:t>
      </w:r>
      <w:r w:rsidR="00377260">
        <w:rPr>
          <w:rFonts w:asciiTheme="minorBidi" w:hAnsiTheme="minorBidi"/>
          <w:i/>
          <w:iCs/>
          <w:sz w:val="24"/>
          <w:szCs w:val="24"/>
        </w:rPr>
        <w:t xml:space="preserve">Amoraim </w:t>
      </w:r>
      <w:r w:rsidR="00377260">
        <w:rPr>
          <w:rFonts w:asciiTheme="minorBidi" w:hAnsiTheme="minorBidi"/>
          <w:sz w:val="24"/>
          <w:szCs w:val="24"/>
        </w:rPr>
        <w:t>regarding the nature of the cities listed in Joshua: “Rabbi Simeon son of Lakish said: He counted walled cities. Rabbi Jose son of Hanina said: He counted cities near the boundary” (</w:t>
      </w:r>
      <w:r w:rsidR="00377260">
        <w:rPr>
          <w:rFonts w:asciiTheme="minorBidi" w:hAnsiTheme="minorBidi"/>
          <w:i/>
          <w:iCs/>
          <w:sz w:val="24"/>
          <w:szCs w:val="24"/>
        </w:rPr>
        <w:t>Yerushalmi Megilla</w:t>
      </w:r>
      <w:r w:rsidR="00377260">
        <w:rPr>
          <w:rFonts w:asciiTheme="minorBidi" w:hAnsiTheme="minorBidi"/>
          <w:sz w:val="24"/>
          <w:szCs w:val="24"/>
        </w:rPr>
        <w:t xml:space="preserve"> 1:1 [70a]). In the continuation of the discussion, the </w:t>
      </w:r>
      <w:r w:rsidR="00377260">
        <w:rPr>
          <w:rFonts w:asciiTheme="minorBidi" w:hAnsiTheme="minorBidi"/>
          <w:i/>
          <w:iCs/>
          <w:sz w:val="24"/>
          <w:szCs w:val="24"/>
        </w:rPr>
        <w:t>Yerushalmi</w:t>
      </w:r>
      <w:r w:rsidR="00377260">
        <w:rPr>
          <w:rFonts w:asciiTheme="minorBidi" w:hAnsiTheme="minorBidi"/>
          <w:sz w:val="24"/>
          <w:szCs w:val="24"/>
        </w:rPr>
        <w:t xml:space="preserve"> supports the second opinion, and the </w:t>
      </w:r>
      <w:r w:rsidR="00377260">
        <w:rPr>
          <w:rFonts w:asciiTheme="minorBidi" w:hAnsiTheme="minorBidi"/>
          <w:i/>
          <w:iCs/>
          <w:sz w:val="24"/>
          <w:szCs w:val="24"/>
        </w:rPr>
        <w:t>Talmud Bavli</w:t>
      </w:r>
      <w:r w:rsidR="00377260">
        <w:rPr>
          <w:rFonts w:asciiTheme="minorBidi" w:hAnsiTheme="minorBidi"/>
          <w:sz w:val="24"/>
          <w:szCs w:val="24"/>
        </w:rPr>
        <w:t xml:space="preserve"> echoes this approach: “</w:t>
      </w:r>
      <w:r w:rsidR="00116587">
        <w:rPr>
          <w:rFonts w:asciiTheme="minorBidi" w:hAnsiTheme="minorBidi"/>
          <w:sz w:val="24"/>
          <w:szCs w:val="24"/>
        </w:rPr>
        <w:t>Rav Judah also said in the name of Rav: Joshua enumerated only the cities on the borders” (</w:t>
      </w:r>
      <w:r w:rsidR="00116587">
        <w:rPr>
          <w:rFonts w:asciiTheme="minorBidi" w:hAnsiTheme="minorBidi"/>
          <w:i/>
          <w:iCs/>
          <w:sz w:val="24"/>
          <w:szCs w:val="24"/>
        </w:rPr>
        <w:t>Bava Batra</w:t>
      </w:r>
      <w:r w:rsidR="00116587">
        <w:rPr>
          <w:rFonts w:asciiTheme="minorBidi" w:hAnsiTheme="minorBidi"/>
          <w:sz w:val="24"/>
          <w:szCs w:val="24"/>
        </w:rPr>
        <w:t xml:space="preserve"> 56a). </w:t>
      </w:r>
      <w:r w:rsidR="004E0854">
        <w:rPr>
          <w:rFonts w:asciiTheme="minorBidi" w:hAnsiTheme="minorBidi"/>
          <w:sz w:val="24"/>
          <w:szCs w:val="24"/>
        </w:rPr>
        <w:t xml:space="preserve">But it seems that even the second opinion does not conflict with the simple meaning of the phrase “cities, with their villages.” Rather, it merely adds additional detail to the first opinion, </w:t>
      </w:r>
      <w:r w:rsidR="004E0854" w:rsidRPr="004E0854">
        <w:rPr>
          <w:rFonts w:asciiTheme="minorBidi" w:hAnsiTheme="minorBidi"/>
          <w:sz w:val="24"/>
          <w:szCs w:val="24"/>
        </w:rPr>
        <w:t>stat</w:t>
      </w:r>
      <w:r w:rsidR="004E0854">
        <w:rPr>
          <w:rFonts w:asciiTheme="minorBidi" w:hAnsiTheme="minorBidi"/>
          <w:sz w:val="24"/>
          <w:szCs w:val="24"/>
        </w:rPr>
        <w:t xml:space="preserve">ing that Joshua did not enumerate all the walled cities, but only those that were situated on the borders. See also Ramban’s commentary at the beginning of </w:t>
      </w:r>
      <w:r w:rsidR="004E0854">
        <w:rPr>
          <w:rFonts w:asciiTheme="minorBidi" w:hAnsiTheme="minorBidi"/>
          <w:i/>
          <w:iCs/>
          <w:sz w:val="24"/>
          <w:szCs w:val="24"/>
        </w:rPr>
        <w:t>Masekhet Megilla</w:t>
      </w:r>
      <w:r w:rsidR="004E0854">
        <w:rPr>
          <w:rFonts w:asciiTheme="minorBidi" w:hAnsiTheme="minorBidi"/>
          <w:sz w:val="24"/>
          <w:szCs w:val="24"/>
        </w:rPr>
        <w:t xml:space="preserve">: “Also, in Hutsal of Benjamin </w:t>
      </w:r>
      <w:r w:rsidR="000F37E7">
        <w:rPr>
          <w:rFonts w:asciiTheme="minorBidi" w:hAnsiTheme="minorBidi"/>
          <w:sz w:val="24"/>
          <w:szCs w:val="24"/>
        </w:rPr>
        <w:t xml:space="preserve">a few of them had a tradition that it was enumerated in Joshua in the portion of Benjamin.” </w:t>
      </w:r>
      <w:r w:rsidR="001A02F6">
        <w:rPr>
          <w:rFonts w:asciiTheme="minorBidi" w:hAnsiTheme="minorBidi"/>
          <w:sz w:val="24"/>
          <w:szCs w:val="24"/>
        </w:rPr>
        <w:t>Thus</w:t>
      </w:r>
      <w:r w:rsidR="000F37E7">
        <w:rPr>
          <w:rFonts w:asciiTheme="minorBidi" w:hAnsiTheme="minorBidi"/>
          <w:sz w:val="24"/>
          <w:szCs w:val="24"/>
        </w:rPr>
        <w:t xml:space="preserve"> Ramban indicated his clear belief</w:t>
      </w:r>
      <w:r w:rsidR="001A02F6">
        <w:rPr>
          <w:rFonts w:asciiTheme="minorBidi" w:hAnsiTheme="minorBidi"/>
          <w:sz w:val="24"/>
          <w:szCs w:val="24"/>
        </w:rPr>
        <w:t xml:space="preserve"> that</w:t>
      </w:r>
      <w:r w:rsidR="000F37E7">
        <w:rPr>
          <w:rFonts w:asciiTheme="minorBidi" w:hAnsiTheme="minorBidi"/>
          <w:sz w:val="24"/>
          <w:szCs w:val="24"/>
        </w:rPr>
        <w:t xml:space="preserve"> every city that Joshua enumerated fell into th</w:t>
      </w:r>
      <w:r w:rsidR="001A02F6">
        <w:rPr>
          <w:rFonts w:asciiTheme="minorBidi" w:hAnsiTheme="minorBidi"/>
          <w:sz w:val="24"/>
          <w:szCs w:val="24"/>
        </w:rPr>
        <w:t>e</w:t>
      </w:r>
      <w:r w:rsidR="000F37E7">
        <w:rPr>
          <w:rFonts w:asciiTheme="minorBidi" w:hAnsiTheme="minorBidi"/>
          <w:sz w:val="24"/>
          <w:szCs w:val="24"/>
        </w:rPr>
        <w:t xml:space="preserve"> category </w:t>
      </w:r>
      <w:r w:rsidR="001A02F6">
        <w:rPr>
          <w:rFonts w:asciiTheme="minorBidi" w:hAnsiTheme="minorBidi"/>
          <w:sz w:val="24"/>
          <w:szCs w:val="24"/>
        </w:rPr>
        <w:t>of walled cities</w:t>
      </w:r>
      <w:r w:rsidR="000F37E7">
        <w:rPr>
          <w:rFonts w:asciiTheme="minorBidi" w:hAnsiTheme="minorBidi"/>
          <w:sz w:val="24"/>
          <w:szCs w:val="24"/>
        </w:rPr>
        <w:t>.</w:t>
      </w:r>
    </w:p>
    <w:p w:rsidR="0021562D" w:rsidRDefault="0021562D" w:rsidP="005F5148">
      <w:pPr>
        <w:spacing w:after="0" w:line="240" w:lineRule="auto"/>
        <w:jc w:val="both"/>
        <w:rPr>
          <w:rFonts w:asciiTheme="minorBidi" w:hAnsiTheme="minorBidi"/>
          <w:sz w:val="24"/>
          <w:szCs w:val="24"/>
        </w:rPr>
      </w:pPr>
    </w:p>
    <w:p w:rsidR="00165CE4" w:rsidRDefault="00205E4C" w:rsidP="005F5148">
      <w:pPr>
        <w:keepNext/>
        <w:spacing w:after="0" w:line="240" w:lineRule="auto"/>
        <w:jc w:val="center"/>
      </w:pPr>
      <w:r w:rsidRPr="005F5148">
        <w:rPr>
          <w:rFonts w:asciiTheme="minorBidi" w:hAnsiTheme="minorBidi"/>
          <w:noProof/>
          <w:sz w:val="24"/>
          <w:szCs w:val="24"/>
        </w:rPr>
        <w:drawing>
          <wp:inline distT="0" distB="0" distL="0" distR="0" wp14:anchorId="47995133" wp14:editId="5FCCEAC4">
            <wp:extent cx="3843528" cy="1389888"/>
            <wp:effectExtent l="0" t="0" r="5080" b="127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יור 40 אפציה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3528" cy="1389888"/>
                    </a:xfrm>
                    <a:prstGeom prst="rect">
                      <a:avLst/>
                    </a:prstGeom>
                  </pic:spPr>
                </pic:pic>
              </a:graphicData>
            </a:graphic>
          </wp:inline>
        </w:drawing>
      </w:r>
    </w:p>
    <w:p w:rsidR="00165CE4" w:rsidRPr="005F5148" w:rsidRDefault="0021562D" w:rsidP="005F5148">
      <w:pPr>
        <w:pStyle w:val="Caption"/>
        <w:spacing w:after="0"/>
        <w:jc w:val="center"/>
        <w:rPr>
          <w:rFonts w:asciiTheme="minorBidi" w:hAnsiTheme="minorBidi"/>
          <w:sz w:val="20"/>
          <w:szCs w:val="20"/>
        </w:rPr>
      </w:pPr>
      <w:r>
        <w:rPr>
          <w:rFonts w:asciiTheme="minorBidi" w:hAnsiTheme="minorBidi"/>
          <w:b w:val="0"/>
          <w:bCs w:val="0"/>
          <w:i/>
          <w:iCs/>
          <w:color w:val="auto"/>
          <w:sz w:val="20"/>
          <w:szCs w:val="20"/>
        </w:rPr>
        <w:t xml:space="preserve">Mishna Arakhin </w:t>
      </w:r>
      <w:r>
        <w:rPr>
          <w:rFonts w:asciiTheme="minorBidi" w:hAnsiTheme="minorBidi"/>
          <w:b w:val="0"/>
          <w:bCs w:val="0"/>
          <w:color w:val="auto"/>
          <w:sz w:val="20"/>
          <w:szCs w:val="20"/>
        </w:rPr>
        <w:t>9:6 MS Parma 1 (Courtesy of the Bibliotheca Palatina, Parma)</w:t>
      </w:r>
    </w:p>
    <w:p w:rsidR="000F37E7" w:rsidRDefault="000F37E7" w:rsidP="005F5148">
      <w:pPr>
        <w:spacing w:after="0" w:line="240" w:lineRule="auto"/>
        <w:jc w:val="both"/>
        <w:rPr>
          <w:rFonts w:asciiTheme="minorBidi" w:hAnsiTheme="minorBidi"/>
          <w:sz w:val="24"/>
          <w:szCs w:val="24"/>
        </w:rPr>
      </w:pPr>
    </w:p>
    <w:p w:rsidR="000F37E7" w:rsidRDefault="000F37E7" w:rsidP="005F5148">
      <w:pPr>
        <w:spacing w:after="0" w:line="240" w:lineRule="auto"/>
        <w:jc w:val="both"/>
        <w:rPr>
          <w:rFonts w:asciiTheme="minorBidi" w:hAnsiTheme="minorBidi"/>
          <w:b/>
          <w:bCs/>
          <w:sz w:val="24"/>
          <w:szCs w:val="24"/>
        </w:rPr>
      </w:pPr>
      <w:r>
        <w:rPr>
          <w:rFonts w:asciiTheme="minorBidi" w:hAnsiTheme="minorBidi"/>
          <w:b/>
          <w:bCs/>
          <w:sz w:val="24"/>
          <w:szCs w:val="24"/>
        </w:rPr>
        <w:t>“</w:t>
      </w:r>
      <w:r w:rsidR="007D2E85">
        <w:rPr>
          <w:rFonts w:asciiTheme="minorBidi" w:hAnsiTheme="minorBidi"/>
          <w:b/>
          <w:bCs/>
          <w:sz w:val="24"/>
          <w:szCs w:val="24"/>
        </w:rPr>
        <w:t>And These are the Walled Cities</w:t>
      </w:r>
      <w:r w:rsidR="00C27DD9" w:rsidRPr="00C27DD9">
        <w:rPr>
          <w:rFonts w:asciiTheme="minorBidi" w:hAnsiTheme="minorBidi"/>
          <w:b/>
          <w:bCs/>
          <w:sz w:val="24"/>
          <w:szCs w:val="24"/>
        </w:rPr>
        <w:t>”</w:t>
      </w:r>
    </w:p>
    <w:p w:rsidR="00C27DD9" w:rsidRDefault="00C27DD9" w:rsidP="005F5148">
      <w:pPr>
        <w:spacing w:after="0" w:line="240" w:lineRule="auto"/>
        <w:jc w:val="both"/>
        <w:rPr>
          <w:rFonts w:asciiTheme="minorBidi" w:hAnsiTheme="minorBidi"/>
          <w:b/>
          <w:bCs/>
          <w:sz w:val="24"/>
          <w:szCs w:val="24"/>
        </w:rPr>
      </w:pPr>
    </w:p>
    <w:p w:rsidR="00C27DD9" w:rsidRDefault="00C27DD9" w:rsidP="005F5148">
      <w:pPr>
        <w:spacing w:after="0" w:line="240" w:lineRule="auto"/>
        <w:jc w:val="both"/>
        <w:rPr>
          <w:rFonts w:asciiTheme="minorBidi" w:hAnsiTheme="minorBidi"/>
          <w:sz w:val="24"/>
          <w:szCs w:val="24"/>
        </w:rPr>
      </w:pPr>
      <w:r>
        <w:rPr>
          <w:rFonts w:asciiTheme="minorBidi" w:hAnsiTheme="minorBidi"/>
          <w:b/>
          <w:bCs/>
          <w:sz w:val="24"/>
          <w:szCs w:val="24"/>
        </w:rPr>
        <w:tab/>
      </w:r>
      <w:r>
        <w:rPr>
          <w:rFonts w:asciiTheme="minorBidi" w:hAnsiTheme="minorBidi"/>
          <w:sz w:val="24"/>
          <w:szCs w:val="24"/>
        </w:rPr>
        <w:t xml:space="preserve">The Mishna at the end of </w:t>
      </w:r>
      <w:r>
        <w:rPr>
          <w:rFonts w:asciiTheme="minorBidi" w:hAnsiTheme="minorBidi"/>
          <w:i/>
          <w:iCs/>
          <w:sz w:val="24"/>
          <w:szCs w:val="24"/>
        </w:rPr>
        <w:t>Arakhin</w:t>
      </w:r>
      <w:r>
        <w:rPr>
          <w:rFonts w:asciiTheme="minorBidi" w:hAnsiTheme="minorBidi"/>
          <w:sz w:val="24"/>
          <w:szCs w:val="24"/>
        </w:rPr>
        <w:t xml:space="preserve"> presents a list of walled cities in the land of Israel. Before doing so, the Mishna defines the term “walled city”:</w:t>
      </w:r>
    </w:p>
    <w:p w:rsidR="00C27DD9" w:rsidRDefault="00C27DD9" w:rsidP="005F5148">
      <w:pPr>
        <w:spacing w:after="0" w:line="240" w:lineRule="auto"/>
        <w:jc w:val="both"/>
        <w:rPr>
          <w:rFonts w:asciiTheme="minorBidi" w:hAnsiTheme="minorBidi"/>
          <w:sz w:val="24"/>
          <w:szCs w:val="24"/>
        </w:rPr>
      </w:pPr>
    </w:p>
    <w:p w:rsidR="00C27DD9" w:rsidRDefault="00C27DD9" w:rsidP="005F5148">
      <w:pPr>
        <w:spacing w:after="0" w:line="240" w:lineRule="auto"/>
        <w:ind w:left="709"/>
        <w:jc w:val="both"/>
        <w:rPr>
          <w:rFonts w:asciiTheme="minorBidi" w:hAnsiTheme="minorBidi"/>
          <w:sz w:val="24"/>
          <w:szCs w:val="24"/>
        </w:rPr>
      </w:pPr>
      <w:r>
        <w:rPr>
          <w:rFonts w:asciiTheme="minorBidi" w:hAnsiTheme="minorBidi"/>
          <w:sz w:val="24"/>
          <w:szCs w:val="24"/>
        </w:rPr>
        <w:t xml:space="preserve">[A house within] a city whose roofs form its wall, or that was not encompassed by a wall in the days of Joshua son of Nun, is not considered a dwelling house in a walled city. [A house in any of] the following is accounted a house in a walled city: [Those in a city] of no less than three courtyards, having two houses each, which have been encompassed by a wall in the days of Joshua son of Nun, such as the </w:t>
      </w:r>
      <w:r>
        <w:rPr>
          <w:rFonts w:asciiTheme="minorBidi" w:hAnsiTheme="minorBidi"/>
          <w:sz w:val="24"/>
          <w:szCs w:val="24"/>
        </w:rPr>
        <w:lastRenderedPageBreak/>
        <w:t>old castle of Sepphoris, the fort of Gush-halab, old Yod</w:t>
      </w:r>
      <w:r w:rsidR="009F523E">
        <w:rPr>
          <w:rFonts w:asciiTheme="minorBidi" w:hAnsiTheme="minorBidi"/>
          <w:sz w:val="24"/>
          <w:szCs w:val="24"/>
        </w:rPr>
        <w:t>f</w:t>
      </w:r>
      <w:r>
        <w:rPr>
          <w:rFonts w:asciiTheme="minorBidi" w:hAnsiTheme="minorBidi"/>
          <w:sz w:val="24"/>
          <w:szCs w:val="24"/>
        </w:rPr>
        <w:t xml:space="preserve">at, Gamla, </w:t>
      </w:r>
      <w:r w:rsidR="0055009E">
        <w:rPr>
          <w:rFonts w:asciiTheme="minorBidi" w:hAnsiTheme="minorBidi"/>
          <w:sz w:val="24"/>
          <w:szCs w:val="24"/>
        </w:rPr>
        <w:t>Gador</w:t>
      </w:r>
      <w:r>
        <w:rPr>
          <w:rFonts w:asciiTheme="minorBidi" w:hAnsiTheme="minorBidi"/>
          <w:sz w:val="24"/>
          <w:szCs w:val="24"/>
        </w:rPr>
        <w:t>, Hadid, Ono, Jerusalem and the like. (9:6)</w:t>
      </w:r>
    </w:p>
    <w:p w:rsidR="00C27DD9" w:rsidRDefault="00C27DD9" w:rsidP="005F5148">
      <w:pPr>
        <w:spacing w:after="0" w:line="240" w:lineRule="auto"/>
        <w:jc w:val="both"/>
        <w:rPr>
          <w:rFonts w:asciiTheme="minorBidi" w:hAnsiTheme="minorBidi"/>
          <w:sz w:val="24"/>
          <w:szCs w:val="24"/>
        </w:rPr>
      </w:pPr>
    </w:p>
    <w:p w:rsidR="00E75056" w:rsidRDefault="00C27DD9" w:rsidP="005F5148">
      <w:pPr>
        <w:spacing w:after="0" w:line="240" w:lineRule="auto"/>
        <w:jc w:val="both"/>
        <w:rPr>
          <w:rFonts w:asciiTheme="minorBidi" w:hAnsiTheme="minorBidi"/>
          <w:sz w:val="24"/>
          <w:szCs w:val="24"/>
        </w:rPr>
      </w:pPr>
      <w:r>
        <w:rPr>
          <w:rFonts w:asciiTheme="minorBidi" w:hAnsiTheme="minorBidi"/>
          <w:sz w:val="24"/>
          <w:szCs w:val="24"/>
        </w:rPr>
        <w:t xml:space="preserve">First of all, the Mishna </w:t>
      </w:r>
      <w:r w:rsidR="001E0B0E">
        <w:rPr>
          <w:rFonts w:asciiTheme="minorBidi" w:hAnsiTheme="minorBidi"/>
          <w:sz w:val="24"/>
          <w:szCs w:val="24"/>
        </w:rPr>
        <w:t>clarifies that a walled city can actually be quite small. Even a plot of land containing three courtyards, each of which containing two houses, is considered a walled city if it has been encompassed by a wall since the days of Joshua. In other words, the Mishna hints here that many of the cities from the time of Joshua were small cities.</w:t>
      </w:r>
      <w:r w:rsidR="001E0B0E">
        <w:rPr>
          <w:rStyle w:val="FootnoteReference"/>
          <w:rFonts w:asciiTheme="minorBidi" w:hAnsiTheme="minorBidi"/>
          <w:sz w:val="24"/>
          <w:szCs w:val="24"/>
        </w:rPr>
        <w:footnoteReference w:id="3"/>
      </w:r>
      <w:r w:rsidR="00E75056">
        <w:rPr>
          <w:rFonts w:asciiTheme="minorBidi" w:hAnsiTheme="minorBidi"/>
          <w:sz w:val="24"/>
          <w:szCs w:val="24"/>
        </w:rPr>
        <w:t xml:space="preserve"> </w:t>
      </w:r>
    </w:p>
    <w:p w:rsidR="00E75056" w:rsidRDefault="00E75056" w:rsidP="005F5148">
      <w:pPr>
        <w:spacing w:after="0" w:line="240" w:lineRule="auto"/>
        <w:jc w:val="both"/>
        <w:rPr>
          <w:rFonts w:asciiTheme="minorBidi" w:hAnsiTheme="minorBidi"/>
          <w:sz w:val="24"/>
          <w:szCs w:val="24"/>
        </w:rPr>
      </w:pPr>
    </w:p>
    <w:p w:rsidR="0069210E" w:rsidRDefault="00E75056" w:rsidP="005F5148">
      <w:pPr>
        <w:spacing w:after="0" w:line="240" w:lineRule="auto"/>
        <w:ind w:firstLine="720"/>
        <w:jc w:val="both"/>
        <w:rPr>
          <w:rFonts w:asciiTheme="minorBidi" w:hAnsiTheme="minorBidi"/>
          <w:sz w:val="24"/>
          <w:szCs w:val="24"/>
        </w:rPr>
      </w:pPr>
      <w:r>
        <w:rPr>
          <w:rFonts w:asciiTheme="minorBidi" w:hAnsiTheme="minorBidi"/>
          <w:sz w:val="24"/>
          <w:szCs w:val="24"/>
        </w:rPr>
        <w:t xml:space="preserve">In addition, the list in the continuation of the </w:t>
      </w:r>
      <w:r>
        <w:rPr>
          <w:rFonts w:asciiTheme="minorBidi" w:hAnsiTheme="minorBidi"/>
          <w:i/>
          <w:iCs/>
          <w:sz w:val="24"/>
          <w:szCs w:val="24"/>
        </w:rPr>
        <w:t>mishna</w:t>
      </w:r>
      <w:r>
        <w:rPr>
          <w:rFonts w:asciiTheme="minorBidi" w:hAnsiTheme="minorBidi"/>
          <w:sz w:val="24"/>
          <w:szCs w:val="24"/>
        </w:rPr>
        <w:t xml:space="preserve"> implies that cities during the Biblical period were relatively small. The Mishna stresses: “</w:t>
      </w:r>
      <w:r>
        <w:rPr>
          <w:rFonts w:asciiTheme="minorBidi" w:hAnsiTheme="minorBidi"/>
          <w:b/>
          <w:sz w:val="24"/>
          <w:szCs w:val="24"/>
        </w:rPr>
        <w:t>the old castle</w:t>
      </w:r>
      <w:r>
        <w:rPr>
          <w:rFonts w:asciiTheme="minorBidi" w:hAnsiTheme="minorBidi"/>
          <w:bCs/>
          <w:sz w:val="24"/>
          <w:szCs w:val="24"/>
        </w:rPr>
        <w:t xml:space="preserve"> of Sepphoris, </w:t>
      </w:r>
      <w:r>
        <w:rPr>
          <w:rFonts w:asciiTheme="minorBidi" w:hAnsiTheme="minorBidi"/>
          <w:b/>
          <w:sz w:val="24"/>
          <w:szCs w:val="24"/>
        </w:rPr>
        <w:t>the fort</w:t>
      </w:r>
      <w:r>
        <w:rPr>
          <w:rFonts w:asciiTheme="minorBidi" w:hAnsiTheme="minorBidi"/>
          <w:bCs/>
          <w:sz w:val="24"/>
          <w:szCs w:val="24"/>
        </w:rPr>
        <w:t xml:space="preserve"> of Gush-halab.”</w:t>
      </w:r>
      <w:r>
        <w:rPr>
          <w:rFonts w:asciiTheme="minorBidi" w:hAnsiTheme="minorBidi"/>
          <w:sz w:val="24"/>
          <w:szCs w:val="24"/>
        </w:rPr>
        <w:t xml:space="preserve"> In other words, the fortified area </w:t>
      </w:r>
      <w:r w:rsidR="0069210E">
        <w:rPr>
          <w:rFonts w:asciiTheme="minorBidi" w:hAnsiTheme="minorBidi"/>
          <w:sz w:val="24"/>
          <w:szCs w:val="24"/>
        </w:rPr>
        <w:t xml:space="preserve">overlooking </w:t>
      </w:r>
      <w:r>
        <w:rPr>
          <w:rFonts w:asciiTheme="minorBidi" w:hAnsiTheme="minorBidi"/>
          <w:sz w:val="24"/>
          <w:szCs w:val="24"/>
        </w:rPr>
        <w:t>each of these two cities constituted the “walled city” from Joshua’s time. The implication is that Sepphoris and Gush-halab at the time of the Mishna were large cities, and</w:t>
      </w:r>
      <w:r w:rsidR="00C26033">
        <w:rPr>
          <w:rFonts w:asciiTheme="minorBidi" w:hAnsiTheme="minorBidi"/>
          <w:sz w:val="24"/>
          <w:szCs w:val="24"/>
        </w:rPr>
        <w:t xml:space="preserve"> according to </w:t>
      </w:r>
      <w:r w:rsidR="0021562D">
        <w:rPr>
          <w:rFonts w:asciiTheme="minorBidi" w:hAnsiTheme="minorBidi"/>
          <w:sz w:val="24"/>
          <w:szCs w:val="24"/>
        </w:rPr>
        <w:t xml:space="preserve">Rabbinic </w:t>
      </w:r>
      <w:r w:rsidR="00C26033">
        <w:rPr>
          <w:rFonts w:asciiTheme="minorBidi" w:hAnsiTheme="minorBidi"/>
          <w:sz w:val="24"/>
          <w:szCs w:val="24"/>
        </w:rPr>
        <w:t>tradition</w:t>
      </w:r>
      <w:r w:rsidR="0021562D">
        <w:rPr>
          <w:rFonts w:asciiTheme="minorBidi" w:hAnsiTheme="minorBidi"/>
          <w:sz w:val="24"/>
          <w:szCs w:val="24"/>
        </w:rPr>
        <w:t>,</w:t>
      </w:r>
      <w:r w:rsidR="00C26033">
        <w:rPr>
          <w:rFonts w:asciiTheme="minorBidi" w:hAnsiTheme="minorBidi"/>
          <w:sz w:val="24"/>
          <w:szCs w:val="24"/>
        </w:rPr>
        <w:t xml:space="preserve"> </w:t>
      </w:r>
      <w:r>
        <w:rPr>
          <w:rFonts w:asciiTheme="minorBidi" w:hAnsiTheme="minorBidi"/>
          <w:sz w:val="24"/>
          <w:szCs w:val="24"/>
        </w:rPr>
        <w:t>only the</w:t>
      </w:r>
      <w:r w:rsidR="0069210E">
        <w:rPr>
          <w:rFonts w:asciiTheme="minorBidi" w:hAnsiTheme="minorBidi"/>
          <w:sz w:val="24"/>
          <w:szCs w:val="24"/>
        </w:rPr>
        <w:t>ir old</w:t>
      </w:r>
      <w:r>
        <w:rPr>
          <w:rFonts w:asciiTheme="minorBidi" w:hAnsiTheme="minorBidi"/>
          <w:sz w:val="24"/>
          <w:szCs w:val="24"/>
        </w:rPr>
        <w:t xml:space="preserve"> </w:t>
      </w:r>
      <w:r w:rsidR="0069210E">
        <w:rPr>
          <w:rFonts w:asciiTheme="minorBidi" w:hAnsiTheme="minorBidi"/>
          <w:sz w:val="24"/>
          <w:szCs w:val="24"/>
        </w:rPr>
        <w:t xml:space="preserve">fortresses had been walled since the time of Joshua. </w:t>
      </w:r>
    </w:p>
    <w:p w:rsidR="0069210E" w:rsidRDefault="0069210E" w:rsidP="005F5148">
      <w:pPr>
        <w:spacing w:after="0" w:line="240" w:lineRule="auto"/>
        <w:ind w:firstLine="720"/>
        <w:jc w:val="both"/>
        <w:rPr>
          <w:rFonts w:asciiTheme="minorBidi" w:hAnsiTheme="minorBidi"/>
          <w:sz w:val="24"/>
          <w:szCs w:val="24"/>
        </w:rPr>
      </w:pPr>
    </w:p>
    <w:p w:rsidR="00C27DD9" w:rsidRDefault="0069210E" w:rsidP="005F5148">
      <w:pPr>
        <w:spacing w:after="0" w:line="240" w:lineRule="auto"/>
        <w:ind w:firstLine="720"/>
        <w:jc w:val="both"/>
        <w:rPr>
          <w:rFonts w:asciiTheme="minorBidi" w:hAnsiTheme="minorBidi"/>
          <w:sz w:val="24"/>
          <w:szCs w:val="24"/>
        </w:rPr>
      </w:pPr>
      <w:r>
        <w:rPr>
          <w:rFonts w:asciiTheme="minorBidi" w:hAnsiTheme="minorBidi"/>
          <w:sz w:val="24"/>
          <w:szCs w:val="24"/>
        </w:rPr>
        <w:t xml:space="preserve">We can also infer from this </w:t>
      </w:r>
      <w:r>
        <w:rPr>
          <w:rFonts w:asciiTheme="minorBidi" w:hAnsiTheme="minorBidi"/>
          <w:i/>
          <w:iCs/>
          <w:sz w:val="24"/>
          <w:szCs w:val="24"/>
        </w:rPr>
        <w:t>mishna</w:t>
      </w:r>
      <w:r>
        <w:rPr>
          <w:rFonts w:asciiTheme="minorBidi" w:hAnsiTheme="minorBidi"/>
          <w:sz w:val="24"/>
          <w:szCs w:val="24"/>
        </w:rPr>
        <w:t xml:space="preserve"> that in the cases of Sepphoris and Gush-halab, the Biblical city was situated atop a summit, while the later city was built on the surrounding slopes. This phenomenon can be found in countless sites in the archaeology of the land of Israel; usually the Canaanite-Israelite cities were situated atop a summit and were fortified well, while the towns built during the Hellenistic-Roman-Byzantine period were larger and tended to spread out </w:t>
      </w:r>
      <w:r w:rsidR="002E6B1F">
        <w:rPr>
          <w:rFonts w:asciiTheme="minorBidi" w:hAnsiTheme="minorBidi"/>
          <w:sz w:val="24"/>
          <w:szCs w:val="24"/>
        </w:rPr>
        <w:t>on the slopes and spurs. The reason for this, seemingly, is that in earlier periods, each city was responsible for its own defense and fortification, whereas in later periods these concerns were generally the responsibility of the central government.</w:t>
      </w:r>
    </w:p>
    <w:p w:rsidR="002E6B1F" w:rsidRDefault="002E6B1F" w:rsidP="005F5148">
      <w:pPr>
        <w:spacing w:after="0" w:line="240" w:lineRule="auto"/>
        <w:ind w:firstLine="720"/>
        <w:jc w:val="both"/>
        <w:rPr>
          <w:rFonts w:asciiTheme="minorBidi" w:hAnsiTheme="minorBidi"/>
          <w:sz w:val="24"/>
          <w:szCs w:val="24"/>
        </w:rPr>
      </w:pPr>
    </w:p>
    <w:p w:rsidR="002E6B1F" w:rsidRDefault="00AD2FDB" w:rsidP="005F5148">
      <w:pPr>
        <w:spacing w:after="0" w:line="240" w:lineRule="auto"/>
        <w:ind w:firstLine="720"/>
        <w:jc w:val="both"/>
        <w:rPr>
          <w:rFonts w:asciiTheme="minorBidi" w:hAnsiTheme="minorBidi"/>
          <w:sz w:val="24"/>
          <w:szCs w:val="24"/>
        </w:rPr>
      </w:pPr>
      <w:r>
        <w:rPr>
          <w:rFonts w:asciiTheme="minorBidi" w:hAnsiTheme="minorBidi"/>
          <w:sz w:val="24"/>
          <w:szCs w:val="24"/>
        </w:rPr>
        <w:t xml:space="preserve">The list of eight walled cities from the time of Joshua is interesting, and even at the time of the later </w:t>
      </w:r>
      <w:r>
        <w:rPr>
          <w:rFonts w:asciiTheme="minorBidi" w:hAnsiTheme="minorBidi"/>
          <w:i/>
          <w:iCs/>
          <w:sz w:val="24"/>
          <w:szCs w:val="24"/>
        </w:rPr>
        <w:t>Tannaim</w:t>
      </w:r>
      <w:r>
        <w:rPr>
          <w:rFonts w:asciiTheme="minorBidi" w:hAnsiTheme="minorBidi"/>
          <w:sz w:val="24"/>
          <w:szCs w:val="24"/>
        </w:rPr>
        <w:t xml:space="preserve"> was the focus of a dispute between Rabbi Ishmael son of Rabbi Jose and his brother, Rabbi Elazar son of Rabbi Jose.</w:t>
      </w:r>
      <w:r>
        <w:rPr>
          <w:rStyle w:val="FootnoteReference"/>
          <w:rFonts w:asciiTheme="minorBidi" w:hAnsiTheme="minorBidi"/>
          <w:sz w:val="24"/>
          <w:szCs w:val="24"/>
        </w:rPr>
        <w:footnoteReference w:id="4"/>
      </w:r>
      <w:r>
        <w:rPr>
          <w:rFonts w:asciiTheme="minorBidi" w:hAnsiTheme="minorBidi"/>
          <w:sz w:val="24"/>
          <w:szCs w:val="24"/>
        </w:rPr>
        <w:t xml:space="preserve"> One argued that this was an exclusive list, while the other argued that it simply listed several examples, while other such walled cities did exist (a position</w:t>
      </w:r>
      <w:r w:rsidR="00C26033">
        <w:rPr>
          <w:rFonts w:asciiTheme="minorBidi" w:hAnsiTheme="minorBidi"/>
          <w:sz w:val="24"/>
          <w:szCs w:val="24"/>
        </w:rPr>
        <w:t xml:space="preserve"> shared by our </w:t>
      </w:r>
      <w:r w:rsidR="003E713B" w:rsidRPr="005F5148">
        <w:rPr>
          <w:rFonts w:asciiTheme="minorBidi" w:hAnsiTheme="minorBidi"/>
          <w:i/>
          <w:iCs/>
          <w:sz w:val="24"/>
          <w:szCs w:val="24"/>
        </w:rPr>
        <w:t>mishna</w:t>
      </w:r>
      <w:r w:rsidR="00C26033">
        <w:rPr>
          <w:rFonts w:asciiTheme="minorBidi" w:hAnsiTheme="minorBidi"/>
          <w:sz w:val="24"/>
          <w:szCs w:val="24"/>
        </w:rPr>
        <w:t xml:space="preserve"> as well, as one might conclude from </w:t>
      </w:r>
      <w:r>
        <w:rPr>
          <w:rFonts w:asciiTheme="minorBidi" w:hAnsiTheme="minorBidi"/>
          <w:sz w:val="24"/>
          <w:szCs w:val="24"/>
        </w:rPr>
        <w:t>the language of the</w:t>
      </w:r>
      <w:r w:rsidR="00C26033">
        <w:rPr>
          <w:rFonts w:asciiTheme="minorBidi" w:hAnsiTheme="minorBidi"/>
          <w:sz w:val="24"/>
          <w:szCs w:val="24"/>
        </w:rPr>
        <w:t xml:space="preserve"> end of the</w:t>
      </w:r>
      <w:r>
        <w:rPr>
          <w:rFonts w:asciiTheme="minorBidi" w:hAnsiTheme="minorBidi"/>
          <w:sz w:val="24"/>
          <w:szCs w:val="24"/>
        </w:rPr>
        <w:t xml:space="preserve"> </w:t>
      </w:r>
      <w:r>
        <w:rPr>
          <w:rFonts w:asciiTheme="minorBidi" w:hAnsiTheme="minorBidi"/>
          <w:i/>
          <w:iCs/>
          <w:sz w:val="24"/>
          <w:szCs w:val="24"/>
        </w:rPr>
        <w:t>mishna</w:t>
      </w:r>
      <w:r>
        <w:rPr>
          <w:rFonts w:asciiTheme="minorBidi" w:hAnsiTheme="minorBidi"/>
          <w:sz w:val="24"/>
          <w:szCs w:val="24"/>
        </w:rPr>
        <w:t>: “…and the like”).</w:t>
      </w:r>
    </w:p>
    <w:p w:rsidR="00AD2FDB" w:rsidRDefault="00AD2FDB" w:rsidP="005F5148">
      <w:pPr>
        <w:spacing w:after="0" w:line="240" w:lineRule="auto"/>
        <w:ind w:firstLine="720"/>
        <w:jc w:val="both"/>
        <w:rPr>
          <w:rFonts w:asciiTheme="minorBidi" w:hAnsiTheme="minorBidi"/>
          <w:sz w:val="24"/>
          <w:szCs w:val="24"/>
        </w:rPr>
      </w:pPr>
    </w:p>
    <w:p w:rsidR="00AD2FDB" w:rsidRDefault="00AD2FDB" w:rsidP="005F5148">
      <w:pPr>
        <w:spacing w:after="0" w:line="240" w:lineRule="auto"/>
        <w:ind w:firstLine="720"/>
        <w:jc w:val="both"/>
        <w:rPr>
          <w:rFonts w:asciiTheme="minorBidi" w:hAnsiTheme="minorBidi"/>
          <w:sz w:val="24"/>
          <w:szCs w:val="24"/>
        </w:rPr>
      </w:pPr>
      <w:r>
        <w:rPr>
          <w:rFonts w:asciiTheme="minorBidi" w:hAnsiTheme="minorBidi"/>
          <w:sz w:val="24"/>
          <w:szCs w:val="24"/>
        </w:rPr>
        <w:t>According to Rabbi Ishmael</w:t>
      </w:r>
      <w:r w:rsidR="009854AA">
        <w:rPr>
          <w:rFonts w:asciiTheme="minorBidi" w:hAnsiTheme="minorBidi"/>
          <w:sz w:val="24"/>
          <w:szCs w:val="24"/>
        </w:rPr>
        <w:t xml:space="preserve"> son of Rabbi Jose</w:t>
      </w:r>
      <w:r>
        <w:rPr>
          <w:rFonts w:asciiTheme="minorBidi" w:hAnsiTheme="minorBidi"/>
          <w:sz w:val="24"/>
          <w:szCs w:val="24"/>
        </w:rPr>
        <w:t xml:space="preserve">, the eight cities listed were the only ones </w:t>
      </w:r>
      <w:r w:rsidR="009854AA">
        <w:rPr>
          <w:rFonts w:asciiTheme="minorBidi" w:hAnsiTheme="minorBidi"/>
          <w:sz w:val="24"/>
          <w:szCs w:val="24"/>
        </w:rPr>
        <w:t>that were re-sanctified by the returning exiles, while all the others “lost their privilege when the land lost its sanctity” (</w:t>
      </w:r>
      <w:r w:rsidR="009854AA">
        <w:rPr>
          <w:rFonts w:asciiTheme="minorBidi" w:hAnsiTheme="minorBidi"/>
          <w:i/>
          <w:iCs/>
          <w:sz w:val="24"/>
          <w:szCs w:val="24"/>
        </w:rPr>
        <w:t xml:space="preserve">Megilla </w:t>
      </w:r>
      <w:r w:rsidR="009854AA">
        <w:rPr>
          <w:rFonts w:asciiTheme="minorBidi" w:hAnsiTheme="minorBidi"/>
          <w:sz w:val="24"/>
          <w:szCs w:val="24"/>
        </w:rPr>
        <w:t>10a) following the destruction of the First Temple. According to Rabbi Elazar son of Rabbi Jose, the eight cities were merely representative examples:</w:t>
      </w:r>
    </w:p>
    <w:p w:rsidR="009854AA" w:rsidRDefault="009854AA" w:rsidP="005F5148">
      <w:pPr>
        <w:spacing w:after="0" w:line="240" w:lineRule="auto"/>
        <w:jc w:val="both"/>
        <w:rPr>
          <w:rFonts w:asciiTheme="minorBidi" w:hAnsiTheme="minorBidi"/>
          <w:sz w:val="24"/>
          <w:szCs w:val="24"/>
        </w:rPr>
      </w:pPr>
    </w:p>
    <w:p w:rsidR="009854AA" w:rsidRDefault="009854AA" w:rsidP="005F5148">
      <w:pPr>
        <w:spacing w:after="0" w:line="240" w:lineRule="auto"/>
        <w:ind w:left="709"/>
        <w:jc w:val="both"/>
        <w:rPr>
          <w:rFonts w:asciiTheme="minorBidi" w:hAnsiTheme="minorBidi"/>
          <w:sz w:val="24"/>
          <w:szCs w:val="24"/>
        </w:rPr>
      </w:pPr>
      <w:r>
        <w:rPr>
          <w:rFonts w:asciiTheme="minorBidi" w:hAnsiTheme="minorBidi"/>
          <w:sz w:val="24"/>
          <w:szCs w:val="24"/>
        </w:rPr>
        <w:t>And not only in these alone, but in every one in regard to which you shall find a tradition from your ancestors that it was walled from the days of Joshua son of Nun, all these precepts are to be observed.</w:t>
      </w:r>
    </w:p>
    <w:p w:rsidR="009854AA" w:rsidRDefault="009854AA" w:rsidP="005F5148">
      <w:pPr>
        <w:spacing w:after="0" w:line="240" w:lineRule="auto"/>
        <w:jc w:val="both"/>
        <w:rPr>
          <w:rFonts w:asciiTheme="minorBidi" w:hAnsiTheme="minorBidi"/>
          <w:sz w:val="24"/>
          <w:szCs w:val="24"/>
        </w:rPr>
      </w:pPr>
    </w:p>
    <w:p w:rsidR="009854AA" w:rsidRDefault="009854AA" w:rsidP="005F5148">
      <w:pPr>
        <w:spacing w:after="0" w:line="240" w:lineRule="auto"/>
        <w:jc w:val="both"/>
        <w:rPr>
          <w:rFonts w:asciiTheme="minorBidi" w:hAnsiTheme="minorBidi"/>
          <w:sz w:val="24"/>
          <w:szCs w:val="24"/>
        </w:rPr>
      </w:pPr>
      <w:r>
        <w:rPr>
          <w:rFonts w:asciiTheme="minorBidi" w:hAnsiTheme="minorBidi"/>
          <w:sz w:val="24"/>
          <w:szCs w:val="24"/>
        </w:rPr>
        <w:lastRenderedPageBreak/>
        <w:t xml:space="preserve">This dispute hinges on a critical, fundamental question in </w:t>
      </w:r>
      <w:r>
        <w:rPr>
          <w:rFonts w:asciiTheme="minorBidi" w:hAnsiTheme="minorBidi"/>
          <w:i/>
          <w:iCs/>
          <w:sz w:val="24"/>
          <w:szCs w:val="24"/>
        </w:rPr>
        <w:t>halakha</w:t>
      </w:r>
      <w:r>
        <w:rPr>
          <w:rFonts w:asciiTheme="minorBidi" w:hAnsiTheme="minorBidi"/>
          <w:sz w:val="24"/>
          <w:szCs w:val="24"/>
        </w:rPr>
        <w:t>: Was the first holiness conferred for the time being and for all future time, or was it not conferred for all future time?</w:t>
      </w:r>
    </w:p>
    <w:p w:rsidR="009854AA" w:rsidRDefault="009854AA" w:rsidP="005F5148">
      <w:pPr>
        <w:spacing w:after="0" w:line="240" w:lineRule="auto"/>
        <w:jc w:val="both"/>
        <w:rPr>
          <w:rFonts w:asciiTheme="minorBidi" w:hAnsiTheme="minorBidi"/>
          <w:sz w:val="24"/>
          <w:szCs w:val="24"/>
        </w:rPr>
      </w:pPr>
    </w:p>
    <w:p w:rsidR="009854AA" w:rsidRDefault="009854AA" w:rsidP="005F5148">
      <w:pPr>
        <w:spacing w:after="0" w:line="240" w:lineRule="auto"/>
        <w:jc w:val="both"/>
        <w:rPr>
          <w:rFonts w:asciiTheme="minorBidi" w:hAnsiTheme="minorBidi"/>
          <w:sz w:val="24"/>
          <w:szCs w:val="24"/>
        </w:rPr>
      </w:pPr>
      <w:r>
        <w:rPr>
          <w:rFonts w:asciiTheme="minorBidi" w:hAnsiTheme="minorBidi"/>
          <w:sz w:val="24"/>
          <w:szCs w:val="24"/>
        </w:rPr>
        <w:tab/>
        <w:t xml:space="preserve">In any case, both positions agree that the list refers to the cities that the returning exiles found when they entered the land of Israel, and that at least these cities had been walled during Joshua’s time and were still walled when </w:t>
      </w:r>
      <w:r w:rsidR="00243C69">
        <w:rPr>
          <w:rFonts w:asciiTheme="minorBidi" w:hAnsiTheme="minorBidi"/>
          <w:sz w:val="24"/>
          <w:szCs w:val="24"/>
        </w:rPr>
        <w:t xml:space="preserve">they returned from Babylonia – which is why they were listed in the </w:t>
      </w:r>
      <w:r w:rsidR="00243C69">
        <w:rPr>
          <w:rFonts w:asciiTheme="minorBidi" w:hAnsiTheme="minorBidi"/>
          <w:i/>
          <w:iCs/>
          <w:sz w:val="24"/>
          <w:szCs w:val="24"/>
        </w:rPr>
        <w:t>mishna</w:t>
      </w:r>
      <w:r w:rsidR="00243C69">
        <w:rPr>
          <w:rFonts w:asciiTheme="minorBidi" w:hAnsiTheme="minorBidi"/>
          <w:sz w:val="24"/>
          <w:szCs w:val="24"/>
        </w:rPr>
        <w:t>.</w:t>
      </w:r>
    </w:p>
    <w:p w:rsidR="00DF7999" w:rsidRDefault="00DF7999" w:rsidP="005F5148">
      <w:pPr>
        <w:spacing w:after="0" w:line="240" w:lineRule="auto"/>
        <w:jc w:val="both"/>
        <w:rPr>
          <w:rFonts w:asciiTheme="minorBidi" w:hAnsiTheme="minorBidi"/>
          <w:sz w:val="24"/>
          <w:szCs w:val="24"/>
        </w:rPr>
      </w:pPr>
    </w:p>
    <w:p w:rsidR="00DF7999" w:rsidRDefault="00DF7999" w:rsidP="005F5148">
      <w:pPr>
        <w:spacing w:after="0" w:line="240" w:lineRule="auto"/>
        <w:jc w:val="both"/>
        <w:rPr>
          <w:rFonts w:asciiTheme="minorBidi" w:hAnsiTheme="minorBidi"/>
          <w:sz w:val="24"/>
          <w:szCs w:val="24"/>
        </w:rPr>
      </w:pPr>
      <w:r>
        <w:rPr>
          <w:rFonts w:asciiTheme="minorBidi" w:hAnsiTheme="minorBidi"/>
          <w:b/>
          <w:bCs/>
          <w:sz w:val="24"/>
          <w:szCs w:val="24"/>
        </w:rPr>
        <w:t>Identification of the Cities and Archeological Find</w:t>
      </w:r>
      <w:r w:rsidR="0021562D">
        <w:rPr>
          <w:rFonts w:asciiTheme="minorBidi" w:hAnsiTheme="minorBidi"/>
          <w:b/>
          <w:bCs/>
          <w:sz w:val="24"/>
          <w:szCs w:val="24"/>
        </w:rPr>
        <w:t>ing</w:t>
      </w:r>
      <w:r>
        <w:rPr>
          <w:rFonts w:asciiTheme="minorBidi" w:hAnsiTheme="minorBidi"/>
          <w:b/>
          <w:bCs/>
          <w:sz w:val="24"/>
          <w:szCs w:val="24"/>
        </w:rPr>
        <w:t>s</w:t>
      </w:r>
    </w:p>
    <w:p w:rsidR="00243C69" w:rsidRDefault="00243C69" w:rsidP="005F5148">
      <w:pPr>
        <w:spacing w:after="0" w:line="240" w:lineRule="auto"/>
        <w:jc w:val="both"/>
        <w:rPr>
          <w:rFonts w:asciiTheme="minorBidi" w:hAnsiTheme="minorBidi"/>
          <w:sz w:val="24"/>
          <w:szCs w:val="24"/>
        </w:rPr>
      </w:pPr>
    </w:p>
    <w:p w:rsidR="00243C69" w:rsidRDefault="00243C69" w:rsidP="005F5148">
      <w:pPr>
        <w:spacing w:after="0" w:line="240" w:lineRule="auto"/>
        <w:jc w:val="both"/>
        <w:rPr>
          <w:rFonts w:asciiTheme="minorBidi" w:hAnsiTheme="minorBidi"/>
          <w:sz w:val="24"/>
          <w:szCs w:val="24"/>
        </w:rPr>
      </w:pPr>
      <w:r>
        <w:rPr>
          <w:rFonts w:asciiTheme="minorBidi" w:hAnsiTheme="minorBidi"/>
          <w:sz w:val="24"/>
          <w:szCs w:val="24"/>
        </w:rPr>
        <w:tab/>
        <w:t xml:space="preserve">Almost all the places mentioned in this </w:t>
      </w:r>
      <w:r>
        <w:rPr>
          <w:rFonts w:asciiTheme="minorBidi" w:hAnsiTheme="minorBidi"/>
          <w:i/>
          <w:iCs/>
          <w:sz w:val="24"/>
          <w:szCs w:val="24"/>
        </w:rPr>
        <w:t>mishna</w:t>
      </w:r>
      <w:r>
        <w:rPr>
          <w:rFonts w:asciiTheme="minorBidi" w:hAnsiTheme="minorBidi"/>
          <w:sz w:val="24"/>
          <w:szCs w:val="24"/>
        </w:rPr>
        <w:t xml:space="preserve"> are identified with certainty. Gamla is the only city whose identification is somewhat debatable. The </w:t>
      </w:r>
      <w:r>
        <w:rPr>
          <w:rFonts w:asciiTheme="minorBidi" w:hAnsiTheme="minorBidi"/>
          <w:i/>
          <w:iCs/>
          <w:sz w:val="24"/>
          <w:szCs w:val="24"/>
        </w:rPr>
        <w:t>baraita</w:t>
      </w:r>
      <w:r>
        <w:rPr>
          <w:rFonts w:asciiTheme="minorBidi" w:hAnsiTheme="minorBidi"/>
          <w:sz w:val="24"/>
          <w:szCs w:val="24"/>
        </w:rPr>
        <w:t xml:space="preserve"> in </w:t>
      </w:r>
      <w:r>
        <w:rPr>
          <w:rFonts w:asciiTheme="minorBidi" w:hAnsiTheme="minorBidi"/>
          <w:i/>
          <w:iCs/>
          <w:sz w:val="24"/>
          <w:szCs w:val="24"/>
        </w:rPr>
        <w:t>Torat Kohanim</w:t>
      </w:r>
      <w:r>
        <w:rPr>
          <w:rFonts w:asciiTheme="minorBidi" w:hAnsiTheme="minorBidi"/>
          <w:sz w:val="24"/>
          <w:szCs w:val="24"/>
        </w:rPr>
        <w:t xml:space="preserve">, </w:t>
      </w:r>
      <w:r>
        <w:rPr>
          <w:rFonts w:asciiTheme="minorBidi" w:hAnsiTheme="minorBidi"/>
          <w:i/>
          <w:iCs/>
          <w:sz w:val="24"/>
          <w:szCs w:val="24"/>
        </w:rPr>
        <w:t>Behar</w:t>
      </w:r>
      <w:r>
        <w:rPr>
          <w:rFonts w:asciiTheme="minorBidi" w:hAnsiTheme="minorBidi"/>
          <w:sz w:val="24"/>
          <w:szCs w:val="24"/>
        </w:rPr>
        <w:t xml:space="preserve"> 4 and in </w:t>
      </w:r>
      <w:r>
        <w:rPr>
          <w:rFonts w:asciiTheme="minorBidi" w:hAnsiTheme="minorBidi"/>
          <w:i/>
          <w:iCs/>
          <w:sz w:val="24"/>
          <w:szCs w:val="24"/>
        </w:rPr>
        <w:t>Arakhin</w:t>
      </w:r>
      <w:r>
        <w:rPr>
          <w:rFonts w:asciiTheme="minorBidi" w:hAnsiTheme="minorBidi"/>
          <w:sz w:val="24"/>
          <w:szCs w:val="24"/>
        </w:rPr>
        <w:t xml:space="preserve"> 32a states that Gamla is “in the Galilee,” while the Gam</w:t>
      </w:r>
      <w:r w:rsidR="005115BE">
        <w:rPr>
          <w:rFonts w:asciiTheme="minorBidi" w:hAnsiTheme="minorBidi"/>
          <w:sz w:val="24"/>
          <w:szCs w:val="24"/>
        </w:rPr>
        <w:t>a</w:t>
      </w:r>
      <w:r>
        <w:rPr>
          <w:rFonts w:asciiTheme="minorBidi" w:hAnsiTheme="minorBidi"/>
          <w:sz w:val="24"/>
          <w:szCs w:val="24"/>
        </w:rPr>
        <w:t>la that was the site of a Roman siege during the Great Revolt preceding the destruction of the Second Temple</w:t>
      </w:r>
      <w:r w:rsidR="00FA0537">
        <w:rPr>
          <w:rFonts w:asciiTheme="minorBidi" w:hAnsiTheme="minorBidi"/>
          <w:sz w:val="24"/>
          <w:szCs w:val="24"/>
        </w:rPr>
        <w:t xml:space="preserve"> is identified today with certainty in the Golan. Many today believe that the western Golan, due to its close connection with the Galilee and its wealth of Jewish settlement, should be considered part of the Galilee. This suggestion is supported by the name of the Jewish rebel Judas son of Hezekiah “the Galilean,” who, according to Josephus, was originally from the city of Gam</w:t>
      </w:r>
      <w:r w:rsidR="005115BE">
        <w:rPr>
          <w:rFonts w:asciiTheme="minorBidi" w:hAnsiTheme="minorBidi"/>
          <w:sz w:val="24"/>
          <w:szCs w:val="24"/>
        </w:rPr>
        <w:t>a</w:t>
      </w:r>
      <w:r w:rsidR="00FA0537">
        <w:rPr>
          <w:rFonts w:asciiTheme="minorBidi" w:hAnsiTheme="minorBidi"/>
          <w:sz w:val="24"/>
          <w:szCs w:val="24"/>
        </w:rPr>
        <w:t>la. While Josephus usually refers to Judas as “the Galilean,” on one occasion he calls him “the Golanite.” Regardless, Samuel Klein and Gustaf Dalman – classical scholars of Rabbinic geography and sources from that period – maintained that it is impossible to call the Golan “Galilee</w:t>
      </w:r>
      <w:r w:rsidR="00ED5B50">
        <w:rPr>
          <w:rFonts w:asciiTheme="minorBidi" w:hAnsiTheme="minorBidi"/>
          <w:sz w:val="24"/>
          <w:szCs w:val="24"/>
        </w:rPr>
        <w:t>.</w:t>
      </w:r>
      <w:r w:rsidR="00FA0537">
        <w:rPr>
          <w:rFonts w:asciiTheme="minorBidi" w:hAnsiTheme="minorBidi"/>
          <w:sz w:val="24"/>
          <w:szCs w:val="24"/>
        </w:rPr>
        <w:t xml:space="preserve">” </w:t>
      </w:r>
      <w:r w:rsidR="00ED5B50">
        <w:rPr>
          <w:rFonts w:asciiTheme="minorBidi" w:hAnsiTheme="minorBidi"/>
          <w:sz w:val="24"/>
          <w:szCs w:val="24"/>
        </w:rPr>
        <w:t xml:space="preserve">Moreover, </w:t>
      </w:r>
      <w:r w:rsidR="004C385C">
        <w:rPr>
          <w:rFonts w:asciiTheme="minorBidi" w:hAnsiTheme="minorBidi"/>
          <w:sz w:val="24"/>
          <w:szCs w:val="24"/>
        </w:rPr>
        <w:t xml:space="preserve">in their opinion </w:t>
      </w:r>
      <w:r w:rsidR="00ED5B50">
        <w:rPr>
          <w:rFonts w:asciiTheme="minorBidi" w:hAnsiTheme="minorBidi"/>
          <w:sz w:val="24"/>
          <w:szCs w:val="24"/>
        </w:rPr>
        <w:t>Josephus’ use of the term “Golanite” is simply the error of an overly clever copyist; he must have known of the Golanite city of Gam</w:t>
      </w:r>
      <w:r w:rsidR="005115BE">
        <w:rPr>
          <w:rFonts w:asciiTheme="minorBidi" w:hAnsiTheme="minorBidi"/>
          <w:sz w:val="24"/>
          <w:szCs w:val="24"/>
        </w:rPr>
        <w:t>a</w:t>
      </w:r>
      <w:r w:rsidR="00ED5B50">
        <w:rPr>
          <w:rFonts w:asciiTheme="minorBidi" w:hAnsiTheme="minorBidi"/>
          <w:sz w:val="24"/>
          <w:szCs w:val="24"/>
        </w:rPr>
        <w:t xml:space="preserve">la and “corrected” Josephus’ text accordingly. Klein and Dalman identified the Galilean city of Gamala with Jebel </w:t>
      </w:r>
      <w:r w:rsidR="0055009E">
        <w:rPr>
          <w:rFonts w:asciiTheme="minorBidi" w:hAnsiTheme="minorBidi"/>
          <w:sz w:val="24"/>
          <w:szCs w:val="24"/>
        </w:rPr>
        <w:t>Jamleh</w:t>
      </w:r>
      <w:r w:rsidR="00ED5B50">
        <w:rPr>
          <w:rFonts w:asciiTheme="minorBidi" w:hAnsiTheme="minorBidi"/>
          <w:sz w:val="24"/>
          <w:szCs w:val="24"/>
        </w:rPr>
        <w:t xml:space="preserve">, north of </w:t>
      </w:r>
      <w:r w:rsidR="0055009E">
        <w:rPr>
          <w:rFonts w:asciiTheme="minorBidi" w:hAnsiTheme="minorBidi"/>
          <w:sz w:val="24"/>
          <w:szCs w:val="24"/>
        </w:rPr>
        <w:t xml:space="preserve">Tibnin </w:t>
      </w:r>
      <w:r w:rsidR="00ED5B50">
        <w:rPr>
          <w:rFonts w:asciiTheme="minorBidi" w:hAnsiTheme="minorBidi"/>
          <w:sz w:val="24"/>
          <w:szCs w:val="24"/>
        </w:rPr>
        <w:t>in the Lebanese portion of the Upper Galilee, south of the Litani River.</w:t>
      </w:r>
      <w:r w:rsidR="00640521">
        <w:rPr>
          <w:rStyle w:val="FootnoteReference"/>
          <w:rFonts w:asciiTheme="minorBidi" w:hAnsiTheme="minorBidi"/>
          <w:sz w:val="24"/>
          <w:szCs w:val="24"/>
        </w:rPr>
        <w:footnoteReference w:id="5"/>
      </w:r>
      <w:r w:rsidR="00640521">
        <w:rPr>
          <w:rFonts w:asciiTheme="minorBidi" w:hAnsiTheme="minorBidi"/>
          <w:sz w:val="24"/>
          <w:szCs w:val="24"/>
        </w:rPr>
        <w:t xml:space="preserve"> At the southern feet of Jebel J</w:t>
      </w:r>
      <w:r w:rsidR="006F3652">
        <w:rPr>
          <w:rFonts w:asciiTheme="minorBidi" w:hAnsiTheme="minorBidi"/>
          <w:sz w:val="24"/>
          <w:szCs w:val="24"/>
        </w:rPr>
        <w:t>a</w:t>
      </w:r>
      <w:r w:rsidR="00640521">
        <w:rPr>
          <w:rFonts w:asciiTheme="minorBidi" w:hAnsiTheme="minorBidi"/>
          <w:sz w:val="24"/>
          <w:szCs w:val="24"/>
        </w:rPr>
        <w:t>mleh lies a small village called al-</w:t>
      </w:r>
      <w:r w:rsidR="00B403B6">
        <w:rPr>
          <w:rFonts w:asciiTheme="minorBidi" w:hAnsiTheme="minorBidi"/>
          <w:sz w:val="24"/>
          <w:szCs w:val="24"/>
        </w:rPr>
        <w:t>Yahudiy</w:t>
      </w:r>
      <w:r w:rsidR="003C0434">
        <w:rPr>
          <w:rFonts w:asciiTheme="minorBidi" w:hAnsiTheme="minorBidi"/>
          <w:sz w:val="24"/>
          <w:szCs w:val="24"/>
        </w:rPr>
        <w:t>y</w:t>
      </w:r>
      <w:r w:rsidR="00B403B6">
        <w:rPr>
          <w:rFonts w:asciiTheme="minorBidi" w:hAnsiTheme="minorBidi"/>
          <w:sz w:val="24"/>
          <w:szCs w:val="24"/>
        </w:rPr>
        <w:t>a, which preserves a tradition of Jewish presence in the region. One consideration in support of this position and against the identification of Gamla in the Golan is that there was a time – probably during the Second Temple period – when Gamla served as a city of refuge in place of the Galilean city of Kedesh. The city of Golan in the Bashan served as a city of ref</w:t>
      </w:r>
      <w:bookmarkStart w:id="0" w:name="_GoBack"/>
      <w:bookmarkEnd w:id="0"/>
      <w:r w:rsidR="00B403B6">
        <w:rPr>
          <w:rFonts w:asciiTheme="minorBidi" w:hAnsiTheme="minorBidi"/>
          <w:sz w:val="24"/>
          <w:szCs w:val="24"/>
        </w:rPr>
        <w:t>uge at the same time, and it is unlikely that there were two functioning cities of refuge in the same region.</w:t>
      </w:r>
      <w:r w:rsidR="00B403B6">
        <w:rPr>
          <w:rStyle w:val="FootnoteReference"/>
          <w:rFonts w:asciiTheme="minorBidi" w:hAnsiTheme="minorBidi"/>
          <w:sz w:val="24"/>
          <w:szCs w:val="24"/>
        </w:rPr>
        <w:footnoteReference w:id="6"/>
      </w:r>
    </w:p>
    <w:p w:rsidR="002B097E" w:rsidRDefault="002B097E" w:rsidP="005F5148">
      <w:pPr>
        <w:spacing w:after="0" w:line="240" w:lineRule="auto"/>
        <w:jc w:val="both"/>
        <w:rPr>
          <w:rFonts w:asciiTheme="minorBidi" w:hAnsiTheme="minorBidi"/>
          <w:sz w:val="24"/>
          <w:szCs w:val="24"/>
        </w:rPr>
      </w:pPr>
    </w:p>
    <w:p w:rsidR="00165CE4" w:rsidRDefault="00205E4C" w:rsidP="005F5148">
      <w:pPr>
        <w:keepNext/>
        <w:spacing w:after="0" w:line="240" w:lineRule="auto"/>
        <w:jc w:val="center"/>
      </w:pPr>
      <w:r w:rsidRPr="005F5148">
        <w:rPr>
          <w:rFonts w:asciiTheme="minorBidi" w:hAnsiTheme="minorBidi"/>
          <w:noProof/>
          <w:sz w:val="24"/>
          <w:szCs w:val="24"/>
        </w:rPr>
        <w:lastRenderedPageBreak/>
        <w:drawing>
          <wp:inline distT="0" distB="0" distL="0" distR="0" wp14:anchorId="53575351" wp14:editId="58243CC4">
            <wp:extent cx="3788563" cy="5622430"/>
            <wp:effectExtent l="0" t="0" r="254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גמלא.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0049" cy="5624635"/>
                    </a:xfrm>
                    <a:prstGeom prst="rect">
                      <a:avLst/>
                    </a:prstGeom>
                  </pic:spPr>
                </pic:pic>
              </a:graphicData>
            </a:graphic>
          </wp:inline>
        </w:drawing>
      </w:r>
    </w:p>
    <w:p w:rsidR="00165CE4" w:rsidRPr="005F5148" w:rsidRDefault="002B097E" w:rsidP="005F5148">
      <w:pPr>
        <w:pStyle w:val="Caption"/>
        <w:spacing w:after="0"/>
        <w:jc w:val="center"/>
        <w:rPr>
          <w:rFonts w:asciiTheme="minorBidi" w:hAnsiTheme="minorBidi"/>
          <w:sz w:val="20"/>
          <w:szCs w:val="20"/>
        </w:rPr>
      </w:pPr>
      <w:r>
        <w:rPr>
          <w:rFonts w:asciiTheme="minorBidi" w:hAnsiTheme="minorBidi"/>
          <w:b w:val="0"/>
          <w:bCs w:val="0"/>
          <w:color w:val="auto"/>
          <w:sz w:val="20"/>
          <w:szCs w:val="20"/>
        </w:rPr>
        <w:t>Gamla (Courtesy of Dr. Zev Rothkoff)</w:t>
      </w:r>
    </w:p>
    <w:p w:rsidR="00B403B6" w:rsidRDefault="00B403B6" w:rsidP="005F5148">
      <w:pPr>
        <w:spacing w:after="0" w:line="240" w:lineRule="auto"/>
        <w:jc w:val="both"/>
        <w:rPr>
          <w:rFonts w:asciiTheme="minorBidi" w:hAnsiTheme="minorBidi"/>
          <w:sz w:val="24"/>
          <w:szCs w:val="24"/>
        </w:rPr>
      </w:pPr>
    </w:p>
    <w:p w:rsidR="00B403B6" w:rsidRDefault="00B403B6" w:rsidP="005F5148">
      <w:pPr>
        <w:spacing w:after="0" w:line="240" w:lineRule="auto"/>
        <w:jc w:val="both"/>
        <w:rPr>
          <w:rFonts w:asciiTheme="minorBidi" w:hAnsiTheme="minorBidi"/>
          <w:sz w:val="24"/>
          <w:szCs w:val="24"/>
        </w:rPr>
      </w:pPr>
      <w:r>
        <w:rPr>
          <w:rFonts w:asciiTheme="minorBidi" w:hAnsiTheme="minorBidi"/>
          <w:sz w:val="24"/>
          <w:szCs w:val="24"/>
        </w:rPr>
        <w:tab/>
        <w:t xml:space="preserve">It is interesting to note that none of the cities in the Mishna’s list (with the exception of Jerusalem) is mentioned in the book of Joshua. </w:t>
      </w:r>
      <w:r w:rsidR="0054291D">
        <w:rPr>
          <w:rFonts w:asciiTheme="minorBidi" w:hAnsiTheme="minorBidi"/>
          <w:sz w:val="24"/>
          <w:szCs w:val="24"/>
        </w:rPr>
        <w:t xml:space="preserve">What is the reason for these omissions? It may be that two factors played a role here: </w:t>
      </w:r>
      <w:r w:rsidR="009F523E">
        <w:rPr>
          <w:rFonts w:asciiTheme="minorBidi" w:hAnsiTheme="minorBidi"/>
          <w:sz w:val="24"/>
          <w:szCs w:val="24"/>
        </w:rPr>
        <w:t xml:space="preserve">a) in the Galilee, most place names were changed between the Biblical period and the Rabbinic period, and thus the newer names could not have appeared in the </w:t>
      </w:r>
      <w:r w:rsidR="009F523E">
        <w:rPr>
          <w:rFonts w:asciiTheme="minorBidi" w:hAnsiTheme="minorBidi"/>
          <w:i/>
          <w:iCs/>
          <w:sz w:val="24"/>
          <w:szCs w:val="24"/>
        </w:rPr>
        <w:t>Tanakh</w:t>
      </w:r>
      <w:r w:rsidR="009F523E">
        <w:rPr>
          <w:rFonts w:asciiTheme="minorBidi" w:hAnsiTheme="minorBidi"/>
          <w:sz w:val="24"/>
          <w:szCs w:val="24"/>
        </w:rPr>
        <w:t>; and b) the cities belonging to the tribes of Ephraim and Manasseh were not enumerated in the book of Joshua.</w:t>
      </w:r>
    </w:p>
    <w:p w:rsidR="001E0ED9" w:rsidRDefault="001E0ED9" w:rsidP="005F5148">
      <w:pPr>
        <w:spacing w:after="0" w:line="240" w:lineRule="auto"/>
        <w:jc w:val="both"/>
        <w:rPr>
          <w:rFonts w:asciiTheme="minorBidi" w:hAnsiTheme="minorBidi"/>
          <w:sz w:val="24"/>
          <w:szCs w:val="24"/>
        </w:rPr>
      </w:pPr>
    </w:p>
    <w:p w:rsidR="00165CE4" w:rsidRDefault="00205E4C" w:rsidP="005F5148">
      <w:pPr>
        <w:keepNext/>
        <w:spacing w:after="0" w:line="240" w:lineRule="auto"/>
        <w:jc w:val="center"/>
      </w:pPr>
      <w:r w:rsidRPr="005F5148">
        <w:rPr>
          <w:rFonts w:asciiTheme="minorBidi" w:hAnsiTheme="minorBidi"/>
          <w:noProof/>
          <w:sz w:val="24"/>
          <w:szCs w:val="24"/>
        </w:rPr>
        <w:lastRenderedPageBreak/>
        <w:drawing>
          <wp:inline distT="0" distB="0" distL="0" distR="0" wp14:anchorId="013C0C17" wp14:editId="77A87C82">
            <wp:extent cx="5276215" cy="3515995"/>
            <wp:effectExtent l="0" t="0" r="635" b="825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יודפת.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6215" cy="3515995"/>
                    </a:xfrm>
                    <a:prstGeom prst="rect">
                      <a:avLst/>
                    </a:prstGeom>
                  </pic:spPr>
                </pic:pic>
              </a:graphicData>
            </a:graphic>
          </wp:inline>
        </w:drawing>
      </w:r>
    </w:p>
    <w:p w:rsidR="00165CE4" w:rsidRPr="005F5148" w:rsidRDefault="003E713B" w:rsidP="005F5148">
      <w:pPr>
        <w:pStyle w:val="Caption"/>
        <w:spacing w:after="0"/>
        <w:jc w:val="center"/>
        <w:rPr>
          <w:rFonts w:asciiTheme="minorBidi" w:hAnsiTheme="minorBidi"/>
          <w:sz w:val="20"/>
          <w:szCs w:val="20"/>
        </w:rPr>
      </w:pPr>
      <w:r>
        <w:rPr>
          <w:rFonts w:asciiTheme="minorBidi" w:hAnsiTheme="minorBidi"/>
          <w:b w:val="0"/>
          <w:bCs w:val="0"/>
          <w:color w:val="auto"/>
          <w:sz w:val="20"/>
          <w:szCs w:val="20"/>
        </w:rPr>
        <w:t>Yodfat</w:t>
      </w:r>
      <w:r w:rsidR="002B097E">
        <w:rPr>
          <w:rFonts w:asciiTheme="minorBidi" w:hAnsiTheme="minorBidi"/>
          <w:b w:val="0"/>
          <w:bCs w:val="0"/>
          <w:color w:val="auto"/>
          <w:sz w:val="20"/>
          <w:szCs w:val="20"/>
        </w:rPr>
        <w:t xml:space="preserve"> (Courtesy of Dr. Zev Rothkoff)</w:t>
      </w:r>
    </w:p>
    <w:p w:rsidR="009F523E" w:rsidRDefault="009F523E" w:rsidP="005F5148">
      <w:pPr>
        <w:spacing w:after="0" w:line="240" w:lineRule="auto"/>
        <w:jc w:val="both"/>
        <w:rPr>
          <w:rFonts w:asciiTheme="minorBidi" w:hAnsiTheme="minorBidi"/>
          <w:sz w:val="24"/>
          <w:szCs w:val="24"/>
        </w:rPr>
      </w:pPr>
    </w:p>
    <w:p w:rsidR="009F523E" w:rsidRDefault="009F523E" w:rsidP="005F5148">
      <w:pPr>
        <w:spacing w:after="0" w:line="240" w:lineRule="auto"/>
        <w:jc w:val="both"/>
        <w:rPr>
          <w:rFonts w:asciiTheme="minorBidi" w:hAnsiTheme="minorBidi"/>
          <w:sz w:val="24"/>
          <w:szCs w:val="24"/>
        </w:rPr>
      </w:pPr>
      <w:r>
        <w:rPr>
          <w:rFonts w:asciiTheme="minorBidi" w:hAnsiTheme="minorBidi"/>
          <w:sz w:val="24"/>
          <w:szCs w:val="24"/>
        </w:rPr>
        <w:tab/>
        <w:t xml:space="preserve">Archaeological </w:t>
      </w:r>
      <w:r w:rsidR="007E1398">
        <w:rPr>
          <w:rFonts w:asciiTheme="minorBidi" w:hAnsiTheme="minorBidi"/>
          <w:sz w:val="24"/>
          <w:szCs w:val="24"/>
        </w:rPr>
        <w:t xml:space="preserve">examinations </w:t>
      </w:r>
      <w:r>
        <w:rPr>
          <w:rFonts w:asciiTheme="minorBidi" w:hAnsiTheme="minorBidi"/>
          <w:sz w:val="24"/>
          <w:szCs w:val="24"/>
        </w:rPr>
        <w:t>have been undertaken in most of the cities on the list. Some of these yielded findings that match the Mishna’s account well, while others did not. In Yodfat, Gamla (in the Golan) and Sepphoris, remnants that fit with the simple understanding of the Mishna</w:t>
      </w:r>
      <w:r w:rsidR="00715A50">
        <w:rPr>
          <w:rFonts w:asciiTheme="minorBidi" w:hAnsiTheme="minorBidi"/>
          <w:sz w:val="24"/>
          <w:szCs w:val="24"/>
        </w:rPr>
        <w:t xml:space="preserve"> </w:t>
      </w:r>
      <w:r w:rsidR="008A21D5">
        <w:rPr>
          <w:rFonts w:asciiTheme="minorBidi" w:hAnsiTheme="minorBidi"/>
          <w:sz w:val="24"/>
          <w:szCs w:val="24"/>
        </w:rPr>
        <w:t xml:space="preserve">have </w:t>
      </w:r>
      <w:r>
        <w:rPr>
          <w:rFonts w:asciiTheme="minorBidi" w:hAnsiTheme="minorBidi"/>
          <w:sz w:val="24"/>
          <w:szCs w:val="24"/>
        </w:rPr>
        <w:t xml:space="preserve">not </w:t>
      </w:r>
      <w:r w:rsidR="008A21D5">
        <w:rPr>
          <w:rFonts w:asciiTheme="minorBidi" w:hAnsiTheme="minorBidi"/>
          <w:sz w:val="24"/>
          <w:szCs w:val="24"/>
        </w:rPr>
        <w:t xml:space="preserve">yet been </w:t>
      </w:r>
      <w:r>
        <w:rPr>
          <w:rFonts w:asciiTheme="minorBidi" w:hAnsiTheme="minorBidi"/>
          <w:sz w:val="24"/>
          <w:szCs w:val="24"/>
        </w:rPr>
        <w:t xml:space="preserve">found, but </w:t>
      </w:r>
      <w:r w:rsidR="007E1398">
        <w:rPr>
          <w:rFonts w:asciiTheme="minorBidi" w:hAnsiTheme="minorBidi"/>
          <w:sz w:val="24"/>
          <w:szCs w:val="24"/>
        </w:rPr>
        <w:t>such remnants were indeed found in the other cities. In light of a survey that he conducted in the Upper Galilee, Yohanan Aharoni noted that Gush-halab was a fortified city from the Late Bronze</w:t>
      </w:r>
      <w:r w:rsidR="002B7C73">
        <w:rPr>
          <w:rFonts w:asciiTheme="minorBidi" w:hAnsiTheme="minorBidi"/>
          <w:sz w:val="24"/>
          <w:szCs w:val="24"/>
        </w:rPr>
        <w:t xml:space="preserve"> or Late Can</w:t>
      </w:r>
      <w:r w:rsidR="008A21D5">
        <w:rPr>
          <w:rFonts w:asciiTheme="minorBidi" w:hAnsiTheme="minorBidi"/>
          <w:sz w:val="24"/>
          <w:szCs w:val="24"/>
        </w:rPr>
        <w:t>a</w:t>
      </w:r>
      <w:r w:rsidR="002B7C73">
        <w:rPr>
          <w:rFonts w:asciiTheme="minorBidi" w:hAnsiTheme="minorBidi"/>
          <w:sz w:val="24"/>
          <w:szCs w:val="24"/>
        </w:rPr>
        <w:t>anite</w:t>
      </w:r>
      <w:r w:rsidR="007E1398">
        <w:rPr>
          <w:rFonts w:asciiTheme="minorBidi" w:hAnsiTheme="minorBidi"/>
          <w:sz w:val="24"/>
          <w:szCs w:val="24"/>
        </w:rPr>
        <w:t xml:space="preserve"> Age, e.g., the period of Joshua’s conquest of the land that we are discussing here. In Tel Hadid (formerly al-Haditha, a village that was destroyed in 1948, about half a mile east of the modern-day moshav Hadid near the Jerusalem-Tel Aviv highway), remnants were found indicating the presence of a fortified city from the Late Canaanite period through all the Israelite periods. This matches the tradition cited in the Mishna excellently, despite the fact that the city is not mentioned in the book of Joshua.</w:t>
      </w:r>
    </w:p>
    <w:p w:rsidR="001E0ED9" w:rsidRDefault="001E0ED9" w:rsidP="005F5148">
      <w:pPr>
        <w:spacing w:after="0" w:line="240" w:lineRule="auto"/>
        <w:jc w:val="both"/>
        <w:rPr>
          <w:rFonts w:asciiTheme="minorBidi" w:hAnsiTheme="minorBidi"/>
          <w:sz w:val="24"/>
          <w:szCs w:val="24"/>
        </w:rPr>
      </w:pPr>
    </w:p>
    <w:p w:rsidR="00165CE4" w:rsidRDefault="00205E4C" w:rsidP="005F5148">
      <w:pPr>
        <w:keepNext/>
        <w:spacing w:after="0" w:line="240" w:lineRule="auto"/>
        <w:jc w:val="center"/>
      </w:pPr>
      <w:r w:rsidRPr="005F5148">
        <w:rPr>
          <w:rFonts w:asciiTheme="minorBidi" w:hAnsiTheme="minorBidi"/>
          <w:noProof/>
          <w:sz w:val="24"/>
          <w:szCs w:val="24"/>
        </w:rPr>
        <w:lastRenderedPageBreak/>
        <w:drawing>
          <wp:inline distT="0" distB="0" distL="0" distR="0" wp14:anchorId="15BD833D" wp14:editId="22606B7E">
            <wp:extent cx="5276215" cy="3503930"/>
            <wp:effectExtent l="0" t="0" r="635" b="127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חדיד.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215" cy="3503930"/>
                    </a:xfrm>
                    <a:prstGeom prst="rect">
                      <a:avLst/>
                    </a:prstGeom>
                  </pic:spPr>
                </pic:pic>
              </a:graphicData>
            </a:graphic>
          </wp:inline>
        </w:drawing>
      </w:r>
    </w:p>
    <w:p w:rsidR="00165CE4" w:rsidRPr="005F5148" w:rsidRDefault="001E0ED9" w:rsidP="005F5148">
      <w:pPr>
        <w:pStyle w:val="Caption"/>
        <w:spacing w:after="0"/>
        <w:jc w:val="center"/>
        <w:rPr>
          <w:rFonts w:asciiTheme="minorBidi" w:hAnsiTheme="minorBidi"/>
          <w:sz w:val="20"/>
          <w:szCs w:val="20"/>
        </w:rPr>
      </w:pPr>
      <w:r>
        <w:rPr>
          <w:rFonts w:asciiTheme="minorBidi" w:hAnsiTheme="minorBidi"/>
          <w:b w:val="0"/>
          <w:bCs w:val="0"/>
          <w:color w:val="auto"/>
          <w:sz w:val="20"/>
          <w:szCs w:val="20"/>
        </w:rPr>
        <w:t>Hadid (Courtesy of Dr. Zev Rothkoff)</w:t>
      </w:r>
    </w:p>
    <w:p w:rsidR="007E1398" w:rsidRDefault="007E1398" w:rsidP="005F5148">
      <w:pPr>
        <w:spacing w:after="0" w:line="240" w:lineRule="auto"/>
        <w:jc w:val="both"/>
        <w:rPr>
          <w:rFonts w:asciiTheme="minorBidi" w:hAnsiTheme="minorBidi"/>
          <w:sz w:val="24"/>
          <w:szCs w:val="24"/>
        </w:rPr>
      </w:pPr>
    </w:p>
    <w:p w:rsidR="007E1398" w:rsidRPr="00033FC8" w:rsidRDefault="007E1398" w:rsidP="005F5148">
      <w:pPr>
        <w:spacing w:after="0" w:line="240" w:lineRule="auto"/>
        <w:jc w:val="both"/>
        <w:rPr>
          <w:rFonts w:asciiTheme="minorBidi" w:hAnsiTheme="minorBidi"/>
          <w:sz w:val="24"/>
          <w:szCs w:val="24"/>
        </w:rPr>
      </w:pPr>
      <w:r>
        <w:rPr>
          <w:rFonts w:asciiTheme="minorBidi" w:hAnsiTheme="minorBidi"/>
          <w:sz w:val="24"/>
          <w:szCs w:val="24"/>
        </w:rPr>
        <w:tab/>
        <w:t xml:space="preserve">A tradition recorded by Rabbi Joshua son of Levi, a resident of the city of Lod and the leader of its sages at the beginning of the Amoraic period, should be added to the </w:t>
      </w:r>
      <w:r w:rsidR="00033FC8">
        <w:rPr>
          <w:rFonts w:asciiTheme="minorBidi" w:hAnsiTheme="minorBidi"/>
          <w:sz w:val="24"/>
          <w:szCs w:val="24"/>
        </w:rPr>
        <w:t>Mishna’s list: “Lod and Ono and Ge Haharashim were walled in the days of Joshua son of Nun” (</w:t>
      </w:r>
      <w:r w:rsidR="00033FC8">
        <w:rPr>
          <w:rFonts w:asciiTheme="minorBidi" w:hAnsiTheme="minorBidi"/>
          <w:i/>
          <w:iCs/>
          <w:sz w:val="24"/>
          <w:szCs w:val="24"/>
        </w:rPr>
        <w:t>Megilla</w:t>
      </w:r>
      <w:r w:rsidR="00033FC8">
        <w:rPr>
          <w:rFonts w:asciiTheme="minorBidi" w:hAnsiTheme="minorBidi"/>
          <w:sz w:val="24"/>
          <w:szCs w:val="24"/>
        </w:rPr>
        <w:t xml:space="preserve"> 4a).</w:t>
      </w:r>
      <w:r w:rsidR="00033FC8">
        <w:rPr>
          <w:rStyle w:val="FootnoteReference"/>
          <w:rFonts w:asciiTheme="minorBidi" w:hAnsiTheme="minorBidi"/>
          <w:sz w:val="24"/>
          <w:szCs w:val="24"/>
        </w:rPr>
        <w:footnoteReference w:id="7"/>
      </w:r>
    </w:p>
    <w:p w:rsidR="00C27DD9" w:rsidRDefault="00C27DD9" w:rsidP="005F5148">
      <w:pPr>
        <w:spacing w:after="0" w:line="240" w:lineRule="auto"/>
        <w:jc w:val="both"/>
        <w:rPr>
          <w:rFonts w:asciiTheme="minorBidi" w:hAnsiTheme="minorBidi"/>
          <w:sz w:val="24"/>
          <w:szCs w:val="24"/>
        </w:rPr>
      </w:pPr>
    </w:p>
    <w:p w:rsidR="00033FC8" w:rsidRDefault="00033FC8" w:rsidP="005F5148">
      <w:pPr>
        <w:spacing w:after="0" w:line="240" w:lineRule="auto"/>
        <w:ind w:firstLine="720"/>
        <w:jc w:val="both"/>
        <w:rPr>
          <w:rFonts w:asciiTheme="minorBidi" w:hAnsiTheme="minorBidi"/>
          <w:sz w:val="24"/>
          <w:szCs w:val="24"/>
        </w:rPr>
      </w:pPr>
      <w:r>
        <w:rPr>
          <w:rFonts w:asciiTheme="minorBidi" w:hAnsiTheme="minorBidi"/>
          <w:sz w:val="24"/>
          <w:szCs w:val="24"/>
        </w:rPr>
        <w:t xml:space="preserve">Lod contains archaeological finding that match the Rabbinic tradition as well. Lod’s ancient tell is almost unnoticeable within the city’s flat topography. Nevertheless, remnants from the Middle and Late Canaanite periods, as well as </w:t>
      </w:r>
      <w:r w:rsidR="007940BA">
        <w:rPr>
          <w:rFonts w:asciiTheme="minorBidi" w:hAnsiTheme="minorBidi"/>
          <w:sz w:val="24"/>
          <w:szCs w:val="24"/>
        </w:rPr>
        <w:t xml:space="preserve">from </w:t>
      </w:r>
      <w:r>
        <w:rPr>
          <w:rFonts w:asciiTheme="minorBidi" w:hAnsiTheme="minorBidi"/>
          <w:sz w:val="24"/>
          <w:szCs w:val="24"/>
        </w:rPr>
        <w:t xml:space="preserve">all the </w:t>
      </w:r>
      <w:r w:rsidR="008A21D5">
        <w:rPr>
          <w:rFonts w:asciiTheme="minorBidi" w:hAnsiTheme="minorBidi"/>
          <w:sz w:val="24"/>
          <w:szCs w:val="24"/>
        </w:rPr>
        <w:t>B</w:t>
      </w:r>
      <w:r w:rsidR="002B7C73">
        <w:rPr>
          <w:rFonts w:asciiTheme="minorBidi" w:hAnsiTheme="minorBidi"/>
          <w:sz w:val="24"/>
          <w:szCs w:val="24"/>
        </w:rPr>
        <w:t xml:space="preserve">iblical </w:t>
      </w:r>
      <w:r>
        <w:rPr>
          <w:rFonts w:asciiTheme="minorBidi" w:hAnsiTheme="minorBidi"/>
          <w:sz w:val="24"/>
          <w:szCs w:val="24"/>
        </w:rPr>
        <w:t xml:space="preserve">periods and </w:t>
      </w:r>
      <w:r w:rsidR="002B7C73">
        <w:rPr>
          <w:rFonts w:asciiTheme="minorBidi" w:hAnsiTheme="minorBidi"/>
          <w:sz w:val="24"/>
          <w:szCs w:val="24"/>
        </w:rPr>
        <w:t>later</w:t>
      </w:r>
      <w:r>
        <w:rPr>
          <w:rFonts w:asciiTheme="minorBidi" w:hAnsiTheme="minorBidi"/>
          <w:sz w:val="24"/>
          <w:szCs w:val="24"/>
        </w:rPr>
        <w:t>, were found at</w:t>
      </w:r>
      <w:r w:rsidR="007940BA">
        <w:rPr>
          <w:rFonts w:asciiTheme="minorBidi" w:hAnsiTheme="minorBidi"/>
          <w:sz w:val="24"/>
          <w:szCs w:val="24"/>
        </w:rPr>
        <w:t xml:space="preserve"> the center of the tell. The Mishna does not enumerate Lod, perhaps because it was not walled at the time of the return </w:t>
      </w:r>
      <w:r w:rsidR="002B7C73">
        <w:rPr>
          <w:rFonts w:asciiTheme="minorBidi" w:hAnsiTheme="minorBidi"/>
          <w:sz w:val="24"/>
          <w:szCs w:val="24"/>
        </w:rPr>
        <w:t>from Babylon</w:t>
      </w:r>
      <w:r w:rsidR="007940BA">
        <w:rPr>
          <w:rFonts w:asciiTheme="minorBidi" w:hAnsiTheme="minorBidi"/>
          <w:sz w:val="24"/>
          <w:szCs w:val="24"/>
        </w:rPr>
        <w:t>.</w:t>
      </w:r>
    </w:p>
    <w:p w:rsidR="007940BA" w:rsidRDefault="007940BA" w:rsidP="005F5148">
      <w:pPr>
        <w:spacing w:after="0" w:line="240" w:lineRule="auto"/>
        <w:jc w:val="both"/>
        <w:rPr>
          <w:rFonts w:asciiTheme="minorBidi" w:hAnsiTheme="minorBidi"/>
          <w:sz w:val="24"/>
          <w:szCs w:val="24"/>
        </w:rPr>
      </w:pPr>
    </w:p>
    <w:p w:rsidR="007940BA" w:rsidRDefault="007940BA" w:rsidP="005F5148">
      <w:pPr>
        <w:spacing w:after="0" w:line="240" w:lineRule="auto"/>
        <w:jc w:val="both"/>
        <w:rPr>
          <w:rFonts w:asciiTheme="minorBidi" w:hAnsiTheme="minorBidi"/>
          <w:b/>
          <w:bCs/>
          <w:sz w:val="24"/>
          <w:szCs w:val="24"/>
        </w:rPr>
      </w:pPr>
      <w:r>
        <w:rPr>
          <w:rFonts w:asciiTheme="minorBidi" w:hAnsiTheme="minorBidi"/>
          <w:b/>
          <w:bCs/>
          <w:sz w:val="24"/>
          <w:szCs w:val="24"/>
        </w:rPr>
        <w:t>Walled Cities in Israel</w:t>
      </w:r>
      <w:r w:rsidR="00C32B63">
        <w:rPr>
          <w:rFonts w:asciiTheme="minorBidi" w:hAnsiTheme="minorBidi"/>
          <w:b/>
          <w:bCs/>
          <w:sz w:val="24"/>
          <w:szCs w:val="24"/>
        </w:rPr>
        <w:t xml:space="preserve"> Today</w:t>
      </w:r>
    </w:p>
    <w:p w:rsidR="007940BA" w:rsidRDefault="007940BA" w:rsidP="005F5148">
      <w:pPr>
        <w:spacing w:after="0" w:line="240" w:lineRule="auto"/>
        <w:jc w:val="both"/>
        <w:rPr>
          <w:rFonts w:asciiTheme="minorBidi" w:hAnsiTheme="minorBidi"/>
          <w:b/>
          <w:bCs/>
          <w:sz w:val="24"/>
          <w:szCs w:val="24"/>
        </w:rPr>
      </w:pPr>
    </w:p>
    <w:p w:rsidR="007940BA" w:rsidRDefault="007940BA" w:rsidP="005F5148">
      <w:pPr>
        <w:spacing w:after="0" w:line="240" w:lineRule="auto"/>
        <w:jc w:val="both"/>
        <w:rPr>
          <w:rFonts w:asciiTheme="minorBidi" w:hAnsiTheme="minorBidi"/>
          <w:sz w:val="24"/>
          <w:szCs w:val="24"/>
        </w:rPr>
      </w:pPr>
      <w:r>
        <w:rPr>
          <w:rFonts w:asciiTheme="minorBidi" w:hAnsiTheme="minorBidi"/>
          <w:sz w:val="24"/>
          <w:szCs w:val="24"/>
        </w:rPr>
        <w:tab/>
      </w:r>
      <w:r w:rsidR="00C32B63">
        <w:rPr>
          <w:rFonts w:asciiTheme="minorBidi" w:hAnsiTheme="minorBidi"/>
          <w:sz w:val="24"/>
          <w:szCs w:val="24"/>
        </w:rPr>
        <w:t xml:space="preserve">Today, the issue of walled cities in Israel only has practical relevance for the question of when to </w:t>
      </w:r>
      <w:r w:rsidR="00B240FB">
        <w:rPr>
          <w:rFonts w:asciiTheme="minorBidi" w:hAnsiTheme="minorBidi"/>
          <w:sz w:val="24"/>
          <w:szCs w:val="24"/>
        </w:rPr>
        <w:t xml:space="preserve">observe </w:t>
      </w:r>
      <w:r w:rsidR="00C32B63">
        <w:rPr>
          <w:rFonts w:asciiTheme="minorBidi" w:hAnsiTheme="minorBidi"/>
          <w:sz w:val="24"/>
          <w:szCs w:val="24"/>
        </w:rPr>
        <w:t>Purim</w:t>
      </w:r>
      <w:r w:rsidR="002B7C73">
        <w:rPr>
          <w:rFonts w:asciiTheme="minorBidi" w:hAnsiTheme="minorBidi"/>
          <w:sz w:val="24"/>
          <w:szCs w:val="24"/>
        </w:rPr>
        <w:t xml:space="preserve"> and to</w:t>
      </w:r>
      <w:r w:rsidR="00C32B63">
        <w:rPr>
          <w:rFonts w:asciiTheme="minorBidi" w:hAnsiTheme="minorBidi"/>
          <w:sz w:val="24"/>
          <w:szCs w:val="24"/>
        </w:rPr>
        <w:t xml:space="preserve"> read the </w:t>
      </w:r>
      <w:r w:rsidR="00C32B63">
        <w:rPr>
          <w:rFonts w:asciiTheme="minorBidi" w:hAnsiTheme="minorBidi"/>
          <w:i/>
          <w:iCs/>
          <w:sz w:val="24"/>
          <w:szCs w:val="24"/>
        </w:rPr>
        <w:t>megilla</w:t>
      </w:r>
      <w:r w:rsidR="008A21D5">
        <w:rPr>
          <w:rFonts w:asciiTheme="minorBidi" w:hAnsiTheme="minorBidi"/>
          <w:sz w:val="24"/>
          <w:szCs w:val="24"/>
        </w:rPr>
        <w:t>;</w:t>
      </w:r>
      <w:r w:rsidR="00C32B63">
        <w:rPr>
          <w:rFonts w:asciiTheme="minorBidi" w:hAnsiTheme="minorBidi"/>
          <w:sz w:val="24"/>
          <w:szCs w:val="24"/>
        </w:rPr>
        <w:t xml:space="preserve"> </w:t>
      </w:r>
      <w:r w:rsidR="008A21D5">
        <w:rPr>
          <w:rFonts w:asciiTheme="minorBidi" w:hAnsiTheme="minorBidi"/>
          <w:sz w:val="24"/>
          <w:szCs w:val="24"/>
        </w:rPr>
        <w:t xml:space="preserve">is it </w:t>
      </w:r>
      <w:r w:rsidR="00C32B63">
        <w:rPr>
          <w:rFonts w:asciiTheme="minorBidi" w:hAnsiTheme="minorBidi"/>
          <w:sz w:val="24"/>
          <w:szCs w:val="24"/>
        </w:rPr>
        <w:t xml:space="preserve">on the fourteenth day of Adar or on the fifteenth? The laws of </w:t>
      </w:r>
      <w:r w:rsidR="00C32B63">
        <w:rPr>
          <w:rFonts w:asciiTheme="minorBidi" w:hAnsiTheme="minorBidi"/>
          <w:i/>
          <w:iCs/>
          <w:sz w:val="24"/>
          <w:szCs w:val="24"/>
        </w:rPr>
        <w:t>yovel</w:t>
      </w:r>
      <w:r w:rsidR="00C32B63">
        <w:rPr>
          <w:rFonts w:asciiTheme="minorBidi" w:hAnsiTheme="minorBidi"/>
          <w:sz w:val="24"/>
          <w:szCs w:val="24"/>
        </w:rPr>
        <w:t xml:space="preserve"> do not apply today, and </w:t>
      </w:r>
      <w:r w:rsidR="00C32B63">
        <w:rPr>
          <w:rFonts w:asciiTheme="minorBidi" w:hAnsiTheme="minorBidi"/>
          <w:i/>
          <w:iCs/>
          <w:sz w:val="24"/>
          <w:szCs w:val="24"/>
        </w:rPr>
        <w:t>tzara’at</w:t>
      </w:r>
      <w:r w:rsidR="00C32B63">
        <w:rPr>
          <w:rFonts w:asciiTheme="minorBidi" w:hAnsiTheme="minorBidi"/>
          <w:sz w:val="24"/>
          <w:szCs w:val="24"/>
        </w:rPr>
        <w:t xml:space="preserve"> of the type described in the Torah does not exist today either. Since observance of the mitzva to read the </w:t>
      </w:r>
      <w:r w:rsidR="00C32B63">
        <w:rPr>
          <w:rFonts w:asciiTheme="minorBidi" w:hAnsiTheme="minorBidi"/>
          <w:i/>
          <w:iCs/>
          <w:sz w:val="24"/>
          <w:szCs w:val="24"/>
        </w:rPr>
        <w:t xml:space="preserve">megilla </w:t>
      </w:r>
      <w:r w:rsidR="00E70930">
        <w:rPr>
          <w:rFonts w:asciiTheme="minorBidi" w:hAnsiTheme="minorBidi"/>
          <w:sz w:val="24"/>
          <w:szCs w:val="24"/>
        </w:rPr>
        <w:t xml:space="preserve">and </w:t>
      </w:r>
      <w:r w:rsidR="008A21D5">
        <w:rPr>
          <w:rFonts w:asciiTheme="minorBidi" w:hAnsiTheme="minorBidi"/>
          <w:sz w:val="24"/>
          <w:szCs w:val="24"/>
        </w:rPr>
        <w:t xml:space="preserve">celebrate </w:t>
      </w:r>
      <w:r w:rsidR="00C32B63">
        <w:rPr>
          <w:rFonts w:asciiTheme="minorBidi" w:hAnsiTheme="minorBidi"/>
          <w:sz w:val="24"/>
          <w:szCs w:val="24"/>
        </w:rPr>
        <w:t xml:space="preserve">Purim in both walled and unwalled cities is not limited to the land of Israel – </w:t>
      </w:r>
      <w:r w:rsidR="00864B74">
        <w:rPr>
          <w:rFonts w:asciiTheme="minorBidi" w:hAnsiTheme="minorBidi"/>
          <w:sz w:val="24"/>
          <w:szCs w:val="24"/>
        </w:rPr>
        <w:t xml:space="preserve">the Talmud invokes the </w:t>
      </w:r>
      <w:r w:rsidR="00864B74">
        <w:rPr>
          <w:rFonts w:asciiTheme="minorBidi" w:hAnsiTheme="minorBidi"/>
          <w:i/>
          <w:iCs/>
          <w:sz w:val="24"/>
          <w:szCs w:val="24"/>
        </w:rPr>
        <w:t>megilla</w:t>
      </w:r>
      <w:r w:rsidR="00864B74">
        <w:rPr>
          <w:rFonts w:asciiTheme="minorBidi" w:hAnsiTheme="minorBidi"/>
          <w:sz w:val="24"/>
          <w:szCs w:val="24"/>
        </w:rPr>
        <w:t xml:space="preserve">’s expression, “from India to Nubia” – it is accepted that the question of when to observe Purim is determined </w:t>
      </w:r>
      <w:r w:rsidR="00E70930">
        <w:rPr>
          <w:rFonts w:asciiTheme="minorBidi" w:hAnsiTheme="minorBidi"/>
          <w:sz w:val="24"/>
          <w:szCs w:val="24"/>
        </w:rPr>
        <w:t xml:space="preserve">based exclusively </w:t>
      </w:r>
      <w:r w:rsidR="00864B74">
        <w:rPr>
          <w:rFonts w:asciiTheme="minorBidi" w:hAnsiTheme="minorBidi"/>
          <w:sz w:val="24"/>
          <w:szCs w:val="24"/>
        </w:rPr>
        <w:t>on the historical question whether a city was walled at the time of Joshua’s conquest</w:t>
      </w:r>
      <w:r w:rsidR="008A21D5">
        <w:rPr>
          <w:rFonts w:asciiTheme="minorBidi" w:hAnsiTheme="minorBidi"/>
          <w:sz w:val="24"/>
          <w:szCs w:val="24"/>
        </w:rPr>
        <w:t>,</w:t>
      </w:r>
      <w:r w:rsidR="00E70930">
        <w:rPr>
          <w:rFonts w:asciiTheme="minorBidi" w:hAnsiTheme="minorBidi"/>
          <w:sz w:val="24"/>
          <w:szCs w:val="24"/>
        </w:rPr>
        <w:t xml:space="preserve"> unconnected to questions of the holiness of the </w:t>
      </w:r>
      <w:r w:rsidR="00177C11">
        <w:rPr>
          <w:rFonts w:asciiTheme="minorBidi" w:hAnsiTheme="minorBidi"/>
          <w:sz w:val="24"/>
          <w:szCs w:val="24"/>
        </w:rPr>
        <w:t>L</w:t>
      </w:r>
      <w:r w:rsidR="00E70930">
        <w:rPr>
          <w:rFonts w:asciiTheme="minorBidi" w:hAnsiTheme="minorBidi"/>
          <w:sz w:val="24"/>
          <w:szCs w:val="24"/>
        </w:rPr>
        <w:t>and</w:t>
      </w:r>
      <w:r w:rsidR="00864B74">
        <w:rPr>
          <w:rFonts w:asciiTheme="minorBidi" w:hAnsiTheme="minorBidi"/>
          <w:sz w:val="24"/>
          <w:szCs w:val="24"/>
        </w:rPr>
        <w:t xml:space="preserve">. </w:t>
      </w:r>
      <w:r w:rsidR="00401DF5">
        <w:rPr>
          <w:rFonts w:asciiTheme="minorBidi" w:hAnsiTheme="minorBidi"/>
          <w:sz w:val="24"/>
          <w:szCs w:val="24"/>
        </w:rPr>
        <w:t xml:space="preserve">The walls of the city in the days of Joshua are </w:t>
      </w:r>
      <w:r w:rsidR="00864B74">
        <w:rPr>
          <w:rFonts w:asciiTheme="minorBidi" w:hAnsiTheme="minorBidi"/>
          <w:sz w:val="24"/>
          <w:szCs w:val="24"/>
        </w:rPr>
        <w:t xml:space="preserve">the only determining factor, even if </w:t>
      </w:r>
      <w:r w:rsidR="00864B74">
        <w:rPr>
          <w:rFonts w:asciiTheme="minorBidi" w:hAnsiTheme="minorBidi"/>
          <w:sz w:val="24"/>
          <w:szCs w:val="24"/>
        </w:rPr>
        <w:lastRenderedPageBreak/>
        <w:t xml:space="preserve">the city is currently </w:t>
      </w:r>
      <w:r w:rsidR="00177C11">
        <w:rPr>
          <w:rFonts w:asciiTheme="minorBidi" w:hAnsiTheme="minorBidi"/>
          <w:sz w:val="24"/>
          <w:szCs w:val="24"/>
        </w:rPr>
        <w:t>un</w:t>
      </w:r>
      <w:r w:rsidR="00864B74">
        <w:rPr>
          <w:rFonts w:asciiTheme="minorBidi" w:hAnsiTheme="minorBidi"/>
          <w:sz w:val="24"/>
          <w:szCs w:val="24"/>
        </w:rPr>
        <w:t>walled.</w:t>
      </w:r>
      <w:r w:rsidR="00864B74">
        <w:rPr>
          <w:rStyle w:val="FootnoteReference"/>
          <w:rFonts w:asciiTheme="minorBidi" w:hAnsiTheme="minorBidi"/>
          <w:sz w:val="24"/>
          <w:szCs w:val="24"/>
        </w:rPr>
        <w:footnoteReference w:id="8"/>
      </w:r>
      <w:r w:rsidR="0082547A">
        <w:rPr>
          <w:rFonts w:asciiTheme="minorBidi" w:hAnsiTheme="minorBidi"/>
          <w:sz w:val="24"/>
          <w:szCs w:val="24"/>
        </w:rPr>
        <w:t xml:space="preserve"> As we saw above, there were hundreds of walled sites at the time of Joshua, and since</w:t>
      </w:r>
      <w:r w:rsidR="00837BCC">
        <w:rPr>
          <w:rFonts w:asciiTheme="minorBidi" w:hAnsiTheme="minorBidi"/>
          <w:sz w:val="24"/>
          <w:szCs w:val="24"/>
        </w:rPr>
        <w:t xml:space="preserve"> according to the Talmud the adjacent suburbs of </w:t>
      </w:r>
      <w:r w:rsidR="0082547A">
        <w:rPr>
          <w:rFonts w:asciiTheme="minorBidi" w:hAnsiTheme="minorBidi"/>
          <w:sz w:val="24"/>
          <w:szCs w:val="24"/>
        </w:rPr>
        <w:t>each</w:t>
      </w:r>
      <w:r w:rsidR="00837BCC">
        <w:rPr>
          <w:rFonts w:asciiTheme="minorBidi" w:hAnsiTheme="minorBidi"/>
          <w:sz w:val="24"/>
          <w:szCs w:val="24"/>
        </w:rPr>
        <w:t xml:space="preserve"> walled city </w:t>
      </w:r>
      <w:r w:rsidR="008A21D5">
        <w:rPr>
          <w:rFonts w:asciiTheme="minorBidi" w:hAnsiTheme="minorBidi"/>
          <w:sz w:val="24"/>
          <w:szCs w:val="24"/>
        </w:rPr>
        <w:t xml:space="preserve">must celebrate </w:t>
      </w:r>
      <w:r w:rsidR="00837BCC">
        <w:rPr>
          <w:rFonts w:asciiTheme="minorBidi" w:hAnsiTheme="minorBidi"/>
          <w:sz w:val="24"/>
          <w:szCs w:val="24"/>
        </w:rPr>
        <w:t>Purim together with the city (</w:t>
      </w:r>
      <w:r w:rsidR="00837BCC">
        <w:rPr>
          <w:rFonts w:asciiTheme="minorBidi" w:hAnsiTheme="minorBidi"/>
          <w:i/>
          <w:iCs/>
          <w:sz w:val="24"/>
          <w:szCs w:val="24"/>
        </w:rPr>
        <w:t xml:space="preserve">Megilla </w:t>
      </w:r>
      <w:r w:rsidR="00837BCC">
        <w:rPr>
          <w:rFonts w:asciiTheme="minorBidi" w:hAnsiTheme="minorBidi"/>
          <w:sz w:val="24"/>
          <w:szCs w:val="24"/>
        </w:rPr>
        <w:t>2b)</w:t>
      </w:r>
      <w:r w:rsidR="0082547A">
        <w:rPr>
          <w:rFonts w:asciiTheme="minorBidi" w:hAnsiTheme="minorBidi"/>
          <w:sz w:val="24"/>
          <w:szCs w:val="24"/>
        </w:rPr>
        <w:t>, there must be</w:t>
      </w:r>
      <w:r w:rsidR="00837BCC">
        <w:rPr>
          <w:rFonts w:asciiTheme="minorBidi" w:hAnsiTheme="minorBidi"/>
          <w:sz w:val="24"/>
          <w:szCs w:val="24"/>
        </w:rPr>
        <w:t xml:space="preserve"> </w:t>
      </w:r>
      <w:r w:rsidR="0082547A">
        <w:rPr>
          <w:rFonts w:asciiTheme="minorBidi" w:hAnsiTheme="minorBidi"/>
          <w:sz w:val="24"/>
          <w:szCs w:val="24"/>
        </w:rPr>
        <w:t xml:space="preserve">hundreds of places throughout the land </w:t>
      </w:r>
      <w:r w:rsidR="001E0ED9">
        <w:rPr>
          <w:rFonts w:asciiTheme="minorBidi" w:hAnsiTheme="minorBidi"/>
          <w:sz w:val="24"/>
          <w:szCs w:val="24"/>
        </w:rPr>
        <w:t xml:space="preserve">today </w:t>
      </w:r>
      <w:r w:rsidR="0082547A">
        <w:rPr>
          <w:rFonts w:asciiTheme="minorBidi" w:hAnsiTheme="minorBidi"/>
          <w:sz w:val="24"/>
          <w:szCs w:val="24"/>
        </w:rPr>
        <w:t xml:space="preserve">whose residents </w:t>
      </w:r>
      <w:r w:rsidR="001E0ED9">
        <w:rPr>
          <w:rFonts w:asciiTheme="minorBidi" w:hAnsiTheme="minorBidi"/>
          <w:sz w:val="24"/>
          <w:szCs w:val="24"/>
        </w:rPr>
        <w:t xml:space="preserve">should </w:t>
      </w:r>
      <w:r w:rsidR="0082547A">
        <w:rPr>
          <w:rFonts w:asciiTheme="minorBidi" w:hAnsiTheme="minorBidi"/>
          <w:sz w:val="24"/>
          <w:szCs w:val="24"/>
        </w:rPr>
        <w:t>observe Purim on the fifteenth.</w:t>
      </w:r>
    </w:p>
    <w:p w:rsidR="0082547A" w:rsidRDefault="0082547A" w:rsidP="005F5148">
      <w:pPr>
        <w:spacing w:after="0" w:line="240" w:lineRule="auto"/>
        <w:jc w:val="both"/>
        <w:rPr>
          <w:rFonts w:asciiTheme="minorBidi" w:hAnsiTheme="minorBidi"/>
          <w:sz w:val="24"/>
          <w:szCs w:val="24"/>
        </w:rPr>
      </w:pPr>
    </w:p>
    <w:p w:rsidR="00DD77FD" w:rsidRDefault="0082547A" w:rsidP="005F5148">
      <w:pPr>
        <w:spacing w:after="0" w:line="240" w:lineRule="auto"/>
        <w:jc w:val="both"/>
        <w:rPr>
          <w:rFonts w:asciiTheme="minorBidi" w:hAnsiTheme="minorBidi"/>
          <w:sz w:val="24"/>
          <w:szCs w:val="24"/>
        </w:rPr>
      </w:pPr>
      <w:r>
        <w:rPr>
          <w:rFonts w:asciiTheme="minorBidi" w:hAnsiTheme="minorBidi"/>
          <w:sz w:val="24"/>
          <w:szCs w:val="24"/>
        </w:rPr>
        <w:tab/>
      </w:r>
      <w:r w:rsidR="00456C6F">
        <w:rPr>
          <w:rFonts w:asciiTheme="minorBidi" w:hAnsiTheme="minorBidi"/>
          <w:sz w:val="24"/>
          <w:szCs w:val="24"/>
        </w:rPr>
        <w:t xml:space="preserve">However, in </w:t>
      </w:r>
      <w:r>
        <w:rPr>
          <w:rFonts w:asciiTheme="minorBidi" w:hAnsiTheme="minorBidi"/>
          <w:sz w:val="24"/>
          <w:szCs w:val="24"/>
        </w:rPr>
        <w:t xml:space="preserve">today’s reality, only Jerusalem (including its outlying neighborhoods) </w:t>
      </w:r>
      <w:r w:rsidR="00DD77FD">
        <w:rPr>
          <w:rFonts w:asciiTheme="minorBidi" w:hAnsiTheme="minorBidi"/>
          <w:sz w:val="24"/>
          <w:szCs w:val="24"/>
        </w:rPr>
        <w:t>has retained its identity as a walled city in this regard, its residents observing</w:t>
      </w:r>
      <w:r>
        <w:rPr>
          <w:rFonts w:asciiTheme="minorBidi" w:hAnsiTheme="minorBidi"/>
          <w:sz w:val="24"/>
          <w:szCs w:val="24"/>
        </w:rPr>
        <w:t xml:space="preserve"> </w:t>
      </w:r>
      <w:r w:rsidR="00B240FB">
        <w:rPr>
          <w:rFonts w:asciiTheme="minorBidi" w:hAnsiTheme="minorBidi"/>
          <w:sz w:val="24"/>
          <w:szCs w:val="24"/>
        </w:rPr>
        <w:t>Purim on the fifteenth of Adar</w:t>
      </w:r>
      <w:r w:rsidR="00DD77FD">
        <w:rPr>
          <w:rFonts w:asciiTheme="minorBidi" w:hAnsiTheme="minorBidi"/>
          <w:sz w:val="24"/>
          <w:szCs w:val="24"/>
        </w:rPr>
        <w:t xml:space="preserve"> alone. There are other places where residents observe Purim on both days due to “uncertainty,” and in most of these places the main celebrations generally take place on the first day in practice. On the second day – the fifteenth of Adar – they suffice with reading the </w:t>
      </w:r>
      <w:r w:rsidR="00DD77FD">
        <w:rPr>
          <w:rFonts w:asciiTheme="minorBidi" w:hAnsiTheme="minorBidi"/>
          <w:i/>
          <w:iCs/>
          <w:sz w:val="24"/>
          <w:szCs w:val="24"/>
        </w:rPr>
        <w:t>megilla</w:t>
      </w:r>
      <w:r w:rsidR="00DD77FD">
        <w:rPr>
          <w:rFonts w:asciiTheme="minorBidi" w:hAnsiTheme="minorBidi"/>
          <w:sz w:val="24"/>
          <w:szCs w:val="24"/>
        </w:rPr>
        <w:t xml:space="preserve"> without reciting a blessing, in order to discharge their obligation.</w:t>
      </w:r>
      <w:r w:rsidR="00DD77FD">
        <w:rPr>
          <w:rStyle w:val="FootnoteReference"/>
          <w:rFonts w:asciiTheme="minorBidi" w:hAnsiTheme="minorBidi"/>
          <w:sz w:val="24"/>
          <w:szCs w:val="24"/>
        </w:rPr>
        <w:footnoteReference w:id="9"/>
      </w:r>
      <w:r w:rsidR="00DD77FD">
        <w:rPr>
          <w:rFonts w:asciiTheme="minorBidi" w:hAnsiTheme="minorBidi"/>
          <w:sz w:val="24"/>
          <w:szCs w:val="24"/>
        </w:rPr>
        <w:t xml:space="preserve"> We are fortunate </w:t>
      </w:r>
      <w:r w:rsidR="00A264E3">
        <w:rPr>
          <w:rFonts w:asciiTheme="minorBidi" w:hAnsiTheme="minorBidi"/>
          <w:sz w:val="24"/>
          <w:szCs w:val="24"/>
        </w:rPr>
        <w:t xml:space="preserve">that many famous ancient cities in the land of Israel have experienced a great revival in </w:t>
      </w:r>
      <w:r w:rsidR="00456C6F">
        <w:rPr>
          <w:rFonts w:asciiTheme="minorBidi" w:hAnsiTheme="minorBidi"/>
          <w:sz w:val="24"/>
          <w:szCs w:val="24"/>
        </w:rPr>
        <w:t>our generation</w:t>
      </w:r>
      <w:r w:rsidR="00A264E3">
        <w:rPr>
          <w:rFonts w:asciiTheme="minorBidi" w:hAnsiTheme="minorBidi"/>
          <w:sz w:val="24"/>
          <w:szCs w:val="24"/>
        </w:rPr>
        <w:t>, and are now settled by members of the nation of Israel in and around their ancient sites. (These include</w:t>
      </w:r>
      <w:r w:rsidR="001E0ED9">
        <w:rPr>
          <w:rFonts w:asciiTheme="minorBidi" w:hAnsiTheme="minorBidi"/>
          <w:sz w:val="24"/>
          <w:szCs w:val="24"/>
        </w:rPr>
        <w:t>,</w:t>
      </w:r>
      <w:r w:rsidR="00456C6F">
        <w:rPr>
          <w:rFonts w:asciiTheme="minorBidi" w:hAnsiTheme="minorBidi"/>
          <w:sz w:val="24"/>
          <w:szCs w:val="24"/>
        </w:rPr>
        <w:t xml:space="preserve"> for instance</w:t>
      </w:r>
      <w:r w:rsidR="001E0ED9">
        <w:rPr>
          <w:rFonts w:asciiTheme="minorBidi" w:hAnsiTheme="minorBidi"/>
          <w:sz w:val="24"/>
          <w:szCs w:val="24"/>
        </w:rPr>
        <w:t>,</w:t>
      </w:r>
      <w:r w:rsidR="00A264E3">
        <w:rPr>
          <w:rFonts w:asciiTheme="minorBidi" w:hAnsiTheme="minorBidi"/>
          <w:sz w:val="24"/>
          <w:szCs w:val="24"/>
        </w:rPr>
        <w:t xml:space="preserve"> Beit Shemesh, Beit She’an, Beersheba, Ashkelon, Acre and Yehud.) Quite surprisingly, for various reasons, these places observe Purim as unwalled cities – on the fourteenth of Adar alone. To be sure, we can cling to halakhic technicalities such as uncertainty of a city’s precise location, the question of “the city was destroyed, </w:t>
      </w:r>
      <w:r w:rsidR="00456C6F">
        <w:rPr>
          <w:rFonts w:asciiTheme="minorBidi" w:hAnsiTheme="minorBidi"/>
          <w:sz w:val="24"/>
          <w:szCs w:val="24"/>
        </w:rPr>
        <w:t>or</w:t>
      </w:r>
      <w:r w:rsidR="00FD2CB2">
        <w:rPr>
          <w:rFonts w:asciiTheme="minorBidi" w:hAnsiTheme="minorBidi"/>
          <w:sz w:val="24"/>
          <w:szCs w:val="24"/>
        </w:rPr>
        <w:t xml:space="preserve"> </w:t>
      </w:r>
      <w:r w:rsidR="004516FD">
        <w:rPr>
          <w:rFonts w:asciiTheme="minorBidi" w:hAnsiTheme="minorBidi"/>
          <w:sz w:val="24"/>
          <w:szCs w:val="24"/>
        </w:rPr>
        <w:t>became [possessed by] non-Jews,” etc. But at the end of the day the result cannot be right; it cannot be that the law of walled cities has practically disappeared from the face of the earth. It cannot be that out of the hundreds of walled cities that existed in the land, only Jerusalem has survived – as though the law of walled cities is just another byproduct of the sanctity of Jerusalem.</w:t>
      </w:r>
    </w:p>
    <w:p w:rsidR="004516FD" w:rsidRDefault="004516FD" w:rsidP="005F5148">
      <w:pPr>
        <w:spacing w:after="0" w:line="240" w:lineRule="auto"/>
        <w:jc w:val="both"/>
        <w:rPr>
          <w:rFonts w:asciiTheme="minorBidi" w:hAnsiTheme="minorBidi"/>
          <w:sz w:val="24"/>
          <w:szCs w:val="24"/>
        </w:rPr>
      </w:pPr>
    </w:p>
    <w:p w:rsidR="004516FD" w:rsidRPr="00DC0954" w:rsidRDefault="004516FD" w:rsidP="005F5148">
      <w:pPr>
        <w:spacing w:after="0" w:line="240" w:lineRule="auto"/>
        <w:jc w:val="both"/>
        <w:rPr>
          <w:rFonts w:asciiTheme="minorBidi" w:hAnsiTheme="minorBidi"/>
          <w:sz w:val="24"/>
          <w:szCs w:val="24"/>
        </w:rPr>
      </w:pPr>
      <w:r>
        <w:rPr>
          <w:rFonts w:asciiTheme="minorBidi" w:hAnsiTheme="minorBidi"/>
          <w:sz w:val="24"/>
          <w:szCs w:val="24"/>
        </w:rPr>
        <w:tab/>
        <w:t>Years ago, I wrote several articles addressing this question, which piqued the interest of the Torah luminaries at the time. In 1980, I proposed suggestions with respect to the new settlements that had been established during that period of time (Beit El, Shiloh, Mevo Horon, Shavei Shomron, Giv’on and Kiryat Ye’arim “Telz Stone”)</w:t>
      </w:r>
      <w:r w:rsidR="00DC0954">
        <w:rPr>
          <w:rFonts w:asciiTheme="minorBidi" w:hAnsiTheme="minorBidi"/>
          <w:sz w:val="24"/>
          <w:szCs w:val="24"/>
        </w:rPr>
        <w:t xml:space="preserve">, and in 1988 I wrote an extensive article proposing that residents of the city of Lod observe Purim on the fifteenth of Adar, like in Jerusalem. The chief rabbi of Lod, Rabbi Nathan Ortner, supported my line of reasoning, albeit with certain reservations regarding the complete elimination of observance on the fourteenth. Rabbi Ortner indeed went on to implement the observance of Purim in Lod on both days. I was personally invited several times to lecture on the topic in Lod before audiences of </w:t>
      </w:r>
      <w:r w:rsidR="00FD2CB2">
        <w:rPr>
          <w:rFonts w:asciiTheme="minorBidi" w:hAnsiTheme="minorBidi"/>
          <w:sz w:val="24"/>
          <w:szCs w:val="24"/>
        </w:rPr>
        <w:t xml:space="preserve">rabbis and </w:t>
      </w:r>
      <w:r w:rsidR="00DC0954">
        <w:rPr>
          <w:rFonts w:asciiTheme="minorBidi" w:hAnsiTheme="minorBidi"/>
          <w:sz w:val="24"/>
          <w:szCs w:val="24"/>
        </w:rPr>
        <w:t xml:space="preserve">Torah </w:t>
      </w:r>
      <w:r w:rsidR="00FD2CB2">
        <w:rPr>
          <w:rFonts w:asciiTheme="minorBidi" w:hAnsiTheme="minorBidi"/>
          <w:sz w:val="24"/>
          <w:szCs w:val="24"/>
        </w:rPr>
        <w:t xml:space="preserve">students </w:t>
      </w:r>
      <w:r w:rsidR="00DC0954">
        <w:rPr>
          <w:rFonts w:asciiTheme="minorBidi" w:hAnsiTheme="minorBidi"/>
          <w:sz w:val="24"/>
          <w:szCs w:val="24"/>
        </w:rPr>
        <w:t xml:space="preserve">in several of the city’s </w:t>
      </w:r>
      <w:r w:rsidR="00DC0954">
        <w:rPr>
          <w:rFonts w:asciiTheme="minorBidi" w:hAnsiTheme="minorBidi"/>
          <w:i/>
          <w:iCs/>
          <w:sz w:val="24"/>
          <w:szCs w:val="24"/>
        </w:rPr>
        <w:t>batei midrash</w:t>
      </w:r>
      <w:r w:rsidR="00DC0954">
        <w:rPr>
          <w:rFonts w:asciiTheme="minorBidi" w:hAnsiTheme="minorBidi"/>
          <w:sz w:val="24"/>
          <w:szCs w:val="24"/>
        </w:rPr>
        <w:t xml:space="preserve">. In Beit Shemesh and in Ramat Beit Shemesh (which is adjacent to Tel Yarmuth – among the central cities in the time of Joshua) there has been </w:t>
      </w:r>
      <w:r w:rsidR="0098721F">
        <w:rPr>
          <w:rFonts w:asciiTheme="minorBidi" w:hAnsiTheme="minorBidi"/>
          <w:sz w:val="24"/>
          <w:szCs w:val="24"/>
        </w:rPr>
        <w:t xml:space="preserve">a movement in recent years to observe Purim (with all its attendant </w:t>
      </w:r>
      <w:r w:rsidR="0098721F">
        <w:rPr>
          <w:rFonts w:asciiTheme="minorBidi" w:hAnsiTheme="minorBidi"/>
          <w:i/>
          <w:iCs/>
          <w:sz w:val="24"/>
          <w:szCs w:val="24"/>
        </w:rPr>
        <w:t>halakhot</w:t>
      </w:r>
      <w:r w:rsidR="0098721F">
        <w:rPr>
          <w:rFonts w:asciiTheme="minorBidi" w:hAnsiTheme="minorBidi"/>
          <w:sz w:val="24"/>
          <w:szCs w:val="24"/>
        </w:rPr>
        <w:t>)</w:t>
      </w:r>
      <w:r w:rsidR="0098721F">
        <w:rPr>
          <w:rFonts w:asciiTheme="minorBidi" w:hAnsiTheme="minorBidi"/>
          <w:i/>
          <w:iCs/>
          <w:sz w:val="24"/>
          <w:szCs w:val="24"/>
        </w:rPr>
        <w:t xml:space="preserve"> </w:t>
      </w:r>
      <w:r w:rsidR="0098721F">
        <w:rPr>
          <w:rFonts w:asciiTheme="minorBidi" w:hAnsiTheme="minorBidi"/>
          <w:sz w:val="24"/>
          <w:szCs w:val="24"/>
        </w:rPr>
        <w:t>on both days, and the same practice has begun to take root in</w:t>
      </w:r>
      <w:r w:rsidR="00FD2CB2">
        <w:rPr>
          <w:rFonts w:asciiTheme="minorBidi" w:hAnsiTheme="minorBidi"/>
          <w:sz w:val="24"/>
          <w:szCs w:val="24"/>
        </w:rPr>
        <w:t xml:space="preserve"> Beersheba and</w:t>
      </w:r>
      <w:r w:rsidR="0098721F">
        <w:rPr>
          <w:rFonts w:asciiTheme="minorBidi" w:hAnsiTheme="minorBidi"/>
          <w:sz w:val="24"/>
          <w:szCs w:val="24"/>
        </w:rPr>
        <w:t xml:space="preserve"> other places as well. Recently, most of the contemporary halakhic discussions on this topic were collected and recorded in a book by Rabbi Yehuda Zoldan. At the end of the day, despite the fact that observance of Purim on the </w:t>
      </w:r>
      <w:r w:rsidR="0098721F">
        <w:rPr>
          <w:rFonts w:asciiTheme="minorBidi" w:hAnsiTheme="minorBidi"/>
          <w:sz w:val="24"/>
          <w:szCs w:val="24"/>
        </w:rPr>
        <w:lastRenderedPageBreak/>
        <w:t>fifteenth day alone continues to prevail only in Jerusalem, there has nonetheless been a resurgence throughout Israel of awareness of this issue, and of the desire to return the walled cities of Israel to their former glory.</w:t>
      </w:r>
    </w:p>
    <w:p w:rsidR="00551F9E" w:rsidRPr="00551F9E" w:rsidRDefault="00551F9E" w:rsidP="005F5148">
      <w:pPr>
        <w:spacing w:after="0" w:line="240" w:lineRule="auto"/>
        <w:jc w:val="both"/>
        <w:rPr>
          <w:rFonts w:asciiTheme="minorBidi" w:hAnsiTheme="minorBidi"/>
          <w:sz w:val="24"/>
          <w:szCs w:val="24"/>
        </w:rPr>
      </w:pPr>
    </w:p>
    <w:p w:rsidR="00497E30" w:rsidRDefault="00497E30" w:rsidP="005F5148">
      <w:pPr>
        <w:spacing w:after="0" w:line="240" w:lineRule="auto"/>
        <w:jc w:val="both"/>
        <w:rPr>
          <w:rFonts w:asciiTheme="minorBidi" w:hAnsiTheme="minorBidi"/>
          <w:sz w:val="24"/>
          <w:szCs w:val="24"/>
        </w:rPr>
      </w:pPr>
    </w:p>
    <w:p w:rsidR="002E5FA5" w:rsidRPr="000C1970" w:rsidRDefault="002E5FA5" w:rsidP="005F5148">
      <w:pPr>
        <w:spacing w:after="0" w:line="240" w:lineRule="auto"/>
        <w:jc w:val="both"/>
        <w:outlineLvl w:val="0"/>
        <w:rPr>
          <w:rFonts w:asciiTheme="minorBidi" w:hAnsiTheme="minorBidi"/>
          <w:b/>
          <w:bCs/>
          <w:sz w:val="24"/>
          <w:szCs w:val="24"/>
        </w:rPr>
      </w:pPr>
      <w:r w:rsidRPr="000C1970">
        <w:rPr>
          <w:rFonts w:asciiTheme="minorBidi" w:hAnsiTheme="minorBidi"/>
          <w:b/>
          <w:bCs/>
          <w:sz w:val="24"/>
          <w:szCs w:val="24"/>
        </w:rPr>
        <w:t>For further study:</w:t>
      </w:r>
    </w:p>
    <w:p w:rsidR="002E5FA5" w:rsidRDefault="002E5FA5" w:rsidP="005F5148">
      <w:pPr>
        <w:spacing w:after="0" w:line="240" w:lineRule="auto"/>
        <w:jc w:val="both"/>
        <w:rPr>
          <w:rFonts w:asciiTheme="minorBidi" w:hAnsiTheme="minorBidi"/>
          <w:sz w:val="24"/>
          <w:szCs w:val="24"/>
        </w:rPr>
      </w:pPr>
    </w:p>
    <w:p w:rsidR="007940BA" w:rsidRDefault="007940BA" w:rsidP="005F5148">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 xml:space="preserve">D. Adan-Bayewitz, </w:t>
      </w:r>
      <w:r w:rsidR="0098721F">
        <w:rPr>
          <w:rFonts w:asciiTheme="minorBidi" w:hAnsiTheme="minorBidi"/>
          <w:sz w:val="24"/>
          <w:szCs w:val="24"/>
        </w:rPr>
        <w:t>“The Tannaitic List of ‘Walled Cities’ and the Archaeological-Historical Evidence from Iotapata and Gamla</w:t>
      </w:r>
      <w:r>
        <w:rPr>
          <w:rFonts w:asciiTheme="minorBidi" w:hAnsiTheme="minorBidi"/>
          <w:sz w:val="24"/>
          <w:szCs w:val="24"/>
        </w:rPr>
        <w:t>,</w:t>
      </w:r>
      <w:r w:rsidR="0098721F">
        <w:rPr>
          <w:rFonts w:asciiTheme="minorBidi" w:hAnsiTheme="minorBidi"/>
          <w:sz w:val="24"/>
          <w:szCs w:val="24"/>
        </w:rPr>
        <w:t>”</w:t>
      </w:r>
      <w:r>
        <w:rPr>
          <w:rFonts w:asciiTheme="minorBidi" w:hAnsiTheme="minorBidi"/>
          <w:sz w:val="24"/>
          <w:szCs w:val="24"/>
        </w:rPr>
        <w:t xml:space="preserve"> </w:t>
      </w:r>
      <w:r>
        <w:rPr>
          <w:rFonts w:asciiTheme="minorBidi" w:hAnsiTheme="minorBidi"/>
          <w:i/>
          <w:iCs/>
          <w:sz w:val="24"/>
          <w:szCs w:val="24"/>
        </w:rPr>
        <w:t>Tarbiz</w:t>
      </w:r>
      <w:r w:rsidR="0098721F">
        <w:rPr>
          <w:rFonts w:asciiTheme="minorBidi" w:hAnsiTheme="minorBidi"/>
          <w:sz w:val="24"/>
          <w:szCs w:val="24"/>
        </w:rPr>
        <w:t xml:space="preserve"> 66 (1996-1997</w:t>
      </w:r>
      <w:r>
        <w:rPr>
          <w:rFonts w:asciiTheme="minorBidi" w:hAnsiTheme="minorBidi"/>
          <w:sz w:val="24"/>
          <w:szCs w:val="24"/>
        </w:rPr>
        <w:t>), 449-470 [Hebrew].</w:t>
      </w:r>
    </w:p>
    <w:p w:rsidR="00804F57" w:rsidRDefault="00804F57" w:rsidP="005F5148">
      <w:pPr>
        <w:autoSpaceDE w:val="0"/>
        <w:autoSpaceDN w:val="0"/>
        <w:adjustRightInd w:val="0"/>
        <w:spacing w:after="0" w:line="240" w:lineRule="auto"/>
        <w:ind w:left="720" w:hanging="720"/>
        <w:jc w:val="both"/>
        <w:rPr>
          <w:rFonts w:asciiTheme="minorBidi" w:hAnsiTheme="minorBidi"/>
          <w:sz w:val="24"/>
          <w:szCs w:val="24"/>
        </w:rPr>
      </w:pPr>
    </w:p>
    <w:p w:rsidR="001E0ED9" w:rsidRDefault="001E0ED9" w:rsidP="005F5148">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 xml:space="preserve">Y. Aharoni, </w:t>
      </w:r>
      <w:r>
        <w:rPr>
          <w:rFonts w:asciiTheme="minorBidi" w:hAnsiTheme="minorBidi"/>
          <w:i/>
          <w:iCs/>
          <w:sz w:val="24"/>
          <w:szCs w:val="24"/>
        </w:rPr>
        <w:t>The Settlement of the Israelite Tribes in the Upper Galilee</w:t>
      </w:r>
      <w:r>
        <w:rPr>
          <w:rFonts w:asciiTheme="minorBidi" w:hAnsiTheme="minorBidi"/>
          <w:sz w:val="24"/>
          <w:szCs w:val="24"/>
        </w:rPr>
        <w:t>, Jerusalem 1957 [Hebrew].</w:t>
      </w:r>
    </w:p>
    <w:p w:rsidR="001E0ED9" w:rsidRDefault="001E0ED9" w:rsidP="005F5148">
      <w:pPr>
        <w:autoSpaceDE w:val="0"/>
        <w:autoSpaceDN w:val="0"/>
        <w:adjustRightInd w:val="0"/>
        <w:spacing w:after="0" w:line="240" w:lineRule="auto"/>
        <w:ind w:left="720" w:hanging="720"/>
        <w:jc w:val="both"/>
        <w:rPr>
          <w:rFonts w:asciiTheme="minorBidi" w:hAnsiTheme="minorBidi"/>
          <w:sz w:val="24"/>
          <w:szCs w:val="24"/>
        </w:rPr>
      </w:pPr>
    </w:p>
    <w:p w:rsidR="00804F57" w:rsidRPr="00804F57" w:rsidRDefault="00804F57" w:rsidP="005F5148">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 xml:space="preserve">Y. Aharoni, </w:t>
      </w:r>
      <w:r>
        <w:rPr>
          <w:rFonts w:asciiTheme="minorBidi" w:hAnsiTheme="minorBidi"/>
          <w:i/>
          <w:iCs/>
          <w:sz w:val="24"/>
          <w:szCs w:val="24"/>
        </w:rPr>
        <w:t>The Land of the Bible</w:t>
      </w:r>
      <w:r>
        <w:rPr>
          <w:rFonts w:asciiTheme="minorBidi" w:hAnsiTheme="minorBidi"/>
          <w:sz w:val="24"/>
          <w:szCs w:val="24"/>
        </w:rPr>
        <w:t xml:space="preserve"> (trans. </w:t>
      </w:r>
      <w:r w:rsidR="001E0ED9">
        <w:rPr>
          <w:rFonts w:asciiTheme="minorBidi" w:hAnsiTheme="minorBidi"/>
          <w:sz w:val="24"/>
          <w:szCs w:val="24"/>
        </w:rPr>
        <w:t>a</w:t>
      </w:r>
      <w:r>
        <w:rPr>
          <w:rFonts w:asciiTheme="minorBidi" w:hAnsiTheme="minorBidi"/>
          <w:sz w:val="24"/>
          <w:szCs w:val="24"/>
        </w:rPr>
        <w:t>nd ed. A. F. Rainey), Philadelphia 1979, 220.</w:t>
      </w:r>
    </w:p>
    <w:p w:rsidR="00064F71" w:rsidRPr="00064F71" w:rsidRDefault="00064F71" w:rsidP="005F5148">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 xml:space="preserve">E. Ben-David, </w:t>
      </w:r>
      <w:r>
        <w:rPr>
          <w:rFonts w:asciiTheme="minorBidi" w:hAnsiTheme="minorBidi"/>
          <w:i/>
          <w:iCs/>
          <w:sz w:val="24"/>
          <w:szCs w:val="24"/>
        </w:rPr>
        <w:t xml:space="preserve">Purim </w:t>
      </w:r>
      <w:r w:rsidR="001E0ED9">
        <w:rPr>
          <w:rFonts w:asciiTheme="minorBidi" w:hAnsiTheme="minorBidi"/>
          <w:i/>
          <w:iCs/>
          <w:sz w:val="24"/>
          <w:szCs w:val="24"/>
        </w:rPr>
        <w:t>D</w:t>
      </w:r>
      <w:r>
        <w:rPr>
          <w:rFonts w:asciiTheme="minorBidi" w:hAnsiTheme="minorBidi"/>
          <w:i/>
          <w:iCs/>
          <w:sz w:val="24"/>
          <w:szCs w:val="24"/>
        </w:rPr>
        <w:t>e-Mu</w:t>
      </w:r>
      <w:r w:rsidR="001E0ED9">
        <w:rPr>
          <w:rFonts w:asciiTheme="minorBidi" w:hAnsiTheme="minorBidi"/>
          <w:i/>
          <w:iCs/>
          <w:sz w:val="24"/>
          <w:szCs w:val="24"/>
        </w:rPr>
        <w:t>k</w:t>
      </w:r>
      <w:r>
        <w:rPr>
          <w:rFonts w:asciiTheme="minorBidi" w:hAnsiTheme="minorBidi"/>
          <w:i/>
          <w:iCs/>
          <w:sz w:val="24"/>
          <w:szCs w:val="24"/>
        </w:rPr>
        <w:t xml:space="preserve">afin </w:t>
      </w:r>
      <w:r w:rsidR="001E0ED9">
        <w:rPr>
          <w:rFonts w:asciiTheme="minorBidi" w:hAnsiTheme="minorBidi"/>
          <w:i/>
          <w:iCs/>
          <w:sz w:val="24"/>
          <w:szCs w:val="24"/>
        </w:rPr>
        <w:t>B</w:t>
      </w:r>
      <w:r>
        <w:rPr>
          <w:rFonts w:asciiTheme="minorBidi" w:hAnsiTheme="minorBidi"/>
          <w:i/>
          <w:iCs/>
          <w:sz w:val="24"/>
          <w:szCs w:val="24"/>
        </w:rPr>
        <w:t>i-Be</w:t>
      </w:r>
      <w:r w:rsidR="001E0ED9">
        <w:rPr>
          <w:rFonts w:asciiTheme="minorBidi" w:hAnsiTheme="minorBidi"/>
          <w:i/>
          <w:iCs/>
          <w:sz w:val="24"/>
          <w:szCs w:val="24"/>
        </w:rPr>
        <w:t>’</w:t>
      </w:r>
      <w:r>
        <w:rPr>
          <w:rFonts w:asciiTheme="minorBidi" w:hAnsiTheme="minorBidi"/>
          <w:i/>
          <w:iCs/>
          <w:sz w:val="24"/>
          <w:szCs w:val="24"/>
        </w:rPr>
        <w:t>er Sheva</w:t>
      </w:r>
      <w:r>
        <w:rPr>
          <w:rFonts w:asciiTheme="minorBidi" w:hAnsiTheme="minorBidi"/>
          <w:sz w:val="24"/>
          <w:szCs w:val="24"/>
        </w:rPr>
        <w:t xml:space="preserve">, Beersheba </w:t>
      </w:r>
      <w:r w:rsidR="001E0ED9">
        <w:rPr>
          <w:rFonts w:asciiTheme="minorBidi" w:hAnsiTheme="minorBidi"/>
          <w:sz w:val="24"/>
          <w:szCs w:val="24"/>
        </w:rPr>
        <w:t>2011</w:t>
      </w:r>
      <w:r>
        <w:rPr>
          <w:rFonts w:asciiTheme="minorBidi" w:hAnsiTheme="minorBidi"/>
          <w:sz w:val="24"/>
          <w:szCs w:val="24"/>
        </w:rPr>
        <w:t xml:space="preserve"> [Hebrew].</w:t>
      </w:r>
    </w:p>
    <w:p w:rsidR="007940BA" w:rsidRDefault="007940BA" w:rsidP="005F5148">
      <w:pPr>
        <w:autoSpaceDE w:val="0"/>
        <w:autoSpaceDN w:val="0"/>
        <w:adjustRightInd w:val="0"/>
        <w:spacing w:after="0" w:line="240" w:lineRule="auto"/>
        <w:ind w:left="720" w:hanging="720"/>
        <w:jc w:val="both"/>
        <w:rPr>
          <w:rFonts w:asciiTheme="minorBidi" w:hAnsiTheme="minorBidi"/>
          <w:sz w:val="24"/>
          <w:szCs w:val="24"/>
        </w:rPr>
      </w:pPr>
    </w:p>
    <w:p w:rsidR="007940BA" w:rsidRDefault="007940BA" w:rsidP="005F5148">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 xml:space="preserve">G. Dalman, </w:t>
      </w:r>
      <w:r>
        <w:rPr>
          <w:rFonts w:asciiTheme="minorBidi" w:hAnsiTheme="minorBidi"/>
          <w:i/>
          <w:iCs/>
          <w:sz w:val="24"/>
          <w:szCs w:val="24"/>
        </w:rPr>
        <w:t>Sacred Sites and Ways</w:t>
      </w:r>
      <w:r>
        <w:rPr>
          <w:rFonts w:asciiTheme="minorBidi" w:hAnsiTheme="minorBidi"/>
          <w:sz w:val="24"/>
          <w:szCs w:val="24"/>
        </w:rPr>
        <w:t>, trans. P. P. Levertoff, London 1935, 9.</w:t>
      </w:r>
    </w:p>
    <w:p w:rsidR="007940BA" w:rsidRPr="007940BA" w:rsidRDefault="007940BA" w:rsidP="005F5148">
      <w:pPr>
        <w:autoSpaceDE w:val="0"/>
        <w:autoSpaceDN w:val="0"/>
        <w:adjustRightInd w:val="0"/>
        <w:spacing w:after="0" w:line="240" w:lineRule="auto"/>
        <w:ind w:left="720" w:hanging="720"/>
        <w:jc w:val="both"/>
        <w:rPr>
          <w:rFonts w:asciiTheme="minorBidi" w:hAnsiTheme="minorBidi"/>
          <w:sz w:val="24"/>
          <w:szCs w:val="24"/>
        </w:rPr>
      </w:pPr>
    </w:p>
    <w:p w:rsidR="007940BA" w:rsidRPr="00405E14" w:rsidRDefault="007940BA" w:rsidP="005F5148">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Yoel Elitzur,</w:t>
      </w:r>
      <w:r w:rsidR="00405E14">
        <w:rPr>
          <w:rFonts w:asciiTheme="minorBidi" w:hAnsiTheme="minorBidi"/>
          <w:sz w:val="24"/>
          <w:szCs w:val="24"/>
        </w:rPr>
        <w:t xml:space="preserve"> “Time of Purim in the New Settlements,” </w:t>
      </w:r>
      <w:r w:rsidR="00405E14">
        <w:rPr>
          <w:rFonts w:asciiTheme="minorBidi" w:hAnsiTheme="minorBidi"/>
          <w:i/>
          <w:iCs/>
          <w:sz w:val="24"/>
          <w:szCs w:val="24"/>
        </w:rPr>
        <w:t>Shana be-Shana</w:t>
      </w:r>
      <w:r w:rsidR="00405E14">
        <w:rPr>
          <w:rFonts w:asciiTheme="minorBidi" w:hAnsiTheme="minorBidi"/>
          <w:sz w:val="24"/>
          <w:szCs w:val="24"/>
        </w:rPr>
        <w:t xml:space="preserve"> </w:t>
      </w:r>
      <w:r w:rsidR="00D618CF">
        <w:rPr>
          <w:rFonts w:asciiTheme="minorBidi" w:hAnsiTheme="minorBidi"/>
          <w:sz w:val="24"/>
          <w:szCs w:val="24"/>
        </w:rPr>
        <w:t>1980, 268-279 [Hebrew].</w:t>
      </w:r>
    </w:p>
    <w:p w:rsidR="007940BA" w:rsidRDefault="007940BA" w:rsidP="005F5148">
      <w:pPr>
        <w:autoSpaceDE w:val="0"/>
        <w:autoSpaceDN w:val="0"/>
        <w:adjustRightInd w:val="0"/>
        <w:spacing w:after="0" w:line="240" w:lineRule="auto"/>
        <w:ind w:left="720" w:hanging="720"/>
        <w:jc w:val="both"/>
        <w:rPr>
          <w:rFonts w:asciiTheme="minorBidi" w:hAnsiTheme="minorBidi"/>
          <w:sz w:val="24"/>
          <w:szCs w:val="24"/>
        </w:rPr>
      </w:pPr>
    </w:p>
    <w:p w:rsidR="007940BA" w:rsidRDefault="007940BA" w:rsidP="005F5148">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 xml:space="preserve">Yoel Elitzur, </w:t>
      </w:r>
      <w:r w:rsidR="00F3274E">
        <w:rPr>
          <w:rFonts w:asciiTheme="minorBidi" w:hAnsiTheme="minorBidi"/>
          <w:sz w:val="24"/>
          <w:szCs w:val="24"/>
        </w:rPr>
        <w:t xml:space="preserve">“When Purim Should Be Celebrated in Beit El and the Army Camps Around It,” </w:t>
      </w:r>
      <w:r w:rsidR="00F3274E">
        <w:rPr>
          <w:rFonts w:asciiTheme="minorBidi" w:hAnsiTheme="minorBidi"/>
          <w:i/>
          <w:iCs/>
          <w:sz w:val="24"/>
          <w:szCs w:val="24"/>
        </w:rPr>
        <w:t xml:space="preserve">Tehumin </w:t>
      </w:r>
      <w:r w:rsidR="00F3274E">
        <w:rPr>
          <w:rFonts w:asciiTheme="minorBidi" w:hAnsiTheme="minorBidi"/>
          <w:sz w:val="24"/>
          <w:szCs w:val="24"/>
        </w:rPr>
        <w:t>1 (1980), 109-136 [Hebrew].</w:t>
      </w:r>
    </w:p>
    <w:p w:rsidR="00D618CF" w:rsidRDefault="00D618CF" w:rsidP="005F5148">
      <w:pPr>
        <w:autoSpaceDE w:val="0"/>
        <w:autoSpaceDN w:val="0"/>
        <w:adjustRightInd w:val="0"/>
        <w:spacing w:after="0" w:line="240" w:lineRule="auto"/>
        <w:ind w:left="720" w:hanging="720"/>
        <w:jc w:val="both"/>
        <w:rPr>
          <w:rFonts w:asciiTheme="minorBidi" w:hAnsiTheme="minorBidi"/>
          <w:sz w:val="24"/>
          <w:szCs w:val="24"/>
        </w:rPr>
      </w:pPr>
    </w:p>
    <w:p w:rsidR="00D618CF" w:rsidRDefault="00D618CF" w:rsidP="005F5148">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 xml:space="preserve">Yoel Elitzur, </w:t>
      </w:r>
      <w:r>
        <w:rPr>
          <w:rFonts w:asciiTheme="minorBidi" w:hAnsiTheme="minorBidi"/>
          <w:i/>
          <w:iCs/>
          <w:sz w:val="24"/>
          <w:szCs w:val="24"/>
        </w:rPr>
        <w:t>Ancient Place Names in the</w:t>
      </w:r>
      <w:r>
        <w:rPr>
          <w:rFonts w:asciiTheme="minorBidi" w:hAnsiTheme="minorBidi"/>
          <w:sz w:val="24"/>
          <w:szCs w:val="24"/>
        </w:rPr>
        <w:t xml:space="preserve"> </w:t>
      </w:r>
      <w:r>
        <w:rPr>
          <w:rFonts w:asciiTheme="minorBidi" w:hAnsiTheme="minorBidi"/>
          <w:i/>
          <w:iCs/>
          <w:sz w:val="24"/>
          <w:szCs w:val="24"/>
        </w:rPr>
        <w:t>Holy Land</w:t>
      </w:r>
      <w:r>
        <w:rPr>
          <w:rFonts w:asciiTheme="minorBidi" w:hAnsiTheme="minorBidi"/>
          <w:sz w:val="24"/>
          <w:szCs w:val="24"/>
        </w:rPr>
        <w:t>, Jerusalem-Winona Lake 2004, 139 and references there.</w:t>
      </w:r>
    </w:p>
    <w:p w:rsidR="00D618CF" w:rsidRPr="00F3274E" w:rsidRDefault="00D618CF" w:rsidP="005F5148">
      <w:pPr>
        <w:autoSpaceDE w:val="0"/>
        <w:autoSpaceDN w:val="0"/>
        <w:adjustRightInd w:val="0"/>
        <w:spacing w:after="0" w:line="240" w:lineRule="auto"/>
        <w:ind w:left="720" w:hanging="720"/>
        <w:jc w:val="both"/>
        <w:rPr>
          <w:rFonts w:asciiTheme="minorBidi" w:hAnsiTheme="minorBidi"/>
          <w:sz w:val="24"/>
          <w:szCs w:val="24"/>
        </w:rPr>
      </w:pPr>
    </w:p>
    <w:p w:rsidR="007940BA" w:rsidRDefault="007940BA" w:rsidP="005F5148">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S</w:t>
      </w:r>
      <w:r w:rsidR="006156C3">
        <w:rPr>
          <w:rFonts w:asciiTheme="minorBidi" w:hAnsiTheme="minorBidi"/>
          <w:sz w:val="24"/>
          <w:szCs w:val="24"/>
        </w:rPr>
        <w:t>.</w:t>
      </w:r>
      <w:r>
        <w:rPr>
          <w:rFonts w:asciiTheme="minorBidi" w:hAnsiTheme="minorBidi"/>
          <w:sz w:val="24"/>
          <w:szCs w:val="24"/>
        </w:rPr>
        <w:t xml:space="preserve"> Klein</w:t>
      </w:r>
      <w:r w:rsidR="00982145">
        <w:rPr>
          <w:rFonts w:asciiTheme="minorBidi" w:hAnsiTheme="minorBidi"/>
          <w:sz w:val="24"/>
          <w:szCs w:val="24"/>
        </w:rPr>
        <w:t xml:space="preserve">, </w:t>
      </w:r>
      <w:r w:rsidR="00982145">
        <w:rPr>
          <w:rFonts w:asciiTheme="minorBidi" w:hAnsiTheme="minorBidi"/>
          <w:i/>
          <w:iCs/>
          <w:sz w:val="24"/>
          <w:szCs w:val="24"/>
        </w:rPr>
        <w:t>The Land of the Galilee</w:t>
      </w:r>
      <w:r w:rsidR="00982145">
        <w:rPr>
          <w:rFonts w:asciiTheme="minorBidi" w:hAnsiTheme="minorBidi"/>
          <w:sz w:val="24"/>
          <w:szCs w:val="24"/>
        </w:rPr>
        <w:t xml:space="preserve"> (2</w:t>
      </w:r>
      <w:r w:rsidR="00982145" w:rsidRPr="00982145">
        <w:rPr>
          <w:rFonts w:asciiTheme="minorBidi" w:hAnsiTheme="minorBidi"/>
          <w:sz w:val="24"/>
          <w:szCs w:val="24"/>
          <w:vertAlign w:val="superscript"/>
        </w:rPr>
        <w:t>nd</w:t>
      </w:r>
      <w:r w:rsidR="00982145">
        <w:rPr>
          <w:rFonts w:asciiTheme="minorBidi" w:hAnsiTheme="minorBidi"/>
          <w:sz w:val="24"/>
          <w:szCs w:val="24"/>
        </w:rPr>
        <w:t xml:space="preserve"> ed.), Jerusalem 1967, 27-28 [Hebrew].</w:t>
      </w:r>
    </w:p>
    <w:p w:rsidR="00F65337" w:rsidRDefault="00F65337" w:rsidP="005F5148">
      <w:pPr>
        <w:autoSpaceDE w:val="0"/>
        <w:autoSpaceDN w:val="0"/>
        <w:adjustRightInd w:val="0"/>
        <w:spacing w:after="0" w:line="240" w:lineRule="auto"/>
        <w:ind w:left="720" w:hanging="720"/>
        <w:jc w:val="both"/>
        <w:rPr>
          <w:rFonts w:asciiTheme="minorBidi" w:hAnsiTheme="minorBidi"/>
          <w:sz w:val="24"/>
          <w:szCs w:val="24"/>
        </w:rPr>
      </w:pPr>
    </w:p>
    <w:p w:rsidR="00F65337" w:rsidRDefault="00F65337" w:rsidP="005F5148">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N. Ortner, “Purim in the City of Lod</w:t>
      </w:r>
      <w:r w:rsidR="001E0ED9">
        <w:rPr>
          <w:rFonts w:asciiTheme="minorBidi" w:hAnsiTheme="minorBidi"/>
          <w:sz w:val="24"/>
          <w:szCs w:val="24"/>
        </w:rPr>
        <w:t>,</w:t>
      </w:r>
      <w:r>
        <w:rPr>
          <w:rFonts w:asciiTheme="minorBidi" w:hAnsiTheme="minorBidi"/>
          <w:sz w:val="24"/>
          <w:szCs w:val="24"/>
        </w:rPr>
        <w:t xml:space="preserve">” and Yoel Elitzur, “The Time of Purim in the City of Lod,” </w:t>
      </w:r>
      <w:r>
        <w:rPr>
          <w:rFonts w:asciiTheme="minorBidi" w:hAnsiTheme="minorBidi"/>
          <w:i/>
          <w:iCs/>
          <w:sz w:val="24"/>
          <w:szCs w:val="24"/>
        </w:rPr>
        <w:t xml:space="preserve">Tehumin </w:t>
      </w:r>
      <w:r>
        <w:rPr>
          <w:rFonts w:asciiTheme="minorBidi" w:hAnsiTheme="minorBidi"/>
          <w:sz w:val="24"/>
          <w:szCs w:val="24"/>
        </w:rPr>
        <w:t>9 (1988), 341-380 [Hebrew].</w:t>
      </w:r>
    </w:p>
    <w:p w:rsidR="00982145" w:rsidRDefault="00982145" w:rsidP="005F5148">
      <w:pPr>
        <w:autoSpaceDE w:val="0"/>
        <w:autoSpaceDN w:val="0"/>
        <w:adjustRightInd w:val="0"/>
        <w:spacing w:after="0" w:line="240" w:lineRule="auto"/>
        <w:ind w:left="720" w:hanging="720"/>
        <w:jc w:val="both"/>
        <w:rPr>
          <w:rFonts w:asciiTheme="minorBidi" w:hAnsiTheme="minorBidi"/>
          <w:sz w:val="24"/>
          <w:szCs w:val="24"/>
        </w:rPr>
      </w:pPr>
    </w:p>
    <w:p w:rsidR="007940BA" w:rsidRDefault="007940BA" w:rsidP="005F5148">
      <w:pPr>
        <w:autoSpaceDE w:val="0"/>
        <w:autoSpaceDN w:val="0"/>
        <w:adjustRightInd w:val="0"/>
        <w:spacing w:after="0" w:line="240" w:lineRule="auto"/>
        <w:ind w:left="720" w:hanging="720"/>
        <w:jc w:val="both"/>
        <w:rPr>
          <w:rFonts w:asciiTheme="minorBidi" w:hAnsiTheme="minorBidi"/>
          <w:iCs/>
          <w:sz w:val="24"/>
          <w:szCs w:val="24"/>
        </w:rPr>
      </w:pPr>
      <w:r>
        <w:rPr>
          <w:rFonts w:asciiTheme="minorBidi" w:hAnsiTheme="minorBidi"/>
          <w:sz w:val="24"/>
          <w:szCs w:val="24"/>
        </w:rPr>
        <w:t xml:space="preserve">E. H. Palmer, </w:t>
      </w:r>
      <w:r>
        <w:rPr>
          <w:rFonts w:asciiTheme="minorBidi" w:hAnsiTheme="minorBidi"/>
          <w:i/>
          <w:sz w:val="24"/>
          <w:szCs w:val="24"/>
        </w:rPr>
        <w:t>The Survey of Western Palestine: Arabic and English Name Lists</w:t>
      </w:r>
      <w:r>
        <w:rPr>
          <w:rFonts w:asciiTheme="minorBidi" w:hAnsiTheme="minorBidi"/>
          <w:iCs/>
          <w:sz w:val="24"/>
          <w:szCs w:val="24"/>
        </w:rPr>
        <w:t>, London 1881, 22, 27.</w:t>
      </w:r>
    </w:p>
    <w:p w:rsidR="007940BA" w:rsidRPr="007940BA" w:rsidRDefault="007940BA" w:rsidP="005F5148">
      <w:pPr>
        <w:autoSpaceDE w:val="0"/>
        <w:autoSpaceDN w:val="0"/>
        <w:adjustRightInd w:val="0"/>
        <w:spacing w:after="0" w:line="240" w:lineRule="auto"/>
        <w:ind w:left="720" w:hanging="720"/>
        <w:jc w:val="both"/>
        <w:rPr>
          <w:rFonts w:asciiTheme="minorBidi" w:hAnsiTheme="minorBidi"/>
          <w:iCs/>
          <w:sz w:val="24"/>
          <w:szCs w:val="24"/>
        </w:rPr>
      </w:pPr>
    </w:p>
    <w:p w:rsidR="007940BA" w:rsidRPr="007940BA" w:rsidRDefault="007940BA" w:rsidP="005F5148">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Y. Rosenson, “</w:t>
      </w:r>
      <w:r w:rsidR="00D618CF">
        <w:rPr>
          <w:rFonts w:asciiTheme="minorBidi" w:hAnsiTheme="minorBidi"/>
          <w:i/>
          <w:iCs/>
          <w:sz w:val="24"/>
          <w:szCs w:val="24"/>
        </w:rPr>
        <w:t>Arim Mukafot Choma – Reshima Akra’it O Text Megamati?</w:t>
      </w:r>
      <w:r>
        <w:rPr>
          <w:rFonts w:asciiTheme="minorBidi" w:hAnsiTheme="minorBidi"/>
          <w:sz w:val="24"/>
          <w:szCs w:val="24"/>
        </w:rPr>
        <w:t xml:space="preserve">” </w:t>
      </w:r>
      <w:r>
        <w:rPr>
          <w:rFonts w:asciiTheme="minorBidi" w:hAnsiTheme="minorBidi"/>
          <w:i/>
          <w:iCs/>
          <w:sz w:val="24"/>
          <w:szCs w:val="24"/>
        </w:rPr>
        <w:t>Sidra</w:t>
      </w:r>
      <w:r>
        <w:rPr>
          <w:rFonts w:asciiTheme="minorBidi" w:hAnsiTheme="minorBidi"/>
          <w:sz w:val="24"/>
          <w:szCs w:val="24"/>
        </w:rPr>
        <w:t xml:space="preserve"> 17 (2001-2002), 205-215 [Hebrew].</w:t>
      </w:r>
    </w:p>
    <w:p w:rsidR="007940BA" w:rsidRPr="00982145" w:rsidRDefault="007940BA" w:rsidP="005F5148">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 xml:space="preserve">Y. Zoldan, </w:t>
      </w:r>
      <w:r w:rsidR="00982145">
        <w:rPr>
          <w:rFonts w:asciiTheme="minorBidi" w:hAnsiTheme="minorBidi"/>
          <w:i/>
          <w:iCs/>
          <w:sz w:val="24"/>
          <w:szCs w:val="24"/>
        </w:rPr>
        <w:t>Megilla Be-mukafot Choma</w:t>
      </w:r>
      <w:r w:rsidR="00982145">
        <w:rPr>
          <w:rFonts w:asciiTheme="minorBidi" w:hAnsiTheme="minorBidi"/>
          <w:sz w:val="24"/>
          <w:szCs w:val="24"/>
        </w:rPr>
        <w:t>, Ramat Gan 2013 [Hebrew].</w:t>
      </w:r>
    </w:p>
    <w:p w:rsidR="00BD2257" w:rsidRPr="00BD2257" w:rsidRDefault="00BD2257" w:rsidP="005F5148">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 xml:space="preserve"> </w:t>
      </w:r>
    </w:p>
    <w:p w:rsidR="008517BE" w:rsidRDefault="008517BE" w:rsidP="005F5148">
      <w:pPr>
        <w:spacing w:after="0" w:line="240" w:lineRule="auto"/>
        <w:jc w:val="both"/>
        <w:rPr>
          <w:rFonts w:asciiTheme="minorBidi" w:hAnsiTheme="minorBidi"/>
          <w:sz w:val="24"/>
          <w:szCs w:val="24"/>
        </w:rPr>
      </w:pPr>
    </w:p>
    <w:p w:rsidR="00C53D8E" w:rsidRPr="000C1970" w:rsidRDefault="00C53D8E" w:rsidP="005F5148">
      <w:pPr>
        <w:spacing w:after="0" w:line="240" w:lineRule="auto"/>
        <w:jc w:val="both"/>
        <w:rPr>
          <w:rFonts w:asciiTheme="minorBidi" w:hAnsiTheme="minorBidi"/>
          <w:sz w:val="24"/>
          <w:szCs w:val="24"/>
          <w:rtl/>
        </w:rPr>
      </w:pPr>
      <w:r w:rsidRPr="000C1970">
        <w:rPr>
          <w:rFonts w:asciiTheme="minorBidi" w:hAnsiTheme="minorBidi"/>
          <w:sz w:val="24"/>
          <w:szCs w:val="24"/>
        </w:rPr>
        <w:t>Translated by Daniel Landman</w:t>
      </w:r>
    </w:p>
    <w:sectPr w:rsidR="00C53D8E" w:rsidRPr="000C1970" w:rsidSect="00C016C3">
      <w:pgSz w:w="11909" w:h="16834"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1DF" w:rsidRDefault="00D601DF" w:rsidP="00F94FA1">
      <w:pPr>
        <w:spacing w:after="0" w:line="240" w:lineRule="auto"/>
      </w:pPr>
      <w:r>
        <w:separator/>
      </w:r>
    </w:p>
  </w:endnote>
  <w:endnote w:type="continuationSeparator" w:id="0">
    <w:p w:rsidR="00D601DF" w:rsidRDefault="00D601DF" w:rsidP="00F94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1803" w:usb1="00000000" w:usb2="00000000" w:usb3="00000000" w:csb0="0000002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1DF" w:rsidRDefault="00D601DF" w:rsidP="00F94FA1">
      <w:pPr>
        <w:spacing w:after="0" w:line="240" w:lineRule="auto"/>
      </w:pPr>
      <w:r>
        <w:separator/>
      </w:r>
    </w:p>
  </w:footnote>
  <w:footnote w:type="continuationSeparator" w:id="0">
    <w:p w:rsidR="00D601DF" w:rsidRDefault="00D601DF" w:rsidP="00F94FA1">
      <w:pPr>
        <w:spacing w:after="0" w:line="240" w:lineRule="auto"/>
      </w:pPr>
      <w:r>
        <w:continuationSeparator/>
      </w:r>
    </w:p>
  </w:footnote>
  <w:footnote w:id="1">
    <w:p w:rsidR="00165CE4" w:rsidRPr="005F5148" w:rsidRDefault="003E713B" w:rsidP="00D159C3">
      <w:pPr>
        <w:pStyle w:val="FootnoteText"/>
        <w:jc w:val="both"/>
        <w:rPr>
          <w:rFonts w:asciiTheme="minorBidi" w:hAnsiTheme="minorBidi"/>
        </w:rPr>
      </w:pPr>
      <w:r w:rsidRPr="005F5148">
        <w:rPr>
          <w:rStyle w:val="FootnoteReference"/>
          <w:rFonts w:asciiTheme="minorBidi" w:hAnsiTheme="minorBidi"/>
        </w:rPr>
        <w:footnoteRef/>
      </w:r>
      <w:r w:rsidRPr="005F5148">
        <w:rPr>
          <w:rFonts w:asciiTheme="minorBidi" w:hAnsiTheme="minorBidi"/>
        </w:rPr>
        <w:t xml:space="preserve"> </w:t>
      </w:r>
      <w:r w:rsidR="005F5148">
        <w:rPr>
          <w:rFonts w:asciiTheme="minorBidi" w:hAnsiTheme="minorBidi"/>
        </w:rPr>
        <w:t xml:space="preserve">See </w:t>
      </w:r>
      <w:r w:rsidRPr="005F5148">
        <w:rPr>
          <w:rFonts w:asciiTheme="minorBidi" w:hAnsiTheme="minorBidi"/>
        </w:rPr>
        <w:t>Map 33</w:t>
      </w:r>
      <w:r w:rsidR="005F5148">
        <w:rPr>
          <w:rFonts w:asciiTheme="minorBidi" w:hAnsiTheme="minorBidi"/>
        </w:rPr>
        <w:t xml:space="preserve"> below.</w:t>
      </w:r>
    </w:p>
  </w:footnote>
  <w:footnote w:id="2">
    <w:p w:rsidR="00F74047" w:rsidRPr="00344AB6" w:rsidRDefault="00F74047" w:rsidP="00D159C3">
      <w:pPr>
        <w:pStyle w:val="FootnoteText"/>
        <w:jc w:val="both"/>
        <w:rPr>
          <w:rFonts w:asciiTheme="minorBidi" w:hAnsiTheme="minorBidi"/>
        </w:rPr>
      </w:pPr>
      <w:r w:rsidRPr="00344AB6">
        <w:rPr>
          <w:rStyle w:val="FootnoteReference"/>
          <w:rFonts w:asciiTheme="minorBidi" w:hAnsiTheme="minorBidi"/>
        </w:rPr>
        <w:footnoteRef/>
      </w:r>
      <w:r w:rsidRPr="00344AB6">
        <w:rPr>
          <w:rFonts w:asciiTheme="minorBidi" w:hAnsiTheme="minorBidi"/>
        </w:rPr>
        <w:t xml:space="preserve"> Some exceptions to this rule likely exist, specifically in places where the number of cities enumerated does not match the number recorded in the </w:t>
      </w:r>
      <w:r w:rsidRPr="00344AB6">
        <w:rPr>
          <w:rFonts w:asciiTheme="minorBidi" w:hAnsiTheme="minorBidi"/>
          <w:i/>
          <w:iCs/>
        </w:rPr>
        <w:t>Tanakh</w:t>
      </w:r>
      <w:r w:rsidRPr="00344AB6">
        <w:rPr>
          <w:rFonts w:asciiTheme="minorBidi" w:hAnsiTheme="minorBidi"/>
        </w:rPr>
        <w:t>’s summarizing statement.</w:t>
      </w:r>
    </w:p>
  </w:footnote>
  <w:footnote w:id="3">
    <w:p w:rsidR="001E0B0E" w:rsidRPr="00344AB6" w:rsidRDefault="001E0B0E" w:rsidP="00D159C3">
      <w:pPr>
        <w:pStyle w:val="FootnoteText"/>
        <w:jc w:val="both"/>
        <w:rPr>
          <w:rFonts w:asciiTheme="minorBidi" w:hAnsiTheme="minorBidi"/>
        </w:rPr>
      </w:pPr>
      <w:r w:rsidRPr="00344AB6">
        <w:rPr>
          <w:rStyle w:val="FootnoteReference"/>
          <w:rFonts w:asciiTheme="minorBidi" w:hAnsiTheme="minorBidi"/>
        </w:rPr>
        <w:footnoteRef/>
      </w:r>
      <w:r w:rsidRPr="00344AB6">
        <w:rPr>
          <w:rFonts w:asciiTheme="minorBidi" w:hAnsiTheme="minorBidi"/>
        </w:rPr>
        <w:t xml:space="preserve"> Compare as well to </w:t>
      </w:r>
      <w:r w:rsidRPr="00344AB6">
        <w:rPr>
          <w:rFonts w:asciiTheme="minorBidi" w:hAnsiTheme="minorBidi"/>
          <w:i/>
          <w:iCs/>
        </w:rPr>
        <w:t xml:space="preserve">Eruvin </w:t>
      </w:r>
      <w:r w:rsidRPr="00344AB6">
        <w:rPr>
          <w:rFonts w:asciiTheme="minorBidi" w:hAnsiTheme="minorBidi"/>
        </w:rPr>
        <w:t xml:space="preserve">26a, where the </w:t>
      </w:r>
      <w:r w:rsidRPr="00344AB6">
        <w:rPr>
          <w:rFonts w:asciiTheme="minorBidi" w:hAnsiTheme="minorBidi"/>
          <w:i/>
          <w:iCs/>
        </w:rPr>
        <w:t>Tannaim</w:t>
      </w:r>
      <w:r w:rsidRPr="00344AB6">
        <w:rPr>
          <w:rFonts w:asciiTheme="minorBidi" w:hAnsiTheme="minorBidi"/>
        </w:rPr>
        <w:t xml:space="preserve"> </w:t>
      </w:r>
      <w:r w:rsidR="00E75056" w:rsidRPr="00344AB6">
        <w:rPr>
          <w:rFonts w:asciiTheme="minorBidi" w:hAnsiTheme="minorBidi"/>
        </w:rPr>
        <w:t xml:space="preserve">dispute </w:t>
      </w:r>
      <w:r w:rsidRPr="00344AB6">
        <w:rPr>
          <w:rFonts w:asciiTheme="minorBidi" w:hAnsiTheme="minorBidi"/>
        </w:rPr>
        <w:t>whether a “medium-sized city” is as large as a beth kor (about 4.5 acres) or as large as forty beth se’ah (about 6 acres).</w:t>
      </w:r>
    </w:p>
  </w:footnote>
  <w:footnote w:id="4">
    <w:p w:rsidR="00AD2FDB" w:rsidRPr="00344AB6" w:rsidRDefault="00AD2FDB" w:rsidP="00D159C3">
      <w:pPr>
        <w:pStyle w:val="FootnoteText"/>
        <w:jc w:val="both"/>
        <w:rPr>
          <w:rFonts w:asciiTheme="minorBidi" w:hAnsiTheme="minorBidi"/>
        </w:rPr>
      </w:pPr>
      <w:r w:rsidRPr="00344AB6">
        <w:rPr>
          <w:rStyle w:val="FootnoteReference"/>
          <w:rFonts w:asciiTheme="minorBidi" w:hAnsiTheme="minorBidi"/>
        </w:rPr>
        <w:footnoteRef/>
      </w:r>
      <w:r w:rsidRPr="00344AB6">
        <w:rPr>
          <w:rFonts w:asciiTheme="minorBidi" w:hAnsiTheme="minorBidi"/>
        </w:rPr>
        <w:t xml:space="preserve"> Another opinion cited in the Talmud is that the disputants were two students of Rabbi Ishmael son of Rabbi Jose.</w:t>
      </w:r>
    </w:p>
  </w:footnote>
  <w:footnote w:id="5">
    <w:p w:rsidR="00640521" w:rsidRPr="00344AB6" w:rsidRDefault="00640521" w:rsidP="00D159C3">
      <w:pPr>
        <w:pStyle w:val="FootnoteText"/>
        <w:jc w:val="both"/>
        <w:rPr>
          <w:rFonts w:asciiTheme="minorBidi" w:hAnsiTheme="minorBidi"/>
        </w:rPr>
      </w:pPr>
      <w:r w:rsidRPr="00344AB6">
        <w:rPr>
          <w:rStyle w:val="FootnoteReference"/>
          <w:rFonts w:asciiTheme="minorBidi" w:hAnsiTheme="minorBidi"/>
        </w:rPr>
        <w:footnoteRef/>
      </w:r>
      <w:r w:rsidRPr="00344AB6">
        <w:rPr>
          <w:rFonts w:asciiTheme="minorBidi" w:hAnsiTheme="minorBidi"/>
        </w:rPr>
        <w:t xml:space="preserve"> The Palestine Exploration Fund’s list of place names in that region includes the name “Kh</w:t>
      </w:r>
      <w:r w:rsidR="003E713B" w:rsidRPr="005F5148">
        <w:rPr>
          <w:rFonts w:asciiTheme="minorBidi" w:eastAsia="Arial Unicode MS" w:hAnsiTheme="minorBidi"/>
        </w:rPr>
        <w:t>ŭ</w:t>
      </w:r>
      <w:r w:rsidRPr="00344AB6">
        <w:rPr>
          <w:rFonts w:asciiTheme="minorBidi" w:hAnsiTheme="minorBidi"/>
        </w:rPr>
        <w:t>rbet Jumleh</w:t>
      </w:r>
      <w:r w:rsidR="0021562D">
        <w:rPr>
          <w:rFonts w:asciiTheme="minorBidi" w:hAnsiTheme="minorBidi"/>
        </w:rPr>
        <w:t>” – “t</w:t>
      </w:r>
      <w:r w:rsidR="003C0434" w:rsidRPr="00344AB6">
        <w:rPr>
          <w:rFonts w:asciiTheme="minorBidi" w:hAnsiTheme="minorBidi"/>
        </w:rPr>
        <w:t>he ruin of Gamala.</w:t>
      </w:r>
      <w:r w:rsidRPr="00344AB6">
        <w:rPr>
          <w:rFonts w:asciiTheme="minorBidi" w:hAnsiTheme="minorBidi"/>
        </w:rPr>
        <w:t xml:space="preserve">” </w:t>
      </w:r>
    </w:p>
  </w:footnote>
  <w:footnote w:id="6">
    <w:p w:rsidR="00B403B6" w:rsidRPr="00344AB6" w:rsidRDefault="00B403B6" w:rsidP="00D159C3">
      <w:pPr>
        <w:pStyle w:val="FootnoteText"/>
        <w:jc w:val="both"/>
        <w:rPr>
          <w:rFonts w:asciiTheme="minorBidi" w:hAnsiTheme="minorBidi"/>
        </w:rPr>
      </w:pPr>
      <w:r w:rsidRPr="00344AB6">
        <w:rPr>
          <w:rStyle w:val="FootnoteReference"/>
          <w:rFonts w:asciiTheme="minorBidi" w:hAnsiTheme="minorBidi"/>
        </w:rPr>
        <w:footnoteRef/>
      </w:r>
      <w:r w:rsidRPr="00344AB6">
        <w:rPr>
          <w:rFonts w:asciiTheme="minorBidi" w:hAnsiTheme="minorBidi"/>
        </w:rPr>
        <w:t xml:space="preserve"> See our discussion on </w:t>
      </w:r>
      <w:r w:rsidRPr="00344AB6">
        <w:rPr>
          <w:rFonts w:asciiTheme="minorBidi" w:hAnsiTheme="minorBidi"/>
          <w:i/>
          <w:iCs/>
        </w:rPr>
        <w:t>Parashat Masei</w:t>
      </w:r>
      <w:r w:rsidRPr="00344AB6">
        <w:rPr>
          <w:rFonts w:asciiTheme="minorBidi" w:hAnsiTheme="minorBidi"/>
        </w:rPr>
        <w:t>.</w:t>
      </w:r>
    </w:p>
  </w:footnote>
  <w:footnote w:id="7">
    <w:p w:rsidR="00033FC8" w:rsidRPr="00344AB6" w:rsidRDefault="00033FC8" w:rsidP="00D159C3">
      <w:pPr>
        <w:pStyle w:val="FootnoteText"/>
        <w:jc w:val="both"/>
        <w:rPr>
          <w:rFonts w:asciiTheme="minorBidi" w:hAnsiTheme="minorBidi"/>
        </w:rPr>
      </w:pPr>
      <w:r w:rsidRPr="00344AB6">
        <w:rPr>
          <w:rStyle w:val="FootnoteReference"/>
          <w:rFonts w:asciiTheme="minorBidi" w:hAnsiTheme="minorBidi"/>
        </w:rPr>
        <w:footnoteRef/>
      </w:r>
      <w:r w:rsidRPr="00344AB6">
        <w:rPr>
          <w:rFonts w:asciiTheme="minorBidi" w:hAnsiTheme="minorBidi"/>
        </w:rPr>
        <w:t xml:space="preserve"> Also see </w:t>
      </w:r>
      <w:r w:rsidRPr="00344AB6">
        <w:rPr>
          <w:rFonts w:asciiTheme="minorBidi" w:hAnsiTheme="minorBidi"/>
          <w:i/>
          <w:iCs/>
        </w:rPr>
        <w:t>Yerushalmi Megilla</w:t>
      </w:r>
      <w:r w:rsidRPr="00344AB6">
        <w:rPr>
          <w:rFonts w:asciiTheme="minorBidi" w:hAnsiTheme="minorBidi"/>
        </w:rPr>
        <w:t xml:space="preserve"> 1:1 (70a): “Lod and Ge Haharashim.” The Talmud explains that it was not necessary to mention Ono, which is enumerated in Nehemiah 11 alongside Lod and Ge Haharashim, because it is already listed in the Mishna in </w:t>
      </w:r>
      <w:r w:rsidRPr="00344AB6">
        <w:rPr>
          <w:rFonts w:asciiTheme="minorBidi" w:hAnsiTheme="minorBidi"/>
          <w:i/>
          <w:iCs/>
        </w:rPr>
        <w:t>Arakhin</w:t>
      </w:r>
      <w:r w:rsidRPr="00344AB6">
        <w:rPr>
          <w:rFonts w:asciiTheme="minorBidi" w:hAnsiTheme="minorBidi"/>
        </w:rPr>
        <w:t>.</w:t>
      </w:r>
    </w:p>
  </w:footnote>
  <w:footnote w:id="8">
    <w:p w:rsidR="00864B74" w:rsidRPr="00344AB6" w:rsidRDefault="00864B74" w:rsidP="00D159C3">
      <w:pPr>
        <w:pStyle w:val="FootnoteText"/>
        <w:jc w:val="both"/>
        <w:rPr>
          <w:rFonts w:asciiTheme="minorBidi" w:hAnsiTheme="minorBidi"/>
        </w:rPr>
      </w:pPr>
      <w:r w:rsidRPr="00344AB6">
        <w:rPr>
          <w:rStyle w:val="FootnoteReference"/>
          <w:rFonts w:asciiTheme="minorBidi" w:hAnsiTheme="minorBidi"/>
        </w:rPr>
        <w:footnoteRef/>
      </w:r>
      <w:r w:rsidRPr="00344AB6">
        <w:rPr>
          <w:rFonts w:asciiTheme="minorBidi" w:hAnsiTheme="minorBidi"/>
        </w:rPr>
        <w:t xml:space="preserve"> See Rambam </w:t>
      </w:r>
      <w:r w:rsidRPr="00344AB6">
        <w:rPr>
          <w:rFonts w:asciiTheme="minorBidi" w:hAnsiTheme="minorBidi"/>
          <w:i/>
          <w:iCs/>
        </w:rPr>
        <w:t>Hilkhot Megilla</w:t>
      </w:r>
      <w:r w:rsidRPr="00344AB6">
        <w:rPr>
          <w:rFonts w:asciiTheme="minorBidi" w:hAnsiTheme="minorBidi"/>
        </w:rPr>
        <w:t xml:space="preserve"> 1:4</w:t>
      </w:r>
      <w:r w:rsidR="00401DF5" w:rsidRPr="00344AB6">
        <w:rPr>
          <w:rFonts w:asciiTheme="minorBidi" w:hAnsiTheme="minorBidi"/>
        </w:rPr>
        <w:t>,</w:t>
      </w:r>
      <w:r w:rsidRPr="00344AB6">
        <w:rPr>
          <w:rFonts w:asciiTheme="minorBidi" w:hAnsiTheme="minorBidi"/>
        </w:rPr>
        <w:t xml:space="preserve"> </w:t>
      </w:r>
      <w:r w:rsidRPr="00344AB6">
        <w:rPr>
          <w:rFonts w:asciiTheme="minorBidi" w:hAnsiTheme="minorBidi"/>
          <w:i/>
          <w:iCs/>
        </w:rPr>
        <w:t>Tur</w:t>
      </w:r>
      <w:r w:rsidR="00401DF5" w:rsidRPr="00344AB6">
        <w:rPr>
          <w:rFonts w:asciiTheme="minorBidi" w:hAnsiTheme="minorBidi"/>
          <w:i/>
          <w:iCs/>
        </w:rPr>
        <w:t xml:space="preserve"> </w:t>
      </w:r>
      <w:r w:rsidR="00401DF5" w:rsidRPr="00344AB6">
        <w:rPr>
          <w:rFonts w:asciiTheme="minorBidi" w:hAnsiTheme="minorBidi"/>
        </w:rPr>
        <w:t xml:space="preserve">and </w:t>
      </w:r>
      <w:r w:rsidR="0082547A" w:rsidRPr="00344AB6">
        <w:rPr>
          <w:rFonts w:asciiTheme="minorBidi" w:hAnsiTheme="minorBidi"/>
          <w:i/>
          <w:iCs/>
        </w:rPr>
        <w:t>Shulchan Arukh, Orach Chayim</w:t>
      </w:r>
      <w:r w:rsidR="0082547A" w:rsidRPr="00344AB6">
        <w:rPr>
          <w:rFonts w:asciiTheme="minorBidi" w:hAnsiTheme="minorBidi"/>
        </w:rPr>
        <w:t xml:space="preserve"> 688.</w:t>
      </w:r>
    </w:p>
  </w:footnote>
  <w:footnote w:id="9">
    <w:p w:rsidR="00DD77FD" w:rsidRPr="00344AB6" w:rsidRDefault="00DD77FD" w:rsidP="00D159C3">
      <w:pPr>
        <w:pStyle w:val="FootnoteText"/>
        <w:jc w:val="both"/>
        <w:rPr>
          <w:rFonts w:asciiTheme="minorBidi" w:hAnsiTheme="minorBidi"/>
        </w:rPr>
      </w:pPr>
      <w:r w:rsidRPr="00344AB6">
        <w:rPr>
          <w:rStyle w:val="FootnoteReference"/>
          <w:rFonts w:asciiTheme="minorBidi" w:hAnsiTheme="minorBidi"/>
        </w:rPr>
        <w:footnoteRef/>
      </w:r>
      <w:r w:rsidRPr="00344AB6">
        <w:rPr>
          <w:rFonts w:asciiTheme="minorBidi" w:hAnsiTheme="minorBidi"/>
        </w:rPr>
        <w:t xml:space="preserve"> I am aware that in Hebron and Shiloh, residents conduct festive Purim meals and take care to fulfill the </w:t>
      </w:r>
      <w:r w:rsidRPr="00344AB6">
        <w:rPr>
          <w:rFonts w:asciiTheme="minorBidi" w:hAnsiTheme="minorBidi"/>
          <w:i/>
          <w:iCs/>
        </w:rPr>
        <w:t xml:space="preserve">mitzvot </w:t>
      </w:r>
      <w:r w:rsidRPr="00344AB6">
        <w:rPr>
          <w:rFonts w:asciiTheme="minorBidi" w:hAnsiTheme="minorBidi"/>
        </w:rPr>
        <w:t>of sending gifts to one another and giving</w:t>
      </w:r>
      <w:r w:rsidRPr="00344AB6">
        <w:rPr>
          <w:rFonts w:asciiTheme="minorBidi" w:hAnsiTheme="minorBidi"/>
          <w:i/>
          <w:iCs/>
        </w:rPr>
        <w:t xml:space="preserve"> </w:t>
      </w:r>
      <w:r w:rsidRPr="00344AB6">
        <w:rPr>
          <w:rFonts w:asciiTheme="minorBidi" w:hAnsiTheme="minorBidi"/>
        </w:rPr>
        <w:t>presents to the poor on both days.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A0E5D"/>
    <w:multiLevelType w:val="hybridMultilevel"/>
    <w:tmpl w:val="556A5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8A68B6"/>
    <w:multiLevelType w:val="hybridMultilevel"/>
    <w:tmpl w:val="5E463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AF4363"/>
    <w:multiLevelType w:val="hybridMultilevel"/>
    <w:tmpl w:val="C484881E"/>
    <w:lvl w:ilvl="0" w:tplc="700020B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4C0773"/>
    <w:multiLevelType w:val="hybridMultilevel"/>
    <w:tmpl w:val="C30AFAC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C22642"/>
    <w:multiLevelType w:val="hybridMultilevel"/>
    <w:tmpl w:val="7EE4895A"/>
    <w:lvl w:ilvl="0" w:tplc="522CEA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1950A55"/>
    <w:multiLevelType w:val="hybridMultilevel"/>
    <w:tmpl w:val="5E9C0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1F6CF0"/>
    <w:multiLevelType w:val="hybridMultilevel"/>
    <w:tmpl w:val="9AAE9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EB2AF5"/>
    <w:multiLevelType w:val="hybridMultilevel"/>
    <w:tmpl w:val="C8A604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F47560"/>
    <w:multiLevelType w:val="hybridMultilevel"/>
    <w:tmpl w:val="D7CEB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9E7B01"/>
    <w:multiLevelType w:val="hybridMultilevel"/>
    <w:tmpl w:val="9CC83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D85253"/>
    <w:multiLevelType w:val="hybridMultilevel"/>
    <w:tmpl w:val="7794D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93189E"/>
    <w:multiLevelType w:val="hybridMultilevel"/>
    <w:tmpl w:val="CAC0C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7473CA"/>
    <w:multiLevelType w:val="hybridMultilevel"/>
    <w:tmpl w:val="26C0EE54"/>
    <w:lvl w:ilvl="0" w:tplc="48D43E44">
      <w:start w:val="1"/>
      <w:numFmt w:val="decimal"/>
      <w:lvlText w:val="%1."/>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A20ABB"/>
    <w:multiLevelType w:val="hybridMultilevel"/>
    <w:tmpl w:val="6B5C2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AD096D"/>
    <w:multiLevelType w:val="hybridMultilevel"/>
    <w:tmpl w:val="9B824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F243C0"/>
    <w:multiLevelType w:val="hybridMultilevel"/>
    <w:tmpl w:val="E41209E8"/>
    <w:lvl w:ilvl="0" w:tplc="9F700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2"/>
  </w:num>
  <w:num w:numId="4">
    <w:abstractNumId w:val="12"/>
  </w:num>
  <w:num w:numId="5">
    <w:abstractNumId w:val="1"/>
  </w:num>
  <w:num w:numId="6">
    <w:abstractNumId w:val="15"/>
  </w:num>
  <w:num w:numId="7">
    <w:abstractNumId w:val="9"/>
  </w:num>
  <w:num w:numId="8">
    <w:abstractNumId w:val="10"/>
  </w:num>
  <w:num w:numId="9">
    <w:abstractNumId w:val="7"/>
  </w:num>
  <w:num w:numId="10">
    <w:abstractNumId w:val="5"/>
  </w:num>
  <w:num w:numId="11">
    <w:abstractNumId w:val="8"/>
  </w:num>
  <w:num w:numId="12">
    <w:abstractNumId w:val="11"/>
  </w:num>
  <w:num w:numId="13">
    <w:abstractNumId w:val="13"/>
  </w:num>
  <w:num w:numId="14">
    <w:abstractNumId w:val="0"/>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F50C7"/>
    <w:rsid w:val="000006F2"/>
    <w:rsid w:val="00001524"/>
    <w:rsid w:val="0000322D"/>
    <w:rsid w:val="0000401F"/>
    <w:rsid w:val="000040AA"/>
    <w:rsid w:val="00006883"/>
    <w:rsid w:val="00007024"/>
    <w:rsid w:val="000071A3"/>
    <w:rsid w:val="000075D7"/>
    <w:rsid w:val="00007D01"/>
    <w:rsid w:val="00011F3F"/>
    <w:rsid w:val="00013EC3"/>
    <w:rsid w:val="00014C2D"/>
    <w:rsid w:val="0001628B"/>
    <w:rsid w:val="0001665C"/>
    <w:rsid w:val="00021669"/>
    <w:rsid w:val="000219D2"/>
    <w:rsid w:val="00024ED0"/>
    <w:rsid w:val="00027BEF"/>
    <w:rsid w:val="00030106"/>
    <w:rsid w:val="00033FC8"/>
    <w:rsid w:val="00033FDF"/>
    <w:rsid w:val="00034052"/>
    <w:rsid w:val="000340FC"/>
    <w:rsid w:val="000349A0"/>
    <w:rsid w:val="00035B20"/>
    <w:rsid w:val="000378B4"/>
    <w:rsid w:val="00044018"/>
    <w:rsid w:val="00047D94"/>
    <w:rsid w:val="000520BC"/>
    <w:rsid w:val="0006348A"/>
    <w:rsid w:val="00064F71"/>
    <w:rsid w:val="000667A0"/>
    <w:rsid w:val="00067381"/>
    <w:rsid w:val="000728F0"/>
    <w:rsid w:val="0007379D"/>
    <w:rsid w:val="00073B5C"/>
    <w:rsid w:val="0007561D"/>
    <w:rsid w:val="000771F0"/>
    <w:rsid w:val="00080AE6"/>
    <w:rsid w:val="00082125"/>
    <w:rsid w:val="00084782"/>
    <w:rsid w:val="00086C79"/>
    <w:rsid w:val="00090BF6"/>
    <w:rsid w:val="00091E9C"/>
    <w:rsid w:val="0009552A"/>
    <w:rsid w:val="00096619"/>
    <w:rsid w:val="00097F5B"/>
    <w:rsid w:val="000A1C6A"/>
    <w:rsid w:val="000A1ECE"/>
    <w:rsid w:val="000A271A"/>
    <w:rsid w:val="000A773A"/>
    <w:rsid w:val="000B551A"/>
    <w:rsid w:val="000B7EF0"/>
    <w:rsid w:val="000C1970"/>
    <w:rsid w:val="000C2808"/>
    <w:rsid w:val="000C34BD"/>
    <w:rsid w:val="000C3793"/>
    <w:rsid w:val="000D0B26"/>
    <w:rsid w:val="000D1B3E"/>
    <w:rsid w:val="000D1CA3"/>
    <w:rsid w:val="000D1D50"/>
    <w:rsid w:val="000D42D9"/>
    <w:rsid w:val="000D77D0"/>
    <w:rsid w:val="000D7EB4"/>
    <w:rsid w:val="000E03B4"/>
    <w:rsid w:val="000E0708"/>
    <w:rsid w:val="000E1026"/>
    <w:rsid w:val="000E15E0"/>
    <w:rsid w:val="000E494E"/>
    <w:rsid w:val="000E77A1"/>
    <w:rsid w:val="000E7874"/>
    <w:rsid w:val="000F1918"/>
    <w:rsid w:val="000F37E7"/>
    <w:rsid w:val="000F757B"/>
    <w:rsid w:val="001007EF"/>
    <w:rsid w:val="00102C26"/>
    <w:rsid w:val="00103ED6"/>
    <w:rsid w:val="00104496"/>
    <w:rsid w:val="00104FBD"/>
    <w:rsid w:val="0010561F"/>
    <w:rsid w:val="001069FF"/>
    <w:rsid w:val="00107B29"/>
    <w:rsid w:val="00110506"/>
    <w:rsid w:val="0011115B"/>
    <w:rsid w:val="00111331"/>
    <w:rsid w:val="00115055"/>
    <w:rsid w:val="00116587"/>
    <w:rsid w:val="00117BBF"/>
    <w:rsid w:val="00122E2A"/>
    <w:rsid w:val="00123D94"/>
    <w:rsid w:val="001256E8"/>
    <w:rsid w:val="00130137"/>
    <w:rsid w:val="00133773"/>
    <w:rsid w:val="00136448"/>
    <w:rsid w:val="00137A0F"/>
    <w:rsid w:val="00140E8E"/>
    <w:rsid w:val="0014188A"/>
    <w:rsid w:val="00141C7B"/>
    <w:rsid w:val="001420BC"/>
    <w:rsid w:val="00143823"/>
    <w:rsid w:val="001440D1"/>
    <w:rsid w:val="00144A2A"/>
    <w:rsid w:val="00145E8E"/>
    <w:rsid w:val="00146E64"/>
    <w:rsid w:val="00150AE2"/>
    <w:rsid w:val="001542A6"/>
    <w:rsid w:val="00154D4B"/>
    <w:rsid w:val="00160DD4"/>
    <w:rsid w:val="0016148C"/>
    <w:rsid w:val="001628B6"/>
    <w:rsid w:val="00162F11"/>
    <w:rsid w:val="0016481B"/>
    <w:rsid w:val="00165CE4"/>
    <w:rsid w:val="00167A05"/>
    <w:rsid w:val="00172568"/>
    <w:rsid w:val="001727E6"/>
    <w:rsid w:val="0017412F"/>
    <w:rsid w:val="00175E69"/>
    <w:rsid w:val="001760BB"/>
    <w:rsid w:val="00176212"/>
    <w:rsid w:val="001778F1"/>
    <w:rsid w:val="00177C11"/>
    <w:rsid w:val="00180102"/>
    <w:rsid w:val="00180FDB"/>
    <w:rsid w:val="00183206"/>
    <w:rsid w:val="00183D39"/>
    <w:rsid w:val="00183E32"/>
    <w:rsid w:val="001846E3"/>
    <w:rsid w:val="00187110"/>
    <w:rsid w:val="001875CC"/>
    <w:rsid w:val="001A02F6"/>
    <w:rsid w:val="001A1A82"/>
    <w:rsid w:val="001A2C85"/>
    <w:rsid w:val="001A2F72"/>
    <w:rsid w:val="001A3025"/>
    <w:rsid w:val="001A4355"/>
    <w:rsid w:val="001A4A4A"/>
    <w:rsid w:val="001A4FB4"/>
    <w:rsid w:val="001A531A"/>
    <w:rsid w:val="001A5F24"/>
    <w:rsid w:val="001B085E"/>
    <w:rsid w:val="001B13F9"/>
    <w:rsid w:val="001B3833"/>
    <w:rsid w:val="001C09BE"/>
    <w:rsid w:val="001C1A7B"/>
    <w:rsid w:val="001C1B40"/>
    <w:rsid w:val="001C5046"/>
    <w:rsid w:val="001C5FB6"/>
    <w:rsid w:val="001D1020"/>
    <w:rsid w:val="001D3C3F"/>
    <w:rsid w:val="001D561B"/>
    <w:rsid w:val="001E0B0E"/>
    <w:rsid w:val="001E0ED9"/>
    <w:rsid w:val="001E1B36"/>
    <w:rsid w:val="001E410E"/>
    <w:rsid w:val="001E43CA"/>
    <w:rsid w:val="001E61AE"/>
    <w:rsid w:val="001F1753"/>
    <w:rsid w:val="001F2AB0"/>
    <w:rsid w:val="00202E5B"/>
    <w:rsid w:val="002031A5"/>
    <w:rsid w:val="00203E77"/>
    <w:rsid w:val="00204C4D"/>
    <w:rsid w:val="00204FDD"/>
    <w:rsid w:val="00205B97"/>
    <w:rsid w:val="00205E4C"/>
    <w:rsid w:val="00210932"/>
    <w:rsid w:val="0021562D"/>
    <w:rsid w:val="002160CB"/>
    <w:rsid w:val="00216FF6"/>
    <w:rsid w:val="0022119B"/>
    <w:rsid w:val="00221A0A"/>
    <w:rsid w:val="00221EA0"/>
    <w:rsid w:val="002247EF"/>
    <w:rsid w:val="00224E5C"/>
    <w:rsid w:val="00226A12"/>
    <w:rsid w:val="00226A83"/>
    <w:rsid w:val="002319A6"/>
    <w:rsid w:val="00231EFF"/>
    <w:rsid w:val="002332F7"/>
    <w:rsid w:val="002345B7"/>
    <w:rsid w:val="00234BE2"/>
    <w:rsid w:val="002402D6"/>
    <w:rsid w:val="00242022"/>
    <w:rsid w:val="0024258F"/>
    <w:rsid w:val="002432F4"/>
    <w:rsid w:val="00243C69"/>
    <w:rsid w:val="00243CCA"/>
    <w:rsid w:val="00244B14"/>
    <w:rsid w:val="00245299"/>
    <w:rsid w:val="002460AB"/>
    <w:rsid w:val="00251631"/>
    <w:rsid w:val="0025322D"/>
    <w:rsid w:val="002545CE"/>
    <w:rsid w:val="0025659F"/>
    <w:rsid w:val="00257D5D"/>
    <w:rsid w:val="00257FEE"/>
    <w:rsid w:val="00261B5C"/>
    <w:rsid w:val="002629B5"/>
    <w:rsid w:val="00265BA3"/>
    <w:rsid w:val="00265E44"/>
    <w:rsid w:val="00270509"/>
    <w:rsid w:val="002724A9"/>
    <w:rsid w:val="0027357C"/>
    <w:rsid w:val="002841E0"/>
    <w:rsid w:val="002911EB"/>
    <w:rsid w:val="00291289"/>
    <w:rsid w:val="002915A4"/>
    <w:rsid w:val="0029214A"/>
    <w:rsid w:val="00293294"/>
    <w:rsid w:val="002939C7"/>
    <w:rsid w:val="00296C62"/>
    <w:rsid w:val="00297EFE"/>
    <w:rsid w:val="002A12C0"/>
    <w:rsid w:val="002A1D5B"/>
    <w:rsid w:val="002A41EE"/>
    <w:rsid w:val="002B097E"/>
    <w:rsid w:val="002B3A32"/>
    <w:rsid w:val="002B60B2"/>
    <w:rsid w:val="002B6985"/>
    <w:rsid w:val="002B7C73"/>
    <w:rsid w:val="002C1FD4"/>
    <w:rsid w:val="002C390F"/>
    <w:rsid w:val="002C3E2A"/>
    <w:rsid w:val="002C400D"/>
    <w:rsid w:val="002C5B92"/>
    <w:rsid w:val="002C7336"/>
    <w:rsid w:val="002C7DE1"/>
    <w:rsid w:val="002C7F83"/>
    <w:rsid w:val="002D06CE"/>
    <w:rsid w:val="002D0CA4"/>
    <w:rsid w:val="002D3816"/>
    <w:rsid w:val="002D3A89"/>
    <w:rsid w:val="002D400C"/>
    <w:rsid w:val="002D4CD1"/>
    <w:rsid w:val="002D5215"/>
    <w:rsid w:val="002D57B3"/>
    <w:rsid w:val="002E1826"/>
    <w:rsid w:val="002E4F38"/>
    <w:rsid w:val="002E5C09"/>
    <w:rsid w:val="002E5FA5"/>
    <w:rsid w:val="002E6B1F"/>
    <w:rsid w:val="002F0554"/>
    <w:rsid w:val="002F3EE0"/>
    <w:rsid w:val="002F680A"/>
    <w:rsid w:val="002F6823"/>
    <w:rsid w:val="00304A9B"/>
    <w:rsid w:val="00305262"/>
    <w:rsid w:val="003121E8"/>
    <w:rsid w:val="00315608"/>
    <w:rsid w:val="00322FC2"/>
    <w:rsid w:val="003232FD"/>
    <w:rsid w:val="00323B98"/>
    <w:rsid w:val="003241CE"/>
    <w:rsid w:val="00325661"/>
    <w:rsid w:val="003258E5"/>
    <w:rsid w:val="00325B43"/>
    <w:rsid w:val="00326D27"/>
    <w:rsid w:val="0032701E"/>
    <w:rsid w:val="00327EC1"/>
    <w:rsid w:val="003302F1"/>
    <w:rsid w:val="00334F05"/>
    <w:rsid w:val="00337754"/>
    <w:rsid w:val="003407F5"/>
    <w:rsid w:val="003436F9"/>
    <w:rsid w:val="00344392"/>
    <w:rsid w:val="00344AB6"/>
    <w:rsid w:val="00346C1D"/>
    <w:rsid w:val="00347C41"/>
    <w:rsid w:val="0035085C"/>
    <w:rsid w:val="00353F40"/>
    <w:rsid w:val="00354986"/>
    <w:rsid w:val="003569BC"/>
    <w:rsid w:val="00356DC9"/>
    <w:rsid w:val="0036102D"/>
    <w:rsid w:val="003634D0"/>
    <w:rsid w:val="00365387"/>
    <w:rsid w:val="00370762"/>
    <w:rsid w:val="00370D1F"/>
    <w:rsid w:val="00373790"/>
    <w:rsid w:val="00373BDF"/>
    <w:rsid w:val="00373E98"/>
    <w:rsid w:val="00377252"/>
    <w:rsid w:val="00377260"/>
    <w:rsid w:val="003777F8"/>
    <w:rsid w:val="00377A56"/>
    <w:rsid w:val="00380C59"/>
    <w:rsid w:val="00380E31"/>
    <w:rsid w:val="003819A7"/>
    <w:rsid w:val="00384016"/>
    <w:rsid w:val="0038444A"/>
    <w:rsid w:val="00385415"/>
    <w:rsid w:val="00386882"/>
    <w:rsid w:val="003902FC"/>
    <w:rsid w:val="00390950"/>
    <w:rsid w:val="00392200"/>
    <w:rsid w:val="00392FD5"/>
    <w:rsid w:val="00393BA0"/>
    <w:rsid w:val="0039514A"/>
    <w:rsid w:val="0039612A"/>
    <w:rsid w:val="003A67DE"/>
    <w:rsid w:val="003B00D9"/>
    <w:rsid w:val="003B313D"/>
    <w:rsid w:val="003B5A41"/>
    <w:rsid w:val="003B7786"/>
    <w:rsid w:val="003B7A1C"/>
    <w:rsid w:val="003C0434"/>
    <w:rsid w:val="003C0439"/>
    <w:rsid w:val="003C0FD4"/>
    <w:rsid w:val="003C2BB2"/>
    <w:rsid w:val="003C2FA9"/>
    <w:rsid w:val="003C5F80"/>
    <w:rsid w:val="003C68D8"/>
    <w:rsid w:val="003C68FA"/>
    <w:rsid w:val="003C6D51"/>
    <w:rsid w:val="003D0226"/>
    <w:rsid w:val="003D341D"/>
    <w:rsid w:val="003D408E"/>
    <w:rsid w:val="003D65D8"/>
    <w:rsid w:val="003D6D2D"/>
    <w:rsid w:val="003D701F"/>
    <w:rsid w:val="003D7E1F"/>
    <w:rsid w:val="003E0CD1"/>
    <w:rsid w:val="003E1951"/>
    <w:rsid w:val="003E713B"/>
    <w:rsid w:val="003F0C45"/>
    <w:rsid w:val="003F0EA3"/>
    <w:rsid w:val="003F20C2"/>
    <w:rsid w:val="003F50C7"/>
    <w:rsid w:val="00401308"/>
    <w:rsid w:val="00401B60"/>
    <w:rsid w:val="00401DF5"/>
    <w:rsid w:val="0040492A"/>
    <w:rsid w:val="0040533B"/>
    <w:rsid w:val="00405E14"/>
    <w:rsid w:val="00406CD4"/>
    <w:rsid w:val="00410800"/>
    <w:rsid w:val="004118C2"/>
    <w:rsid w:val="00412776"/>
    <w:rsid w:val="00412838"/>
    <w:rsid w:val="004133E7"/>
    <w:rsid w:val="0041532B"/>
    <w:rsid w:val="00420146"/>
    <w:rsid w:val="004213EA"/>
    <w:rsid w:val="004309C7"/>
    <w:rsid w:val="00431248"/>
    <w:rsid w:val="00437119"/>
    <w:rsid w:val="00440E9F"/>
    <w:rsid w:val="004429E2"/>
    <w:rsid w:val="0044461F"/>
    <w:rsid w:val="00447F02"/>
    <w:rsid w:val="004508BD"/>
    <w:rsid w:val="004516FD"/>
    <w:rsid w:val="00451BDD"/>
    <w:rsid w:val="004525CE"/>
    <w:rsid w:val="00452B00"/>
    <w:rsid w:val="00453150"/>
    <w:rsid w:val="004539B9"/>
    <w:rsid w:val="00456C6F"/>
    <w:rsid w:val="00461C3B"/>
    <w:rsid w:val="00463B9B"/>
    <w:rsid w:val="0046625E"/>
    <w:rsid w:val="00472B66"/>
    <w:rsid w:val="004743DA"/>
    <w:rsid w:val="00475B0B"/>
    <w:rsid w:val="00475DC1"/>
    <w:rsid w:val="0048207C"/>
    <w:rsid w:val="00482532"/>
    <w:rsid w:val="00493081"/>
    <w:rsid w:val="00493ABD"/>
    <w:rsid w:val="00494A65"/>
    <w:rsid w:val="00496478"/>
    <w:rsid w:val="00496FC1"/>
    <w:rsid w:val="00497C7A"/>
    <w:rsid w:val="00497E30"/>
    <w:rsid w:val="004A10B6"/>
    <w:rsid w:val="004A1C5A"/>
    <w:rsid w:val="004A201E"/>
    <w:rsid w:val="004A3B56"/>
    <w:rsid w:val="004A6EF7"/>
    <w:rsid w:val="004A745A"/>
    <w:rsid w:val="004B13A1"/>
    <w:rsid w:val="004B1483"/>
    <w:rsid w:val="004B19BA"/>
    <w:rsid w:val="004B3A61"/>
    <w:rsid w:val="004B40F0"/>
    <w:rsid w:val="004B42CC"/>
    <w:rsid w:val="004B58D6"/>
    <w:rsid w:val="004B64E7"/>
    <w:rsid w:val="004B6C38"/>
    <w:rsid w:val="004C385C"/>
    <w:rsid w:val="004C6C14"/>
    <w:rsid w:val="004D1487"/>
    <w:rsid w:val="004D4335"/>
    <w:rsid w:val="004D5E38"/>
    <w:rsid w:val="004D764E"/>
    <w:rsid w:val="004E045F"/>
    <w:rsid w:val="004E0854"/>
    <w:rsid w:val="004E282E"/>
    <w:rsid w:val="004E5CC1"/>
    <w:rsid w:val="004E635F"/>
    <w:rsid w:val="004F0F02"/>
    <w:rsid w:val="004F1154"/>
    <w:rsid w:val="004F36C0"/>
    <w:rsid w:val="004F507D"/>
    <w:rsid w:val="004F56F3"/>
    <w:rsid w:val="004F5B18"/>
    <w:rsid w:val="004F68FC"/>
    <w:rsid w:val="004F6CCA"/>
    <w:rsid w:val="00500326"/>
    <w:rsid w:val="005027CD"/>
    <w:rsid w:val="0050313E"/>
    <w:rsid w:val="00507890"/>
    <w:rsid w:val="0051073C"/>
    <w:rsid w:val="005115BE"/>
    <w:rsid w:val="00512D65"/>
    <w:rsid w:val="005156CE"/>
    <w:rsid w:val="0051681A"/>
    <w:rsid w:val="00524061"/>
    <w:rsid w:val="00525633"/>
    <w:rsid w:val="005257E0"/>
    <w:rsid w:val="0053035E"/>
    <w:rsid w:val="00530E10"/>
    <w:rsid w:val="00532396"/>
    <w:rsid w:val="005356BA"/>
    <w:rsid w:val="0054013E"/>
    <w:rsid w:val="0054065F"/>
    <w:rsid w:val="00540DCC"/>
    <w:rsid w:val="0054149E"/>
    <w:rsid w:val="005417F5"/>
    <w:rsid w:val="0054291D"/>
    <w:rsid w:val="0054404B"/>
    <w:rsid w:val="005446B0"/>
    <w:rsid w:val="00546F22"/>
    <w:rsid w:val="0055009E"/>
    <w:rsid w:val="00550BF0"/>
    <w:rsid w:val="00551F9E"/>
    <w:rsid w:val="005523E6"/>
    <w:rsid w:val="0055289C"/>
    <w:rsid w:val="00552E02"/>
    <w:rsid w:val="00561662"/>
    <w:rsid w:val="00563022"/>
    <w:rsid w:val="00563EBE"/>
    <w:rsid w:val="00567560"/>
    <w:rsid w:val="00571144"/>
    <w:rsid w:val="005755D3"/>
    <w:rsid w:val="00576914"/>
    <w:rsid w:val="00577FFC"/>
    <w:rsid w:val="0058079D"/>
    <w:rsid w:val="00585E7D"/>
    <w:rsid w:val="00591011"/>
    <w:rsid w:val="0059291C"/>
    <w:rsid w:val="00595DFD"/>
    <w:rsid w:val="00595EE0"/>
    <w:rsid w:val="005A0252"/>
    <w:rsid w:val="005A0717"/>
    <w:rsid w:val="005A1CF2"/>
    <w:rsid w:val="005A1DB0"/>
    <w:rsid w:val="005A3CFE"/>
    <w:rsid w:val="005A6DE6"/>
    <w:rsid w:val="005B335C"/>
    <w:rsid w:val="005B41C7"/>
    <w:rsid w:val="005B4FAB"/>
    <w:rsid w:val="005C2A4E"/>
    <w:rsid w:val="005C2C23"/>
    <w:rsid w:val="005C4888"/>
    <w:rsid w:val="005C4907"/>
    <w:rsid w:val="005C7FBE"/>
    <w:rsid w:val="005D269F"/>
    <w:rsid w:val="005D4B63"/>
    <w:rsid w:val="005D6489"/>
    <w:rsid w:val="005E38C6"/>
    <w:rsid w:val="005E45B7"/>
    <w:rsid w:val="005E49C1"/>
    <w:rsid w:val="005E4D04"/>
    <w:rsid w:val="005E52E7"/>
    <w:rsid w:val="005E5705"/>
    <w:rsid w:val="005F1C77"/>
    <w:rsid w:val="005F2583"/>
    <w:rsid w:val="005F2D5D"/>
    <w:rsid w:val="005F4536"/>
    <w:rsid w:val="005F5148"/>
    <w:rsid w:val="005F6924"/>
    <w:rsid w:val="005F6AC1"/>
    <w:rsid w:val="005F77C8"/>
    <w:rsid w:val="00602C20"/>
    <w:rsid w:val="006044B4"/>
    <w:rsid w:val="00606BE9"/>
    <w:rsid w:val="00606F75"/>
    <w:rsid w:val="00607973"/>
    <w:rsid w:val="00611629"/>
    <w:rsid w:val="00612333"/>
    <w:rsid w:val="00612420"/>
    <w:rsid w:val="0061368E"/>
    <w:rsid w:val="006140A3"/>
    <w:rsid w:val="006149FD"/>
    <w:rsid w:val="006156C3"/>
    <w:rsid w:val="006174F6"/>
    <w:rsid w:val="00621737"/>
    <w:rsid w:val="006336F0"/>
    <w:rsid w:val="00637BD3"/>
    <w:rsid w:val="00640521"/>
    <w:rsid w:val="0064217A"/>
    <w:rsid w:val="0064344D"/>
    <w:rsid w:val="0064547D"/>
    <w:rsid w:val="00650F60"/>
    <w:rsid w:val="0065123A"/>
    <w:rsid w:val="00652A3D"/>
    <w:rsid w:val="00655040"/>
    <w:rsid w:val="00656A4D"/>
    <w:rsid w:val="0065760C"/>
    <w:rsid w:val="00663BB0"/>
    <w:rsid w:val="00663F28"/>
    <w:rsid w:val="006737CD"/>
    <w:rsid w:val="0067659B"/>
    <w:rsid w:val="00677777"/>
    <w:rsid w:val="00684374"/>
    <w:rsid w:val="0068551E"/>
    <w:rsid w:val="00687DD2"/>
    <w:rsid w:val="006904EB"/>
    <w:rsid w:val="00690C14"/>
    <w:rsid w:val="0069210E"/>
    <w:rsid w:val="00693ACA"/>
    <w:rsid w:val="006946FF"/>
    <w:rsid w:val="006967A2"/>
    <w:rsid w:val="00696C18"/>
    <w:rsid w:val="006A07DA"/>
    <w:rsid w:val="006A2141"/>
    <w:rsid w:val="006A2400"/>
    <w:rsid w:val="006A414F"/>
    <w:rsid w:val="006A7334"/>
    <w:rsid w:val="006B4943"/>
    <w:rsid w:val="006C02F3"/>
    <w:rsid w:val="006C09BC"/>
    <w:rsid w:val="006C1443"/>
    <w:rsid w:val="006C30AC"/>
    <w:rsid w:val="006C48A0"/>
    <w:rsid w:val="006C4F0F"/>
    <w:rsid w:val="006C571D"/>
    <w:rsid w:val="006C5F2A"/>
    <w:rsid w:val="006C5FAD"/>
    <w:rsid w:val="006C70F6"/>
    <w:rsid w:val="006C778F"/>
    <w:rsid w:val="006D13E4"/>
    <w:rsid w:val="006D26DA"/>
    <w:rsid w:val="006D2B95"/>
    <w:rsid w:val="006D2DB6"/>
    <w:rsid w:val="006D38EC"/>
    <w:rsid w:val="006D3DA0"/>
    <w:rsid w:val="006D3DA7"/>
    <w:rsid w:val="006D5108"/>
    <w:rsid w:val="006D7A90"/>
    <w:rsid w:val="006E192B"/>
    <w:rsid w:val="006E3860"/>
    <w:rsid w:val="006E3A89"/>
    <w:rsid w:val="006E52DE"/>
    <w:rsid w:val="006E5367"/>
    <w:rsid w:val="006E7851"/>
    <w:rsid w:val="006F02A3"/>
    <w:rsid w:val="006F02C7"/>
    <w:rsid w:val="006F2A6A"/>
    <w:rsid w:val="006F2B04"/>
    <w:rsid w:val="006F32D9"/>
    <w:rsid w:val="006F3652"/>
    <w:rsid w:val="006F4E72"/>
    <w:rsid w:val="006F635D"/>
    <w:rsid w:val="006F7786"/>
    <w:rsid w:val="006F79CC"/>
    <w:rsid w:val="007016BB"/>
    <w:rsid w:val="00701C64"/>
    <w:rsid w:val="007035A2"/>
    <w:rsid w:val="0070473D"/>
    <w:rsid w:val="0070582D"/>
    <w:rsid w:val="00706770"/>
    <w:rsid w:val="00710C84"/>
    <w:rsid w:val="00714EC6"/>
    <w:rsid w:val="00715A50"/>
    <w:rsid w:val="007173E1"/>
    <w:rsid w:val="00717AFC"/>
    <w:rsid w:val="00720052"/>
    <w:rsid w:val="00724896"/>
    <w:rsid w:val="007256A1"/>
    <w:rsid w:val="00726B0F"/>
    <w:rsid w:val="00727640"/>
    <w:rsid w:val="00731D97"/>
    <w:rsid w:val="0073378D"/>
    <w:rsid w:val="007344F0"/>
    <w:rsid w:val="007412AE"/>
    <w:rsid w:val="00741D66"/>
    <w:rsid w:val="0074313D"/>
    <w:rsid w:val="007439F4"/>
    <w:rsid w:val="00745719"/>
    <w:rsid w:val="00746369"/>
    <w:rsid w:val="00746A11"/>
    <w:rsid w:val="007511F9"/>
    <w:rsid w:val="007558B2"/>
    <w:rsid w:val="007561CD"/>
    <w:rsid w:val="00757472"/>
    <w:rsid w:val="00757874"/>
    <w:rsid w:val="0076110C"/>
    <w:rsid w:val="0076124D"/>
    <w:rsid w:val="00761513"/>
    <w:rsid w:val="00762A79"/>
    <w:rsid w:val="00766D37"/>
    <w:rsid w:val="00770A4B"/>
    <w:rsid w:val="00770A85"/>
    <w:rsid w:val="0077133E"/>
    <w:rsid w:val="0077340D"/>
    <w:rsid w:val="00773707"/>
    <w:rsid w:val="00775FA4"/>
    <w:rsid w:val="00777035"/>
    <w:rsid w:val="00777342"/>
    <w:rsid w:val="00777C08"/>
    <w:rsid w:val="00782D07"/>
    <w:rsid w:val="00782F8B"/>
    <w:rsid w:val="00784381"/>
    <w:rsid w:val="007850BE"/>
    <w:rsid w:val="00791945"/>
    <w:rsid w:val="0079392E"/>
    <w:rsid w:val="007940BA"/>
    <w:rsid w:val="0079439B"/>
    <w:rsid w:val="00797D4E"/>
    <w:rsid w:val="007A1622"/>
    <w:rsid w:val="007A30F9"/>
    <w:rsid w:val="007A3B6A"/>
    <w:rsid w:val="007A5476"/>
    <w:rsid w:val="007A61B9"/>
    <w:rsid w:val="007A676B"/>
    <w:rsid w:val="007A6CF3"/>
    <w:rsid w:val="007B26BB"/>
    <w:rsid w:val="007B415A"/>
    <w:rsid w:val="007B5797"/>
    <w:rsid w:val="007B68A4"/>
    <w:rsid w:val="007B6ED5"/>
    <w:rsid w:val="007B71E9"/>
    <w:rsid w:val="007D1786"/>
    <w:rsid w:val="007D17F4"/>
    <w:rsid w:val="007D1B4F"/>
    <w:rsid w:val="007D2E85"/>
    <w:rsid w:val="007D50C7"/>
    <w:rsid w:val="007D5AA4"/>
    <w:rsid w:val="007E1398"/>
    <w:rsid w:val="007E2128"/>
    <w:rsid w:val="007E699A"/>
    <w:rsid w:val="007E76F5"/>
    <w:rsid w:val="007F1254"/>
    <w:rsid w:val="007F2D2C"/>
    <w:rsid w:val="007F2F02"/>
    <w:rsid w:val="007F339B"/>
    <w:rsid w:val="007F3A6A"/>
    <w:rsid w:val="007F440D"/>
    <w:rsid w:val="007F4C83"/>
    <w:rsid w:val="007F5049"/>
    <w:rsid w:val="008017EF"/>
    <w:rsid w:val="008019CB"/>
    <w:rsid w:val="00803309"/>
    <w:rsid w:val="00803E82"/>
    <w:rsid w:val="00804C23"/>
    <w:rsid w:val="00804CCE"/>
    <w:rsid w:val="00804F57"/>
    <w:rsid w:val="00805B6B"/>
    <w:rsid w:val="00806D24"/>
    <w:rsid w:val="00810630"/>
    <w:rsid w:val="00810B1E"/>
    <w:rsid w:val="00810BB8"/>
    <w:rsid w:val="00814956"/>
    <w:rsid w:val="00816772"/>
    <w:rsid w:val="00817634"/>
    <w:rsid w:val="0082047B"/>
    <w:rsid w:val="00820ABA"/>
    <w:rsid w:val="008242E6"/>
    <w:rsid w:val="00824EFA"/>
    <w:rsid w:val="0082547A"/>
    <w:rsid w:val="008311BB"/>
    <w:rsid w:val="00831E31"/>
    <w:rsid w:val="00832EC2"/>
    <w:rsid w:val="00832F08"/>
    <w:rsid w:val="00833B2E"/>
    <w:rsid w:val="00833B6C"/>
    <w:rsid w:val="00833C2B"/>
    <w:rsid w:val="00833EB5"/>
    <w:rsid w:val="00837746"/>
    <w:rsid w:val="00837BCC"/>
    <w:rsid w:val="00840BCF"/>
    <w:rsid w:val="00841785"/>
    <w:rsid w:val="00844366"/>
    <w:rsid w:val="00844414"/>
    <w:rsid w:val="008444EE"/>
    <w:rsid w:val="008451EB"/>
    <w:rsid w:val="00851066"/>
    <w:rsid w:val="00851223"/>
    <w:rsid w:val="008517BE"/>
    <w:rsid w:val="0085239C"/>
    <w:rsid w:val="00852CD4"/>
    <w:rsid w:val="00853209"/>
    <w:rsid w:val="00853BC2"/>
    <w:rsid w:val="00854FE0"/>
    <w:rsid w:val="0085631A"/>
    <w:rsid w:val="00856D77"/>
    <w:rsid w:val="00860B79"/>
    <w:rsid w:val="00862243"/>
    <w:rsid w:val="008637E3"/>
    <w:rsid w:val="00864B74"/>
    <w:rsid w:val="0086662F"/>
    <w:rsid w:val="00874735"/>
    <w:rsid w:val="00875834"/>
    <w:rsid w:val="008762F4"/>
    <w:rsid w:val="00877A8D"/>
    <w:rsid w:val="008802DF"/>
    <w:rsid w:val="00880BD0"/>
    <w:rsid w:val="00881769"/>
    <w:rsid w:val="00882394"/>
    <w:rsid w:val="008830C6"/>
    <w:rsid w:val="00892254"/>
    <w:rsid w:val="00892A6C"/>
    <w:rsid w:val="00893059"/>
    <w:rsid w:val="00894F80"/>
    <w:rsid w:val="00895873"/>
    <w:rsid w:val="008A1E52"/>
    <w:rsid w:val="008A21D5"/>
    <w:rsid w:val="008A576E"/>
    <w:rsid w:val="008B120A"/>
    <w:rsid w:val="008B1623"/>
    <w:rsid w:val="008B1B83"/>
    <w:rsid w:val="008B278A"/>
    <w:rsid w:val="008B2F9B"/>
    <w:rsid w:val="008B36F4"/>
    <w:rsid w:val="008C05DA"/>
    <w:rsid w:val="008C233C"/>
    <w:rsid w:val="008C2CB2"/>
    <w:rsid w:val="008C3B05"/>
    <w:rsid w:val="008D0F66"/>
    <w:rsid w:val="008D1E8D"/>
    <w:rsid w:val="008D22E7"/>
    <w:rsid w:val="008D4104"/>
    <w:rsid w:val="008D4DDC"/>
    <w:rsid w:val="008D541E"/>
    <w:rsid w:val="008D7C4B"/>
    <w:rsid w:val="008E0480"/>
    <w:rsid w:val="008E0640"/>
    <w:rsid w:val="008E1EFF"/>
    <w:rsid w:val="008E2C43"/>
    <w:rsid w:val="008E55C7"/>
    <w:rsid w:val="008E5E47"/>
    <w:rsid w:val="008E64F5"/>
    <w:rsid w:val="008E7541"/>
    <w:rsid w:val="008F0873"/>
    <w:rsid w:val="008F1D68"/>
    <w:rsid w:val="008F4AD4"/>
    <w:rsid w:val="008F50B8"/>
    <w:rsid w:val="008F558F"/>
    <w:rsid w:val="008F71EA"/>
    <w:rsid w:val="008F7208"/>
    <w:rsid w:val="009011D6"/>
    <w:rsid w:val="009018C8"/>
    <w:rsid w:val="0090354F"/>
    <w:rsid w:val="00903657"/>
    <w:rsid w:val="00910EBB"/>
    <w:rsid w:val="009112E5"/>
    <w:rsid w:val="0091266D"/>
    <w:rsid w:val="00913AF2"/>
    <w:rsid w:val="00913C91"/>
    <w:rsid w:val="009141D6"/>
    <w:rsid w:val="00915199"/>
    <w:rsid w:val="0091612E"/>
    <w:rsid w:val="0091696C"/>
    <w:rsid w:val="009310A7"/>
    <w:rsid w:val="009321AB"/>
    <w:rsid w:val="00933EF3"/>
    <w:rsid w:val="00934983"/>
    <w:rsid w:val="009359B3"/>
    <w:rsid w:val="009375F4"/>
    <w:rsid w:val="00940D8B"/>
    <w:rsid w:val="00942A69"/>
    <w:rsid w:val="009431D2"/>
    <w:rsid w:val="00944C18"/>
    <w:rsid w:val="00944D52"/>
    <w:rsid w:val="00945362"/>
    <w:rsid w:val="00945905"/>
    <w:rsid w:val="00950A89"/>
    <w:rsid w:val="0095366A"/>
    <w:rsid w:val="00954C15"/>
    <w:rsid w:val="00957DD9"/>
    <w:rsid w:val="00957DEB"/>
    <w:rsid w:val="00962F7C"/>
    <w:rsid w:val="00965435"/>
    <w:rsid w:val="009656D5"/>
    <w:rsid w:val="0096756C"/>
    <w:rsid w:val="00967570"/>
    <w:rsid w:val="009700B9"/>
    <w:rsid w:val="00972740"/>
    <w:rsid w:val="00976868"/>
    <w:rsid w:val="00977EF3"/>
    <w:rsid w:val="00980571"/>
    <w:rsid w:val="00982145"/>
    <w:rsid w:val="009850AA"/>
    <w:rsid w:val="009854AA"/>
    <w:rsid w:val="00985A74"/>
    <w:rsid w:val="0098721F"/>
    <w:rsid w:val="00987672"/>
    <w:rsid w:val="00990B4B"/>
    <w:rsid w:val="00993286"/>
    <w:rsid w:val="00995EA9"/>
    <w:rsid w:val="009A26ED"/>
    <w:rsid w:val="009A2BF3"/>
    <w:rsid w:val="009A3703"/>
    <w:rsid w:val="009A4FD1"/>
    <w:rsid w:val="009A68AF"/>
    <w:rsid w:val="009A76DD"/>
    <w:rsid w:val="009B3673"/>
    <w:rsid w:val="009B497A"/>
    <w:rsid w:val="009B71E7"/>
    <w:rsid w:val="009B77BF"/>
    <w:rsid w:val="009C1259"/>
    <w:rsid w:val="009C16CF"/>
    <w:rsid w:val="009C1780"/>
    <w:rsid w:val="009C4AB7"/>
    <w:rsid w:val="009D394F"/>
    <w:rsid w:val="009D53DA"/>
    <w:rsid w:val="009D6181"/>
    <w:rsid w:val="009D64D4"/>
    <w:rsid w:val="009E16C1"/>
    <w:rsid w:val="009E1A77"/>
    <w:rsid w:val="009E32F8"/>
    <w:rsid w:val="009E4D40"/>
    <w:rsid w:val="009E501F"/>
    <w:rsid w:val="009E5BDF"/>
    <w:rsid w:val="009E798B"/>
    <w:rsid w:val="009F0970"/>
    <w:rsid w:val="009F3CF4"/>
    <w:rsid w:val="009F523E"/>
    <w:rsid w:val="009F6B1F"/>
    <w:rsid w:val="00A0173F"/>
    <w:rsid w:val="00A04BBD"/>
    <w:rsid w:val="00A06DD9"/>
    <w:rsid w:val="00A14456"/>
    <w:rsid w:val="00A151EF"/>
    <w:rsid w:val="00A15F8E"/>
    <w:rsid w:val="00A16154"/>
    <w:rsid w:val="00A16756"/>
    <w:rsid w:val="00A264E3"/>
    <w:rsid w:val="00A30DE8"/>
    <w:rsid w:val="00A334BD"/>
    <w:rsid w:val="00A33E47"/>
    <w:rsid w:val="00A34FB4"/>
    <w:rsid w:val="00A35DD0"/>
    <w:rsid w:val="00A36222"/>
    <w:rsid w:val="00A3726E"/>
    <w:rsid w:val="00A40C0C"/>
    <w:rsid w:val="00A4121D"/>
    <w:rsid w:val="00A460C5"/>
    <w:rsid w:val="00A468EE"/>
    <w:rsid w:val="00A52EBB"/>
    <w:rsid w:val="00A53DD7"/>
    <w:rsid w:val="00A54EF6"/>
    <w:rsid w:val="00A60C18"/>
    <w:rsid w:val="00A62C8C"/>
    <w:rsid w:val="00A6399F"/>
    <w:rsid w:val="00A65A28"/>
    <w:rsid w:val="00A65FB9"/>
    <w:rsid w:val="00A67BBC"/>
    <w:rsid w:val="00A67C52"/>
    <w:rsid w:val="00A73825"/>
    <w:rsid w:val="00A7628A"/>
    <w:rsid w:val="00A76DD9"/>
    <w:rsid w:val="00A775C7"/>
    <w:rsid w:val="00A777D1"/>
    <w:rsid w:val="00A80893"/>
    <w:rsid w:val="00A831EA"/>
    <w:rsid w:val="00A83CEC"/>
    <w:rsid w:val="00A84632"/>
    <w:rsid w:val="00A852B2"/>
    <w:rsid w:val="00A85567"/>
    <w:rsid w:val="00A87725"/>
    <w:rsid w:val="00A87997"/>
    <w:rsid w:val="00A87BA0"/>
    <w:rsid w:val="00A91D74"/>
    <w:rsid w:val="00A927A5"/>
    <w:rsid w:val="00A92F4B"/>
    <w:rsid w:val="00A950AB"/>
    <w:rsid w:val="00AA562B"/>
    <w:rsid w:val="00AA5E8A"/>
    <w:rsid w:val="00AA664F"/>
    <w:rsid w:val="00AA723F"/>
    <w:rsid w:val="00AB0833"/>
    <w:rsid w:val="00AB10B2"/>
    <w:rsid w:val="00AB4F13"/>
    <w:rsid w:val="00AB61B8"/>
    <w:rsid w:val="00AC148D"/>
    <w:rsid w:val="00AC5C74"/>
    <w:rsid w:val="00AC7719"/>
    <w:rsid w:val="00AD2101"/>
    <w:rsid w:val="00AD285E"/>
    <w:rsid w:val="00AD2D82"/>
    <w:rsid w:val="00AD2D98"/>
    <w:rsid w:val="00AD2FDB"/>
    <w:rsid w:val="00AD549C"/>
    <w:rsid w:val="00AE063E"/>
    <w:rsid w:val="00AE0F50"/>
    <w:rsid w:val="00AE295C"/>
    <w:rsid w:val="00AE3569"/>
    <w:rsid w:val="00AE3D64"/>
    <w:rsid w:val="00AE45FD"/>
    <w:rsid w:val="00AF33CF"/>
    <w:rsid w:val="00AF512C"/>
    <w:rsid w:val="00B00F30"/>
    <w:rsid w:val="00B0757F"/>
    <w:rsid w:val="00B10A64"/>
    <w:rsid w:val="00B119B4"/>
    <w:rsid w:val="00B121AD"/>
    <w:rsid w:val="00B2102D"/>
    <w:rsid w:val="00B240FB"/>
    <w:rsid w:val="00B31446"/>
    <w:rsid w:val="00B315E9"/>
    <w:rsid w:val="00B32DB6"/>
    <w:rsid w:val="00B35CD1"/>
    <w:rsid w:val="00B378D6"/>
    <w:rsid w:val="00B403B6"/>
    <w:rsid w:val="00B40FB9"/>
    <w:rsid w:val="00B412EE"/>
    <w:rsid w:val="00B41F90"/>
    <w:rsid w:val="00B42FB5"/>
    <w:rsid w:val="00B45546"/>
    <w:rsid w:val="00B519C2"/>
    <w:rsid w:val="00B519C9"/>
    <w:rsid w:val="00B538A2"/>
    <w:rsid w:val="00B53D15"/>
    <w:rsid w:val="00B54638"/>
    <w:rsid w:val="00B60C15"/>
    <w:rsid w:val="00B60EC7"/>
    <w:rsid w:val="00B61623"/>
    <w:rsid w:val="00B6292C"/>
    <w:rsid w:val="00B629C5"/>
    <w:rsid w:val="00B64296"/>
    <w:rsid w:val="00B71596"/>
    <w:rsid w:val="00B77457"/>
    <w:rsid w:val="00B80E12"/>
    <w:rsid w:val="00B8165A"/>
    <w:rsid w:val="00B81661"/>
    <w:rsid w:val="00B824AE"/>
    <w:rsid w:val="00B82D4D"/>
    <w:rsid w:val="00B8351F"/>
    <w:rsid w:val="00B84F87"/>
    <w:rsid w:val="00B86E3F"/>
    <w:rsid w:val="00B95260"/>
    <w:rsid w:val="00B97737"/>
    <w:rsid w:val="00B97CAE"/>
    <w:rsid w:val="00BA1621"/>
    <w:rsid w:val="00BA2722"/>
    <w:rsid w:val="00BB1121"/>
    <w:rsid w:val="00BB1686"/>
    <w:rsid w:val="00BB3455"/>
    <w:rsid w:val="00BB4244"/>
    <w:rsid w:val="00BB492A"/>
    <w:rsid w:val="00BB5E21"/>
    <w:rsid w:val="00BB5F38"/>
    <w:rsid w:val="00BC71DC"/>
    <w:rsid w:val="00BC7EB9"/>
    <w:rsid w:val="00BD2257"/>
    <w:rsid w:val="00BD283D"/>
    <w:rsid w:val="00BD4AA4"/>
    <w:rsid w:val="00BD4E46"/>
    <w:rsid w:val="00BD55C1"/>
    <w:rsid w:val="00BD5795"/>
    <w:rsid w:val="00BD7946"/>
    <w:rsid w:val="00BD7989"/>
    <w:rsid w:val="00BE08A6"/>
    <w:rsid w:val="00BE118C"/>
    <w:rsid w:val="00BE150A"/>
    <w:rsid w:val="00BE43CF"/>
    <w:rsid w:val="00BE646C"/>
    <w:rsid w:val="00BE780C"/>
    <w:rsid w:val="00BE7B22"/>
    <w:rsid w:val="00BF1E16"/>
    <w:rsid w:val="00BF31D9"/>
    <w:rsid w:val="00BF51C5"/>
    <w:rsid w:val="00BF7DCA"/>
    <w:rsid w:val="00C016C3"/>
    <w:rsid w:val="00C027D9"/>
    <w:rsid w:val="00C02E86"/>
    <w:rsid w:val="00C048E5"/>
    <w:rsid w:val="00C06A69"/>
    <w:rsid w:val="00C12B3D"/>
    <w:rsid w:val="00C1375E"/>
    <w:rsid w:val="00C1397E"/>
    <w:rsid w:val="00C15713"/>
    <w:rsid w:val="00C16161"/>
    <w:rsid w:val="00C1692B"/>
    <w:rsid w:val="00C169EB"/>
    <w:rsid w:val="00C213DD"/>
    <w:rsid w:val="00C22BD2"/>
    <w:rsid w:val="00C2415D"/>
    <w:rsid w:val="00C26033"/>
    <w:rsid w:val="00C2696F"/>
    <w:rsid w:val="00C27DD9"/>
    <w:rsid w:val="00C32B63"/>
    <w:rsid w:val="00C333DE"/>
    <w:rsid w:val="00C336FC"/>
    <w:rsid w:val="00C34AD3"/>
    <w:rsid w:val="00C34DE1"/>
    <w:rsid w:val="00C35509"/>
    <w:rsid w:val="00C37D96"/>
    <w:rsid w:val="00C43842"/>
    <w:rsid w:val="00C44235"/>
    <w:rsid w:val="00C44A1A"/>
    <w:rsid w:val="00C46607"/>
    <w:rsid w:val="00C47D68"/>
    <w:rsid w:val="00C5015C"/>
    <w:rsid w:val="00C50897"/>
    <w:rsid w:val="00C50A68"/>
    <w:rsid w:val="00C510D6"/>
    <w:rsid w:val="00C520BB"/>
    <w:rsid w:val="00C53D8E"/>
    <w:rsid w:val="00C54E7C"/>
    <w:rsid w:val="00C5653E"/>
    <w:rsid w:val="00C62D24"/>
    <w:rsid w:val="00C62EEA"/>
    <w:rsid w:val="00C67181"/>
    <w:rsid w:val="00C679DC"/>
    <w:rsid w:val="00C70A12"/>
    <w:rsid w:val="00C71126"/>
    <w:rsid w:val="00C73FBD"/>
    <w:rsid w:val="00C748A1"/>
    <w:rsid w:val="00C75610"/>
    <w:rsid w:val="00C75A85"/>
    <w:rsid w:val="00C77EB9"/>
    <w:rsid w:val="00C80D04"/>
    <w:rsid w:val="00C822B6"/>
    <w:rsid w:val="00C829C7"/>
    <w:rsid w:val="00C82AE2"/>
    <w:rsid w:val="00C82B87"/>
    <w:rsid w:val="00C843E4"/>
    <w:rsid w:val="00C91494"/>
    <w:rsid w:val="00C91788"/>
    <w:rsid w:val="00C93865"/>
    <w:rsid w:val="00C93912"/>
    <w:rsid w:val="00C95904"/>
    <w:rsid w:val="00C95B86"/>
    <w:rsid w:val="00C96438"/>
    <w:rsid w:val="00CA1711"/>
    <w:rsid w:val="00CA4B13"/>
    <w:rsid w:val="00CA7822"/>
    <w:rsid w:val="00CA7E99"/>
    <w:rsid w:val="00CB0B5C"/>
    <w:rsid w:val="00CB0ED0"/>
    <w:rsid w:val="00CB13C0"/>
    <w:rsid w:val="00CB281C"/>
    <w:rsid w:val="00CB4628"/>
    <w:rsid w:val="00CB49F3"/>
    <w:rsid w:val="00CB5704"/>
    <w:rsid w:val="00CB5C9C"/>
    <w:rsid w:val="00CC07FC"/>
    <w:rsid w:val="00CC09AE"/>
    <w:rsid w:val="00CC0BAE"/>
    <w:rsid w:val="00CC0D5D"/>
    <w:rsid w:val="00CC1431"/>
    <w:rsid w:val="00CC279A"/>
    <w:rsid w:val="00CC647E"/>
    <w:rsid w:val="00CC73F0"/>
    <w:rsid w:val="00CC7E2B"/>
    <w:rsid w:val="00CD0AA1"/>
    <w:rsid w:val="00CD2D3F"/>
    <w:rsid w:val="00CD5932"/>
    <w:rsid w:val="00CD5BC4"/>
    <w:rsid w:val="00CD5D29"/>
    <w:rsid w:val="00CD6FD0"/>
    <w:rsid w:val="00CE198E"/>
    <w:rsid w:val="00CE278A"/>
    <w:rsid w:val="00CE2C75"/>
    <w:rsid w:val="00CE32FF"/>
    <w:rsid w:val="00CE3FD1"/>
    <w:rsid w:val="00CF29A8"/>
    <w:rsid w:val="00CF393B"/>
    <w:rsid w:val="00D01C96"/>
    <w:rsid w:val="00D0501A"/>
    <w:rsid w:val="00D10283"/>
    <w:rsid w:val="00D10D38"/>
    <w:rsid w:val="00D1326D"/>
    <w:rsid w:val="00D145F4"/>
    <w:rsid w:val="00D14B05"/>
    <w:rsid w:val="00D159C3"/>
    <w:rsid w:val="00D173F3"/>
    <w:rsid w:val="00D2278F"/>
    <w:rsid w:val="00D2655B"/>
    <w:rsid w:val="00D30852"/>
    <w:rsid w:val="00D31FD5"/>
    <w:rsid w:val="00D33827"/>
    <w:rsid w:val="00D33AB2"/>
    <w:rsid w:val="00D350DC"/>
    <w:rsid w:val="00D35567"/>
    <w:rsid w:val="00D4099C"/>
    <w:rsid w:val="00D42AD1"/>
    <w:rsid w:val="00D4339B"/>
    <w:rsid w:val="00D443AE"/>
    <w:rsid w:val="00D465BF"/>
    <w:rsid w:val="00D47EDD"/>
    <w:rsid w:val="00D50DC8"/>
    <w:rsid w:val="00D52C72"/>
    <w:rsid w:val="00D53E05"/>
    <w:rsid w:val="00D5512E"/>
    <w:rsid w:val="00D557D9"/>
    <w:rsid w:val="00D56318"/>
    <w:rsid w:val="00D56B03"/>
    <w:rsid w:val="00D601DF"/>
    <w:rsid w:val="00D609ED"/>
    <w:rsid w:val="00D618CF"/>
    <w:rsid w:val="00D62593"/>
    <w:rsid w:val="00D649BB"/>
    <w:rsid w:val="00D64CFA"/>
    <w:rsid w:val="00D66223"/>
    <w:rsid w:val="00D679D8"/>
    <w:rsid w:val="00D67A8C"/>
    <w:rsid w:val="00D720FE"/>
    <w:rsid w:val="00D7275E"/>
    <w:rsid w:val="00D73229"/>
    <w:rsid w:val="00D74602"/>
    <w:rsid w:val="00D74BA4"/>
    <w:rsid w:val="00D80FDB"/>
    <w:rsid w:val="00D929A4"/>
    <w:rsid w:val="00D94A47"/>
    <w:rsid w:val="00D965BE"/>
    <w:rsid w:val="00D96D1E"/>
    <w:rsid w:val="00DA0952"/>
    <w:rsid w:val="00DA3EEC"/>
    <w:rsid w:val="00DA7A06"/>
    <w:rsid w:val="00DA7D9A"/>
    <w:rsid w:val="00DB1ADD"/>
    <w:rsid w:val="00DB4D72"/>
    <w:rsid w:val="00DB59A9"/>
    <w:rsid w:val="00DB7F37"/>
    <w:rsid w:val="00DC0299"/>
    <w:rsid w:val="00DC0489"/>
    <w:rsid w:val="00DC051C"/>
    <w:rsid w:val="00DC0954"/>
    <w:rsid w:val="00DC3687"/>
    <w:rsid w:val="00DC5174"/>
    <w:rsid w:val="00DC5DE7"/>
    <w:rsid w:val="00DC603A"/>
    <w:rsid w:val="00DC60BA"/>
    <w:rsid w:val="00DC7103"/>
    <w:rsid w:val="00DC749D"/>
    <w:rsid w:val="00DD3841"/>
    <w:rsid w:val="00DD6189"/>
    <w:rsid w:val="00DD77FD"/>
    <w:rsid w:val="00DE0987"/>
    <w:rsid w:val="00DE0D6C"/>
    <w:rsid w:val="00DE1524"/>
    <w:rsid w:val="00DE2980"/>
    <w:rsid w:val="00DE5260"/>
    <w:rsid w:val="00DE6122"/>
    <w:rsid w:val="00DE6648"/>
    <w:rsid w:val="00DE68A7"/>
    <w:rsid w:val="00DF10BE"/>
    <w:rsid w:val="00DF2004"/>
    <w:rsid w:val="00DF21F7"/>
    <w:rsid w:val="00DF22AA"/>
    <w:rsid w:val="00DF43DE"/>
    <w:rsid w:val="00DF529B"/>
    <w:rsid w:val="00DF7999"/>
    <w:rsid w:val="00DF7B3D"/>
    <w:rsid w:val="00E06024"/>
    <w:rsid w:val="00E0683E"/>
    <w:rsid w:val="00E140DA"/>
    <w:rsid w:val="00E20AC2"/>
    <w:rsid w:val="00E23117"/>
    <w:rsid w:val="00E24C42"/>
    <w:rsid w:val="00E24DB5"/>
    <w:rsid w:val="00E26A6C"/>
    <w:rsid w:val="00E26B58"/>
    <w:rsid w:val="00E26D0F"/>
    <w:rsid w:val="00E3181A"/>
    <w:rsid w:val="00E31F45"/>
    <w:rsid w:val="00E336E0"/>
    <w:rsid w:val="00E34915"/>
    <w:rsid w:val="00E37131"/>
    <w:rsid w:val="00E40144"/>
    <w:rsid w:val="00E40C85"/>
    <w:rsid w:val="00E447BF"/>
    <w:rsid w:val="00E45521"/>
    <w:rsid w:val="00E45CE9"/>
    <w:rsid w:val="00E47C5C"/>
    <w:rsid w:val="00E47F01"/>
    <w:rsid w:val="00E509DC"/>
    <w:rsid w:val="00E55A1A"/>
    <w:rsid w:val="00E612E8"/>
    <w:rsid w:val="00E63077"/>
    <w:rsid w:val="00E6468D"/>
    <w:rsid w:val="00E64DD2"/>
    <w:rsid w:val="00E67FC9"/>
    <w:rsid w:val="00E704E5"/>
    <w:rsid w:val="00E70930"/>
    <w:rsid w:val="00E70F53"/>
    <w:rsid w:val="00E75056"/>
    <w:rsid w:val="00E77DC5"/>
    <w:rsid w:val="00E82880"/>
    <w:rsid w:val="00E82E4E"/>
    <w:rsid w:val="00E85641"/>
    <w:rsid w:val="00E857D3"/>
    <w:rsid w:val="00E91FF6"/>
    <w:rsid w:val="00E92B21"/>
    <w:rsid w:val="00E93223"/>
    <w:rsid w:val="00E93D62"/>
    <w:rsid w:val="00E94906"/>
    <w:rsid w:val="00E95A5B"/>
    <w:rsid w:val="00E95C3C"/>
    <w:rsid w:val="00E95CFC"/>
    <w:rsid w:val="00EA4D9A"/>
    <w:rsid w:val="00EA6095"/>
    <w:rsid w:val="00EB1D54"/>
    <w:rsid w:val="00EB37AB"/>
    <w:rsid w:val="00EB4E05"/>
    <w:rsid w:val="00EB7286"/>
    <w:rsid w:val="00EB7CBA"/>
    <w:rsid w:val="00EC042B"/>
    <w:rsid w:val="00EC0E86"/>
    <w:rsid w:val="00EC0F3B"/>
    <w:rsid w:val="00EC3266"/>
    <w:rsid w:val="00EC5D70"/>
    <w:rsid w:val="00ED108F"/>
    <w:rsid w:val="00ED1F05"/>
    <w:rsid w:val="00ED24C4"/>
    <w:rsid w:val="00ED5B50"/>
    <w:rsid w:val="00ED7F6F"/>
    <w:rsid w:val="00EE0E0A"/>
    <w:rsid w:val="00EE2CD0"/>
    <w:rsid w:val="00EE2D2F"/>
    <w:rsid w:val="00EE38E4"/>
    <w:rsid w:val="00EE3EC5"/>
    <w:rsid w:val="00EE47BA"/>
    <w:rsid w:val="00EE4CAA"/>
    <w:rsid w:val="00EE67B3"/>
    <w:rsid w:val="00EE68A3"/>
    <w:rsid w:val="00EF08E6"/>
    <w:rsid w:val="00EF2048"/>
    <w:rsid w:val="00EF300A"/>
    <w:rsid w:val="00EF3A51"/>
    <w:rsid w:val="00EF6D55"/>
    <w:rsid w:val="00EF77B6"/>
    <w:rsid w:val="00F02CC1"/>
    <w:rsid w:val="00F033D2"/>
    <w:rsid w:val="00F037EF"/>
    <w:rsid w:val="00F03B49"/>
    <w:rsid w:val="00F07A61"/>
    <w:rsid w:val="00F07BD1"/>
    <w:rsid w:val="00F07FFB"/>
    <w:rsid w:val="00F15A2A"/>
    <w:rsid w:val="00F1666E"/>
    <w:rsid w:val="00F208E2"/>
    <w:rsid w:val="00F20967"/>
    <w:rsid w:val="00F21AD1"/>
    <w:rsid w:val="00F2219D"/>
    <w:rsid w:val="00F249C6"/>
    <w:rsid w:val="00F25E4B"/>
    <w:rsid w:val="00F26730"/>
    <w:rsid w:val="00F27510"/>
    <w:rsid w:val="00F275AC"/>
    <w:rsid w:val="00F3274E"/>
    <w:rsid w:val="00F35351"/>
    <w:rsid w:val="00F35FD2"/>
    <w:rsid w:val="00F36167"/>
    <w:rsid w:val="00F3786A"/>
    <w:rsid w:val="00F40C22"/>
    <w:rsid w:val="00F4298A"/>
    <w:rsid w:val="00F43857"/>
    <w:rsid w:val="00F51C42"/>
    <w:rsid w:val="00F61340"/>
    <w:rsid w:val="00F63C04"/>
    <w:rsid w:val="00F648B2"/>
    <w:rsid w:val="00F65337"/>
    <w:rsid w:val="00F6617F"/>
    <w:rsid w:val="00F72EB3"/>
    <w:rsid w:val="00F74047"/>
    <w:rsid w:val="00F74FA2"/>
    <w:rsid w:val="00F75911"/>
    <w:rsid w:val="00F7770D"/>
    <w:rsid w:val="00F77FE3"/>
    <w:rsid w:val="00F8213C"/>
    <w:rsid w:val="00F82611"/>
    <w:rsid w:val="00F87F05"/>
    <w:rsid w:val="00F91509"/>
    <w:rsid w:val="00F93E8F"/>
    <w:rsid w:val="00F94B1B"/>
    <w:rsid w:val="00F94FA1"/>
    <w:rsid w:val="00F97F25"/>
    <w:rsid w:val="00FA0537"/>
    <w:rsid w:val="00FA1184"/>
    <w:rsid w:val="00FA1386"/>
    <w:rsid w:val="00FA4370"/>
    <w:rsid w:val="00FA53F1"/>
    <w:rsid w:val="00FA58CE"/>
    <w:rsid w:val="00FA69DF"/>
    <w:rsid w:val="00FA7C11"/>
    <w:rsid w:val="00FB10B2"/>
    <w:rsid w:val="00FB1599"/>
    <w:rsid w:val="00FC2717"/>
    <w:rsid w:val="00FC284A"/>
    <w:rsid w:val="00FD005D"/>
    <w:rsid w:val="00FD081F"/>
    <w:rsid w:val="00FD0D5B"/>
    <w:rsid w:val="00FD0F7A"/>
    <w:rsid w:val="00FD2CB2"/>
    <w:rsid w:val="00FD4D5A"/>
    <w:rsid w:val="00FE3108"/>
    <w:rsid w:val="00FE3829"/>
    <w:rsid w:val="00FE3972"/>
    <w:rsid w:val="00FE73A3"/>
    <w:rsid w:val="00FF56CF"/>
    <w:rsid w:val="00FF573D"/>
    <w:rsid w:val="00FF59B8"/>
    <w:rsid w:val="00FF69D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98B"/>
  </w:style>
  <w:style w:type="paragraph" w:styleId="Heading3">
    <w:name w:val="heading 3"/>
    <w:basedOn w:val="Normal"/>
    <w:link w:val="Heading3Char"/>
    <w:uiPriority w:val="9"/>
    <w:qFormat/>
    <w:rsid w:val="006C5F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13EC3"/>
  </w:style>
  <w:style w:type="character" w:styleId="CommentReference">
    <w:name w:val="annotation reference"/>
    <w:basedOn w:val="DefaultParagraphFont"/>
    <w:uiPriority w:val="99"/>
    <w:semiHidden/>
    <w:unhideWhenUsed/>
    <w:rsid w:val="00ED1F05"/>
    <w:rPr>
      <w:sz w:val="16"/>
      <w:szCs w:val="16"/>
    </w:rPr>
  </w:style>
  <w:style w:type="paragraph" w:styleId="CommentText">
    <w:name w:val="annotation text"/>
    <w:basedOn w:val="Normal"/>
    <w:link w:val="CommentTextChar"/>
    <w:uiPriority w:val="99"/>
    <w:semiHidden/>
    <w:unhideWhenUsed/>
    <w:rsid w:val="00ED1F05"/>
    <w:pPr>
      <w:spacing w:line="240" w:lineRule="auto"/>
    </w:pPr>
    <w:rPr>
      <w:sz w:val="20"/>
      <w:szCs w:val="20"/>
    </w:rPr>
  </w:style>
  <w:style w:type="character" w:customStyle="1" w:styleId="CommentTextChar">
    <w:name w:val="Comment Text Char"/>
    <w:basedOn w:val="DefaultParagraphFont"/>
    <w:link w:val="CommentText"/>
    <w:uiPriority w:val="99"/>
    <w:semiHidden/>
    <w:rsid w:val="00ED1F05"/>
    <w:rPr>
      <w:sz w:val="20"/>
      <w:szCs w:val="20"/>
    </w:rPr>
  </w:style>
  <w:style w:type="paragraph" w:styleId="CommentSubject">
    <w:name w:val="annotation subject"/>
    <w:basedOn w:val="CommentText"/>
    <w:next w:val="CommentText"/>
    <w:link w:val="CommentSubjectChar"/>
    <w:uiPriority w:val="99"/>
    <w:semiHidden/>
    <w:unhideWhenUsed/>
    <w:rsid w:val="00ED1F05"/>
    <w:rPr>
      <w:b/>
      <w:bCs/>
    </w:rPr>
  </w:style>
  <w:style w:type="character" w:customStyle="1" w:styleId="CommentSubjectChar">
    <w:name w:val="Comment Subject Char"/>
    <w:basedOn w:val="CommentTextChar"/>
    <w:link w:val="CommentSubject"/>
    <w:uiPriority w:val="99"/>
    <w:semiHidden/>
    <w:rsid w:val="00ED1F05"/>
    <w:rPr>
      <w:b/>
      <w:bCs/>
      <w:sz w:val="20"/>
      <w:szCs w:val="20"/>
    </w:rPr>
  </w:style>
  <w:style w:type="paragraph" w:styleId="BalloonText">
    <w:name w:val="Balloon Text"/>
    <w:basedOn w:val="Normal"/>
    <w:link w:val="BalloonTextChar"/>
    <w:uiPriority w:val="99"/>
    <w:semiHidden/>
    <w:unhideWhenUsed/>
    <w:rsid w:val="00E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F05"/>
    <w:rPr>
      <w:rFonts w:ascii="Tahoma" w:hAnsi="Tahoma" w:cs="Tahoma"/>
      <w:sz w:val="16"/>
      <w:szCs w:val="16"/>
    </w:rPr>
  </w:style>
  <w:style w:type="paragraph" w:styleId="FootnoteText">
    <w:name w:val="footnote text"/>
    <w:basedOn w:val="Normal"/>
    <w:link w:val="FootnoteTextChar"/>
    <w:uiPriority w:val="99"/>
    <w:unhideWhenUsed/>
    <w:rsid w:val="00F94FA1"/>
    <w:pPr>
      <w:spacing w:after="0" w:line="240" w:lineRule="auto"/>
    </w:pPr>
    <w:rPr>
      <w:sz w:val="20"/>
      <w:szCs w:val="20"/>
    </w:rPr>
  </w:style>
  <w:style w:type="character" w:customStyle="1" w:styleId="FootnoteTextChar">
    <w:name w:val="Footnote Text Char"/>
    <w:basedOn w:val="DefaultParagraphFont"/>
    <w:link w:val="FootnoteText"/>
    <w:uiPriority w:val="99"/>
    <w:rsid w:val="00F94FA1"/>
    <w:rPr>
      <w:sz w:val="20"/>
      <w:szCs w:val="20"/>
    </w:rPr>
  </w:style>
  <w:style w:type="character" w:styleId="FootnoteReference">
    <w:name w:val="footnote reference"/>
    <w:basedOn w:val="DefaultParagraphFont"/>
    <w:uiPriority w:val="99"/>
    <w:semiHidden/>
    <w:unhideWhenUsed/>
    <w:rsid w:val="00F94FA1"/>
    <w:rPr>
      <w:vertAlign w:val="superscript"/>
    </w:rPr>
  </w:style>
  <w:style w:type="paragraph" w:styleId="Revision">
    <w:name w:val="Revision"/>
    <w:hidden/>
    <w:uiPriority w:val="99"/>
    <w:semiHidden/>
    <w:rsid w:val="002D0CA4"/>
    <w:pPr>
      <w:spacing w:after="0" w:line="240" w:lineRule="auto"/>
    </w:pPr>
  </w:style>
  <w:style w:type="paragraph" w:styleId="ListParagraph">
    <w:name w:val="List Paragraph"/>
    <w:basedOn w:val="Normal"/>
    <w:uiPriority w:val="34"/>
    <w:qFormat/>
    <w:rsid w:val="0064344D"/>
    <w:pPr>
      <w:ind w:left="720"/>
      <w:contextualSpacing/>
    </w:pPr>
  </w:style>
  <w:style w:type="table" w:styleId="TableGrid">
    <w:name w:val="Table Grid"/>
    <w:basedOn w:val="TableNormal"/>
    <w:uiPriority w:val="59"/>
    <w:rsid w:val="001A1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6C5FAD"/>
    <w:rPr>
      <w:rFonts w:ascii="Times New Roman" w:eastAsia="Times New Roman" w:hAnsi="Times New Roman" w:cs="Times New Roman"/>
      <w:b/>
      <w:bCs/>
      <w:sz w:val="27"/>
      <w:szCs w:val="27"/>
    </w:rPr>
  </w:style>
  <w:style w:type="character" w:styleId="Emphasis">
    <w:name w:val="Emphasis"/>
    <w:basedOn w:val="DefaultParagraphFont"/>
    <w:uiPriority w:val="20"/>
    <w:qFormat/>
    <w:rsid w:val="006C5FAD"/>
    <w:rPr>
      <w:i/>
      <w:iCs/>
    </w:rPr>
  </w:style>
  <w:style w:type="character" w:styleId="Hyperlink">
    <w:name w:val="Hyperlink"/>
    <w:basedOn w:val="DefaultParagraphFont"/>
    <w:uiPriority w:val="99"/>
    <w:unhideWhenUsed/>
    <w:rsid w:val="00844414"/>
    <w:rPr>
      <w:color w:val="0000FF" w:themeColor="hyperlink"/>
      <w:u w:val="single"/>
    </w:rPr>
  </w:style>
  <w:style w:type="character" w:styleId="FollowedHyperlink">
    <w:name w:val="FollowedHyperlink"/>
    <w:basedOn w:val="DefaultParagraphFont"/>
    <w:uiPriority w:val="99"/>
    <w:semiHidden/>
    <w:unhideWhenUsed/>
    <w:rsid w:val="00844414"/>
    <w:rPr>
      <w:color w:val="800080" w:themeColor="followedHyperlink"/>
      <w:u w:val="single"/>
    </w:rPr>
  </w:style>
  <w:style w:type="paragraph" w:styleId="Header">
    <w:name w:val="header"/>
    <w:basedOn w:val="Normal"/>
    <w:link w:val="HeaderChar"/>
    <w:uiPriority w:val="99"/>
    <w:unhideWhenUsed/>
    <w:rsid w:val="001418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14188A"/>
  </w:style>
  <w:style w:type="paragraph" w:styleId="Footer">
    <w:name w:val="footer"/>
    <w:basedOn w:val="Normal"/>
    <w:link w:val="FooterChar"/>
    <w:uiPriority w:val="99"/>
    <w:unhideWhenUsed/>
    <w:rsid w:val="001418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14188A"/>
  </w:style>
  <w:style w:type="paragraph" w:customStyle="1" w:styleId="CC">
    <w:name w:val="CC"/>
    <w:basedOn w:val="BodyText"/>
    <w:uiPriority w:val="99"/>
    <w:rsid w:val="0014188A"/>
    <w:pPr>
      <w:keepLines/>
      <w:widowControl w:val="0"/>
      <w:autoSpaceDE w:val="0"/>
      <w:autoSpaceDN w:val="0"/>
      <w:spacing w:after="160" w:line="240" w:lineRule="auto"/>
      <w:ind w:left="360" w:hanging="360"/>
    </w:pPr>
    <w:rPr>
      <w:rFonts w:ascii="CG Times" w:eastAsia="Calibri" w:hAnsi="CG Times" w:cs="Times New Roman"/>
      <w:b/>
      <w:sz w:val="20"/>
      <w:szCs w:val="20"/>
    </w:rPr>
  </w:style>
  <w:style w:type="paragraph" w:styleId="BodyText">
    <w:name w:val="Body Text"/>
    <w:basedOn w:val="Normal"/>
    <w:link w:val="BodyTextChar"/>
    <w:uiPriority w:val="99"/>
    <w:semiHidden/>
    <w:unhideWhenUsed/>
    <w:rsid w:val="0014188A"/>
    <w:pPr>
      <w:spacing w:after="120"/>
    </w:pPr>
  </w:style>
  <w:style w:type="character" w:customStyle="1" w:styleId="BodyTextChar">
    <w:name w:val="Body Text Char"/>
    <w:basedOn w:val="DefaultParagraphFont"/>
    <w:link w:val="BodyText"/>
    <w:uiPriority w:val="99"/>
    <w:semiHidden/>
    <w:rsid w:val="0014188A"/>
  </w:style>
  <w:style w:type="paragraph" w:styleId="Caption">
    <w:name w:val="caption"/>
    <w:basedOn w:val="Normal"/>
    <w:next w:val="Normal"/>
    <w:uiPriority w:val="35"/>
    <w:unhideWhenUsed/>
    <w:qFormat/>
    <w:rsid w:val="00C53D8E"/>
    <w:pPr>
      <w:spacing w:line="240" w:lineRule="auto"/>
    </w:pPr>
    <w:rPr>
      <w:b/>
      <w:bCs/>
      <w:color w:val="4F81BD" w:themeColor="accent1"/>
      <w:sz w:val="18"/>
      <w:szCs w:val="18"/>
    </w:rPr>
  </w:style>
  <w:style w:type="character" w:customStyle="1" w:styleId="unicode">
    <w:name w:val="unicode"/>
    <w:basedOn w:val="DefaultParagraphFont"/>
    <w:rsid w:val="00261B5C"/>
  </w:style>
  <w:style w:type="character" w:styleId="Strong">
    <w:name w:val="Strong"/>
    <w:basedOn w:val="DefaultParagraphFont"/>
    <w:uiPriority w:val="22"/>
    <w:qFormat/>
    <w:rsid w:val="00BD7989"/>
    <w:rPr>
      <w:b/>
      <w:bCs/>
    </w:rPr>
  </w:style>
  <w:style w:type="paragraph" w:styleId="DocumentMap">
    <w:name w:val="Document Map"/>
    <w:basedOn w:val="Normal"/>
    <w:link w:val="DocumentMapChar"/>
    <w:uiPriority w:val="99"/>
    <w:semiHidden/>
    <w:unhideWhenUsed/>
    <w:rsid w:val="00EF6D5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F6D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134268">
      <w:bodyDiv w:val="1"/>
      <w:marLeft w:val="0"/>
      <w:marRight w:val="0"/>
      <w:marTop w:val="0"/>
      <w:marBottom w:val="0"/>
      <w:divBdr>
        <w:top w:val="none" w:sz="0" w:space="0" w:color="auto"/>
        <w:left w:val="none" w:sz="0" w:space="0" w:color="auto"/>
        <w:bottom w:val="none" w:sz="0" w:space="0" w:color="auto"/>
        <w:right w:val="none" w:sz="0" w:space="0" w:color="auto"/>
      </w:divBdr>
    </w:div>
    <w:div w:id="687367414">
      <w:bodyDiv w:val="1"/>
      <w:marLeft w:val="0"/>
      <w:marRight w:val="0"/>
      <w:marTop w:val="0"/>
      <w:marBottom w:val="0"/>
      <w:divBdr>
        <w:top w:val="none" w:sz="0" w:space="0" w:color="auto"/>
        <w:left w:val="none" w:sz="0" w:space="0" w:color="auto"/>
        <w:bottom w:val="none" w:sz="0" w:space="0" w:color="auto"/>
        <w:right w:val="none" w:sz="0" w:space="0" w:color="auto"/>
      </w:divBdr>
    </w:div>
    <w:div w:id="907231488">
      <w:bodyDiv w:val="1"/>
      <w:marLeft w:val="0"/>
      <w:marRight w:val="0"/>
      <w:marTop w:val="0"/>
      <w:marBottom w:val="0"/>
      <w:divBdr>
        <w:top w:val="none" w:sz="0" w:space="0" w:color="auto"/>
        <w:left w:val="none" w:sz="0" w:space="0" w:color="auto"/>
        <w:bottom w:val="none" w:sz="0" w:space="0" w:color="auto"/>
        <w:right w:val="none" w:sz="0" w:space="0" w:color="auto"/>
      </w:divBdr>
    </w:div>
    <w:div w:id="1124350831">
      <w:bodyDiv w:val="1"/>
      <w:marLeft w:val="0"/>
      <w:marRight w:val="0"/>
      <w:marTop w:val="0"/>
      <w:marBottom w:val="0"/>
      <w:divBdr>
        <w:top w:val="none" w:sz="0" w:space="0" w:color="auto"/>
        <w:left w:val="none" w:sz="0" w:space="0" w:color="auto"/>
        <w:bottom w:val="none" w:sz="0" w:space="0" w:color="auto"/>
        <w:right w:val="none" w:sz="0" w:space="0" w:color="auto"/>
      </w:divBdr>
    </w:div>
    <w:div w:id="148724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14B813-FF69-49F4-BD2D-B5B09D66A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2966</Words>
  <Characters>16910</Characters>
  <Application>Microsoft Office Word</Application>
  <DocSecurity>0</DocSecurity>
  <Lines>140</Lines>
  <Paragraphs>39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dc:creator>
  <cp:lastModifiedBy>tmpUser</cp:lastModifiedBy>
  <cp:revision>4</cp:revision>
  <dcterms:created xsi:type="dcterms:W3CDTF">2015-05-05T14:54:00Z</dcterms:created>
  <dcterms:modified xsi:type="dcterms:W3CDTF">2015-05-06T08:00:00Z</dcterms:modified>
</cp:coreProperties>
</file>