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02" w:rsidRPr="00CF5A65" w:rsidRDefault="00034302" w:rsidP="0042650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5A65">
        <w:rPr>
          <w:rFonts w:ascii="Arial" w:hAnsi="Arial" w:cs="Arial"/>
          <w:b/>
          <w:bCs/>
          <w:sz w:val="24"/>
          <w:szCs w:val="24"/>
        </w:rPr>
        <w:t>YESHIVAT HAR ETZI</w:t>
      </w:r>
      <w:bookmarkStart w:id="0" w:name="_GoBack"/>
      <w:bookmarkEnd w:id="0"/>
      <w:r w:rsidRPr="00CF5A65">
        <w:rPr>
          <w:rFonts w:ascii="Arial" w:hAnsi="Arial" w:cs="Arial"/>
          <w:b/>
          <w:bCs/>
          <w:sz w:val="24"/>
          <w:szCs w:val="24"/>
        </w:rPr>
        <w:t>ON</w:t>
      </w:r>
    </w:p>
    <w:p w:rsidR="00034302" w:rsidRPr="00CF5A65" w:rsidRDefault="00034302" w:rsidP="0042650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5A65">
        <w:rPr>
          <w:rFonts w:ascii="Arial" w:hAnsi="Arial" w:cs="Arial"/>
          <w:b/>
          <w:bCs/>
          <w:sz w:val="24"/>
          <w:szCs w:val="24"/>
        </w:rPr>
        <w:t>ISRAEL KOSCHITZKY VIRTUAL BEIT MIDRASH (VBM)</w:t>
      </w:r>
    </w:p>
    <w:p w:rsidR="00034302" w:rsidRPr="00CF5A65" w:rsidRDefault="00034302" w:rsidP="0042650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4302" w:rsidRPr="00CF5A65" w:rsidRDefault="00034302" w:rsidP="0042650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5A65">
        <w:rPr>
          <w:rFonts w:ascii="Arial" w:hAnsi="Arial" w:cs="Arial"/>
          <w:b/>
          <w:bCs/>
          <w:sz w:val="24"/>
          <w:szCs w:val="24"/>
        </w:rPr>
        <w:t>THE LAWS OF THE BERAKHOT</w:t>
      </w:r>
    </w:p>
    <w:p w:rsidR="00034302" w:rsidRPr="00CF5A65" w:rsidRDefault="00034302" w:rsidP="00426508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CF5A65">
        <w:rPr>
          <w:rFonts w:ascii="Arial" w:hAnsi="Arial" w:cs="Arial"/>
          <w:b/>
          <w:bCs/>
          <w:sz w:val="24"/>
          <w:szCs w:val="24"/>
        </w:rPr>
        <w:t>Rav David Brofsky</w:t>
      </w:r>
    </w:p>
    <w:p w:rsidR="00034302" w:rsidRPr="00CF5A65" w:rsidRDefault="00034302" w:rsidP="0042650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4302" w:rsidRPr="00CF5A65" w:rsidRDefault="00034302" w:rsidP="0042650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CF5A65">
        <w:rPr>
          <w:rFonts w:ascii="Arial" w:hAnsi="Arial" w:cs="Arial"/>
          <w:sz w:val="24"/>
          <w:szCs w:val="24"/>
        </w:rPr>
        <w:t>For easy printing, go to:</w:t>
      </w:r>
    </w:p>
    <w:p w:rsidR="00034302" w:rsidRPr="00CF5A65" w:rsidRDefault="00426508" w:rsidP="00426508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hyperlink r:id="rId9" w:history="1">
        <w:r w:rsidRPr="00181AB4">
          <w:rPr>
            <w:rStyle w:val="Hyperlink"/>
            <w:rFonts w:ascii="Arial" w:hAnsi="Arial" w:cs="Arial"/>
            <w:sz w:val="24"/>
            <w:szCs w:val="24"/>
          </w:rPr>
          <w:t>www.vbm-torah.org/archive/blessings/34berakhot.htm</w:t>
        </w:r>
      </w:hyperlink>
    </w:p>
    <w:p w:rsidR="00034302" w:rsidRPr="00CF5A65" w:rsidRDefault="00034302" w:rsidP="00426508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34302" w:rsidRPr="00CF5A65" w:rsidRDefault="00034302" w:rsidP="00426508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A6262" w:rsidRPr="006A6262" w:rsidRDefault="001F26E4" w:rsidP="00426508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6508">
        <w:rPr>
          <w:rFonts w:ascii="Arial" w:hAnsi="Arial" w:cs="Arial"/>
          <w:b/>
          <w:bCs/>
          <w:sz w:val="24"/>
          <w:szCs w:val="24"/>
        </w:rPr>
        <w:t>Shiur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 #</w:t>
      </w:r>
      <w:r w:rsidR="005A5F4F">
        <w:rPr>
          <w:rFonts w:ascii="Arial" w:hAnsi="Arial" w:cs="Arial"/>
          <w:b/>
          <w:bCs/>
          <w:sz w:val="24"/>
          <w:szCs w:val="24"/>
        </w:rPr>
        <w:t>3</w:t>
      </w:r>
      <w:r w:rsidR="009B2310">
        <w:rPr>
          <w:rFonts w:ascii="Arial" w:hAnsi="Arial" w:cs="Arial"/>
          <w:b/>
          <w:bCs/>
          <w:sz w:val="24"/>
          <w:szCs w:val="24"/>
        </w:rPr>
        <w:t>4</w:t>
      </w:r>
      <w:r w:rsidR="00A86B24">
        <w:rPr>
          <w:rFonts w:ascii="Arial" w:hAnsi="Arial" w:cs="Arial"/>
          <w:b/>
          <w:bCs/>
          <w:sz w:val="24"/>
          <w:szCs w:val="24"/>
        </w:rPr>
        <w:t>: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9B2310" w:rsidRPr="00B27648">
        <w:rPr>
          <w:rFonts w:ascii="Arial" w:hAnsi="Arial" w:cs="Arial"/>
          <w:b/>
          <w:bCs/>
          <w:i/>
          <w:iCs/>
          <w:sz w:val="24"/>
          <w:szCs w:val="24"/>
        </w:rPr>
        <w:t>Ikkar Ve-Tafel</w:t>
      </w:r>
      <w:r w:rsidR="009B2310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ED77C9" w:rsidRDefault="00ED77C9" w:rsidP="00426508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77C9" w:rsidRDefault="00ED77C9" w:rsidP="00426508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2152" w:rsidRDefault="008C6811" w:rsidP="00426508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:rsidR="00BE006C" w:rsidRDefault="00BE006C" w:rsidP="00426508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27648" w:rsidRDefault="009B2310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week</w:t>
      </w:r>
      <w:r w:rsidR="00E762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finished our study of the different </w:t>
      </w:r>
      <w:r w:rsidR="00E7628D">
        <w:rPr>
          <w:rFonts w:ascii="Arial" w:hAnsi="Arial" w:cs="Arial"/>
          <w:i/>
          <w:iCs/>
          <w:sz w:val="24"/>
          <w:szCs w:val="24"/>
        </w:rPr>
        <w:t>Birkot Ha</w:t>
      </w:r>
      <w:r w:rsidRPr="00B27648">
        <w:rPr>
          <w:rFonts w:ascii="Arial" w:hAnsi="Arial" w:cs="Arial"/>
          <w:i/>
          <w:iCs/>
          <w:sz w:val="24"/>
          <w:szCs w:val="24"/>
        </w:rPr>
        <w:t>-Nehenin</w:t>
      </w:r>
      <w:r>
        <w:rPr>
          <w:rFonts w:ascii="Arial" w:hAnsi="Arial" w:cs="Arial"/>
          <w:sz w:val="24"/>
          <w:szCs w:val="24"/>
        </w:rPr>
        <w:t xml:space="preserve">. Over the course of numerous </w:t>
      </w:r>
      <w:r w:rsidRPr="00E7628D">
        <w:rPr>
          <w:rFonts w:ascii="Arial" w:hAnsi="Arial" w:cs="Arial"/>
          <w:i/>
          <w:iCs/>
          <w:sz w:val="24"/>
          <w:szCs w:val="24"/>
        </w:rPr>
        <w:t>shiurim</w:t>
      </w:r>
      <w:r>
        <w:rPr>
          <w:rFonts w:ascii="Arial" w:hAnsi="Arial" w:cs="Arial"/>
          <w:sz w:val="24"/>
          <w:szCs w:val="24"/>
        </w:rPr>
        <w:t xml:space="preserve">, we discussed when one is to say the blessings of </w:t>
      </w:r>
      <w:r w:rsidRPr="00B27648">
        <w:rPr>
          <w:rFonts w:ascii="Arial" w:hAnsi="Arial" w:cs="Arial"/>
          <w:i/>
          <w:iCs/>
          <w:sz w:val="24"/>
          <w:szCs w:val="24"/>
        </w:rPr>
        <w:t>Ha-Motzi</w:t>
      </w:r>
      <w:r>
        <w:rPr>
          <w:rFonts w:ascii="Arial" w:hAnsi="Arial" w:cs="Arial"/>
          <w:sz w:val="24"/>
          <w:szCs w:val="24"/>
        </w:rPr>
        <w:t xml:space="preserve">, </w:t>
      </w:r>
      <w:r w:rsidRPr="00B27648">
        <w:rPr>
          <w:rFonts w:ascii="Arial" w:hAnsi="Arial" w:cs="Arial"/>
          <w:i/>
          <w:iCs/>
          <w:sz w:val="24"/>
          <w:szCs w:val="24"/>
        </w:rPr>
        <w:t>Mezonot</w:t>
      </w:r>
      <w:r>
        <w:rPr>
          <w:rFonts w:ascii="Arial" w:hAnsi="Arial" w:cs="Arial"/>
          <w:sz w:val="24"/>
          <w:szCs w:val="24"/>
        </w:rPr>
        <w:t xml:space="preserve">, </w:t>
      </w:r>
      <w:r w:rsidRPr="00B27648">
        <w:rPr>
          <w:rFonts w:ascii="Arial" w:hAnsi="Arial" w:cs="Arial"/>
          <w:i/>
          <w:iCs/>
          <w:sz w:val="24"/>
          <w:szCs w:val="24"/>
        </w:rPr>
        <w:t>He-Gefen</w:t>
      </w:r>
      <w:r>
        <w:rPr>
          <w:rFonts w:ascii="Arial" w:hAnsi="Arial" w:cs="Arial"/>
          <w:sz w:val="24"/>
          <w:szCs w:val="24"/>
        </w:rPr>
        <w:t xml:space="preserve">, </w:t>
      </w:r>
      <w:r w:rsidRPr="00B27648">
        <w:rPr>
          <w:rFonts w:ascii="Arial" w:hAnsi="Arial" w:cs="Arial"/>
          <w:i/>
          <w:iCs/>
          <w:sz w:val="24"/>
          <w:szCs w:val="24"/>
        </w:rPr>
        <w:t>Ha-Eitz</w:t>
      </w:r>
      <w:r>
        <w:rPr>
          <w:rFonts w:ascii="Arial" w:hAnsi="Arial" w:cs="Arial"/>
          <w:sz w:val="24"/>
          <w:szCs w:val="24"/>
        </w:rPr>
        <w:t xml:space="preserve">, </w:t>
      </w:r>
      <w:r w:rsidRPr="00B27648">
        <w:rPr>
          <w:rFonts w:ascii="Arial" w:hAnsi="Arial" w:cs="Arial"/>
          <w:i/>
          <w:iCs/>
          <w:sz w:val="24"/>
          <w:szCs w:val="24"/>
        </w:rPr>
        <w:t>Ha-Adama</w:t>
      </w:r>
      <w:r>
        <w:rPr>
          <w:rFonts w:ascii="Arial" w:hAnsi="Arial" w:cs="Arial"/>
          <w:sz w:val="24"/>
          <w:szCs w:val="24"/>
        </w:rPr>
        <w:t xml:space="preserve">, and </w:t>
      </w:r>
      <w:r w:rsidRPr="00B27648">
        <w:rPr>
          <w:rFonts w:ascii="Arial" w:hAnsi="Arial" w:cs="Arial"/>
          <w:i/>
          <w:iCs/>
          <w:sz w:val="24"/>
          <w:szCs w:val="24"/>
        </w:rPr>
        <w:t>She-Hakol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27648" w:rsidRDefault="00B27648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A41B2" w:rsidRDefault="009B2310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reality, </w:t>
      </w:r>
      <w:r w:rsidR="00B27648">
        <w:rPr>
          <w:rFonts w:ascii="Arial" w:hAnsi="Arial" w:cs="Arial"/>
          <w:sz w:val="24"/>
          <w:szCs w:val="24"/>
        </w:rPr>
        <w:t xml:space="preserve">however, </w:t>
      </w:r>
      <w:r>
        <w:rPr>
          <w:rFonts w:ascii="Arial" w:hAnsi="Arial" w:cs="Arial"/>
          <w:sz w:val="24"/>
          <w:szCs w:val="24"/>
        </w:rPr>
        <w:t xml:space="preserve">foods are </w:t>
      </w:r>
      <w:r w:rsidR="00E7628D">
        <w:rPr>
          <w:rFonts w:ascii="Arial" w:hAnsi="Arial" w:cs="Arial"/>
          <w:sz w:val="24"/>
          <w:szCs w:val="24"/>
        </w:rPr>
        <w:t>often not eaten alone.</w:t>
      </w:r>
      <w:r>
        <w:rPr>
          <w:rFonts w:ascii="Arial" w:hAnsi="Arial" w:cs="Arial"/>
          <w:sz w:val="24"/>
          <w:szCs w:val="24"/>
        </w:rPr>
        <w:t xml:space="preserve"> </w:t>
      </w:r>
      <w:r w:rsidR="00E7628D">
        <w:rPr>
          <w:rFonts w:ascii="Arial" w:hAnsi="Arial" w:cs="Arial"/>
          <w:sz w:val="24"/>
          <w:szCs w:val="24"/>
        </w:rPr>
        <w:t>Often,</w:t>
      </w:r>
      <w:r>
        <w:rPr>
          <w:rFonts w:ascii="Arial" w:hAnsi="Arial" w:cs="Arial"/>
          <w:sz w:val="24"/>
          <w:szCs w:val="24"/>
        </w:rPr>
        <w:t xml:space="preserve"> different</w:t>
      </w:r>
      <w:r w:rsidR="00EA41B2">
        <w:rPr>
          <w:rFonts w:ascii="Arial" w:hAnsi="Arial" w:cs="Arial"/>
          <w:sz w:val="24"/>
          <w:szCs w:val="24"/>
        </w:rPr>
        <w:t xml:space="preserve"> foods are eaten with o</w:t>
      </w:r>
      <w:r w:rsidR="00E7628D">
        <w:rPr>
          <w:rFonts w:ascii="Arial" w:hAnsi="Arial" w:cs="Arial"/>
          <w:sz w:val="24"/>
          <w:szCs w:val="24"/>
        </w:rPr>
        <w:t>ther foods, either in a mixture</w:t>
      </w:r>
      <w:r w:rsidR="00EA41B2">
        <w:rPr>
          <w:rFonts w:ascii="Arial" w:hAnsi="Arial" w:cs="Arial"/>
          <w:sz w:val="24"/>
          <w:szCs w:val="24"/>
        </w:rPr>
        <w:t xml:space="preserve"> or separate, but in tandem with other foods.</w:t>
      </w:r>
      <w:r w:rsidR="00B27648">
        <w:rPr>
          <w:rFonts w:ascii="Arial" w:hAnsi="Arial" w:cs="Arial"/>
          <w:sz w:val="24"/>
          <w:szCs w:val="24"/>
        </w:rPr>
        <w:t xml:space="preserve"> </w:t>
      </w:r>
      <w:r w:rsidR="00EA41B2">
        <w:rPr>
          <w:rFonts w:ascii="Arial" w:hAnsi="Arial" w:cs="Arial"/>
          <w:sz w:val="24"/>
          <w:szCs w:val="24"/>
        </w:rPr>
        <w:t xml:space="preserve">How is one to determine which is the appropriate blessing to say over a mixture of different foods? How does one </w:t>
      </w:r>
      <w:r w:rsidR="00B27648">
        <w:rPr>
          <w:rFonts w:ascii="Arial" w:hAnsi="Arial" w:cs="Arial"/>
          <w:sz w:val="24"/>
          <w:szCs w:val="24"/>
        </w:rPr>
        <w:t>gauge</w:t>
      </w:r>
      <w:r w:rsidR="00EA41B2">
        <w:rPr>
          <w:rFonts w:ascii="Arial" w:hAnsi="Arial" w:cs="Arial"/>
          <w:sz w:val="24"/>
          <w:szCs w:val="24"/>
        </w:rPr>
        <w:t xml:space="preserve"> which is the “dominant” ingredient? Which factors are taken into account? </w:t>
      </w:r>
    </w:p>
    <w:p w:rsidR="00EA41B2" w:rsidRDefault="00EA41B2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A41B2" w:rsidRDefault="00CE42A2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week, we will briefly outline the issues relevant to this topic, and attempt to provide guidelines for practical applications. </w:t>
      </w:r>
    </w:p>
    <w:p w:rsidR="00915B8F" w:rsidRDefault="00915B8F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15B8F" w:rsidRPr="00CE42A2" w:rsidRDefault="00915B8F" w:rsidP="00426508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8C5202">
        <w:rPr>
          <w:rFonts w:ascii="Arial" w:hAnsi="Arial" w:cs="Arial"/>
          <w:b/>
          <w:bCs/>
          <w:i/>
          <w:iCs/>
          <w:sz w:val="24"/>
          <w:szCs w:val="24"/>
        </w:rPr>
        <w:t>Ikkar Ve-Tafel</w:t>
      </w:r>
      <w:r w:rsidRPr="00CE42A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301FC" w:rsidRPr="00CE42A2">
        <w:rPr>
          <w:rFonts w:ascii="Arial" w:hAnsi="Arial" w:cs="Arial"/>
          <w:b/>
          <w:bCs/>
          <w:sz w:val="24"/>
          <w:szCs w:val="24"/>
        </w:rPr>
        <w:t>Two Separate Foods</w:t>
      </w:r>
    </w:p>
    <w:p w:rsidR="00915B8F" w:rsidRDefault="00915B8F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D2027" w:rsidRDefault="00915B8F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Talmud teaches that one should recite the blessing over the “</w:t>
      </w:r>
      <w:r w:rsidRPr="00E7628D">
        <w:rPr>
          <w:rFonts w:ascii="Arial" w:hAnsi="Arial" w:cs="Arial"/>
          <w:i/>
          <w:iCs/>
          <w:sz w:val="24"/>
          <w:szCs w:val="24"/>
        </w:rPr>
        <w:t>ikkar</w:t>
      </w:r>
      <w:r w:rsidR="00034302">
        <w:rPr>
          <w:rFonts w:ascii="Arial" w:hAnsi="Arial" w:cs="Arial"/>
          <w:sz w:val="24"/>
          <w:szCs w:val="24"/>
        </w:rPr>
        <w:t>,”</w:t>
      </w:r>
      <w:r>
        <w:rPr>
          <w:rFonts w:ascii="Arial" w:hAnsi="Arial" w:cs="Arial"/>
          <w:sz w:val="24"/>
          <w:szCs w:val="24"/>
        </w:rPr>
        <w:t xml:space="preserve"> the primary ingredient, and </w:t>
      </w:r>
      <w:r w:rsidR="005C5F24">
        <w:rPr>
          <w:rFonts w:ascii="Arial" w:hAnsi="Arial" w:cs="Arial"/>
          <w:sz w:val="24"/>
          <w:szCs w:val="24"/>
        </w:rPr>
        <w:t xml:space="preserve">not over the </w:t>
      </w:r>
      <w:r>
        <w:rPr>
          <w:rFonts w:ascii="Arial" w:hAnsi="Arial" w:cs="Arial"/>
          <w:sz w:val="24"/>
          <w:szCs w:val="24"/>
        </w:rPr>
        <w:t>“</w:t>
      </w:r>
      <w:r w:rsidRPr="00B27648">
        <w:rPr>
          <w:rFonts w:ascii="Arial" w:hAnsi="Arial" w:cs="Arial"/>
          <w:i/>
          <w:iCs/>
          <w:sz w:val="24"/>
          <w:szCs w:val="24"/>
        </w:rPr>
        <w:t>tafel</w:t>
      </w:r>
      <w:r w:rsidR="00034302">
        <w:rPr>
          <w:rFonts w:ascii="Arial" w:hAnsi="Arial" w:cs="Arial"/>
          <w:sz w:val="24"/>
          <w:szCs w:val="24"/>
        </w:rPr>
        <w:t>,”</w:t>
      </w:r>
      <w:r w:rsidR="005C5F24">
        <w:rPr>
          <w:rFonts w:ascii="Arial" w:hAnsi="Arial" w:cs="Arial"/>
          <w:sz w:val="24"/>
          <w:szCs w:val="24"/>
        </w:rPr>
        <w:t xml:space="preserve"> the secondary ingredient. </w:t>
      </w:r>
      <w:r w:rsidR="008D2027">
        <w:rPr>
          <w:rFonts w:ascii="Arial" w:hAnsi="Arial" w:cs="Arial"/>
          <w:sz w:val="24"/>
          <w:szCs w:val="24"/>
        </w:rPr>
        <w:t>The Talmud (</w:t>
      </w:r>
      <w:r w:rsidR="008D2027" w:rsidRPr="00E7628D">
        <w:rPr>
          <w:rFonts w:ascii="Arial" w:hAnsi="Arial" w:cs="Arial"/>
          <w:i/>
          <w:iCs/>
          <w:sz w:val="24"/>
          <w:szCs w:val="24"/>
        </w:rPr>
        <w:t>Berakhot</w:t>
      </w:r>
      <w:r w:rsidR="008D2027">
        <w:rPr>
          <w:rFonts w:ascii="Arial" w:hAnsi="Arial" w:cs="Arial"/>
          <w:sz w:val="24"/>
          <w:szCs w:val="24"/>
        </w:rPr>
        <w:t xml:space="preserve"> 44a) teaches:</w:t>
      </w:r>
    </w:p>
    <w:p w:rsidR="008D2027" w:rsidRDefault="008D2027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D2027" w:rsidRPr="00BC3150" w:rsidRDefault="00BC3150" w:rsidP="00426508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BC3150">
        <w:rPr>
          <w:rFonts w:ascii="Arial" w:hAnsi="Arial" w:cs="Arial"/>
          <w:sz w:val="24"/>
          <w:szCs w:val="24"/>
        </w:rPr>
        <w:t>If</w:t>
      </w:r>
      <w:r w:rsidR="008D2027" w:rsidRPr="00BC3150">
        <w:rPr>
          <w:rFonts w:ascii="Arial" w:hAnsi="Arial" w:cs="Arial"/>
          <w:sz w:val="24"/>
          <w:szCs w:val="24"/>
        </w:rPr>
        <w:t xml:space="preserve"> salted food is set before him and bread with it, he says a</w:t>
      </w:r>
      <w:r w:rsidRPr="00BC3150">
        <w:rPr>
          <w:rFonts w:ascii="Arial" w:hAnsi="Arial" w:cs="Arial"/>
          <w:sz w:val="24"/>
          <w:szCs w:val="24"/>
        </w:rPr>
        <w:t xml:space="preserve"> </w:t>
      </w:r>
      <w:r w:rsidR="008D2027" w:rsidRPr="00BC3150">
        <w:rPr>
          <w:rFonts w:ascii="Arial" w:hAnsi="Arial" w:cs="Arial"/>
          <w:sz w:val="24"/>
          <w:szCs w:val="24"/>
        </w:rPr>
        <w:t>blessing over the salted food and this serves for the bread, since the</w:t>
      </w:r>
      <w:r w:rsidRPr="00BC3150">
        <w:rPr>
          <w:rFonts w:ascii="Arial" w:hAnsi="Arial" w:cs="Arial"/>
          <w:sz w:val="24"/>
          <w:szCs w:val="24"/>
        </w:rPr>
        <w:t xml:space="preserve"> </w:t>
      </w:r>
      <w:r w:rsidR="008D2027" w:rsidRPr="00BC3150">
        <w:rPr>
          <w:rFonts w:ascii="Arial" w:hAnsi="Arial" w:cs="Arial"/>
          <w:sz w:val="24"/>
          <w:szCs w:val="24"/>
        </w:rPr>
        <w:t>bread is only subsidiary</w:t>
      </w:r>
      <w:r>
        <w:rPr>
          <w:rFonts w:ascii="Arial" w:hAnsi="Arial" w:cs="Arial"/>
          <w:sz w:val="24"/>
          <w:szCs w:val="24"/>
        </w:rPr>
        <w:t xml:space="preserve"> (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>)</w:t>
      </w:r>
      <w:r w:rsidR="008D2027" w:rsidRPr="00BC3150">
        <w:rPr>
          <w:rFonts w:ascii="Arial" w:hAnsi="Arial" w:cs="Arial"/>
          <w:sz w:val="24"/>
          <w:szCs w:val="24"/>
        </w:rPr>
        <w:t xml:space="preserve"> to it. </w:t>
      </w:r>
      <w:r>
        <w:rPr>
          <w:rFonts w:ascii="Arial" w:hAnsi="Arial" w:cs="Arial"/>
          <w:sz w:val="24"/>
          <w:szCs w:val="24"/>
        </w:rPr>
        <w:t>T</w:t>
      </w:r>
      <w:r w:rsidR="008D2027" w:rsidRPr="00BC3150">
        <w:rPr>
          <w:rFonts w:ascii="Arial" w:hAnsi="Arial" w:cs="Arial"/>
          <w:sz w:val="24"/>
          <w:szCs w:val="24"/>
        </w:rPr>
        <w:t>his is the general principle: whenever</w:t>
      </w:r>
      <w:r w:rsidRPr="00BC3150">
        <w:rPr>
          <w:rFonts w:ascii="Arial" w:hAnsi="Arial" w:cs="Arial"/>
          <w:sz w:val="24"/>
          <w:szCs w:val="24"/>
        </w:rPr>
        <w:t xml:space="preserve"> </w:t>
      </w:r>
      <w:r w:rsidR="008D2027" w:rsidRPr="00BC3150">
        <w:rPr>
          <w:rFonts w:ascii="Arial" w:hAnsi="Arial" w:cs="Arial"/>
          <w:sz w:val="24"/>
          <w:szCs w:val="24"/>
        </w:rPr>
        <w:t>with one kind of food another is taken as subsidiary</w:t>
      </w:r>
      <w:r>
        <w:rPr>
          <w:rFonts w:ascii="Arial" w:hAnsi="Arial" w:cs="Arial"/>
          <w:sz w:val="24"/>
          <w:szCs w:val="24"/>
        </w:rPr>
        <w:t xml:space="preserve"> (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>)</w:t>
      </w:r>
      <w:r w:rsidR="008D2027" w:rsidRPr="00BC3150">
        <w:rPr>
          <w:rFonts w:ascii="Arial" w:hAnsi="Arial" w:cs="Arial"/>
          <w:sz w:val="24"/>
          <w:szCs w:val="24"/>
        </w:rPr>
        <w:t>, a benediction is</w:t>
      </w:r>
      <w:r>
        <w:rPr>
          <w:rFonts w:ascii="Arial" w:hAnsi="Arial" w:cs="Arial"/>
          <w:sz w:val="24"/>
          <w:szCs w:val="24"/>
        </w:rPr>
        <w:t xml:space="preserve"> </w:t>
      </w:r>
      <w:r w:rsidR="008D2027" w:rsidRPr="00BC3150">
        <w:rPr>
          <w:rFonts w:ascii="Arial" w:hAnsi="Arial" w:cs="Arial"/>
          <w:sz w:val="24"/>
          <w:szCs w:val="24"/>
        </w:rPr>
        <w:t xml:space="preserve">said over the principal kind </w:t>
      </w:r>
      <w:r>
        <w:rPr>
          <w:rFonts w:ascii="Arial" w:hAnsi="Arial" w:cs="Arial"/>
          <w:sz w:val="24"/>
          <w:szCs w:val="24"/>
        </w:rPr>
        <w:t>(</w:t>
      </w:r>
      <w:r w:rsidRPr="005C5F24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 xml:space="preserve">) </w:t>
      </w:r>
      <w:r w:rsidR="008D2027" w:rsidRPr="00BC3150">
        <w:rPr>
          <w:rFonts w:ascii="Arial" w:hAnsi="Arial" w:cs="Arial"/>
          <w:sz w:val="24"/>
          <w:szCs w:val="24"/>
        </w:rPr>
        <w:t>and this serves for the subsidiary</w:t>
      </w:r>
      <w:r>
        <w:rPr>
          <w:rFonts w:ascii="Arial" w:hAnsi="Arial" w:cs="Arial"/>
          <w:sz w:val="24"/>
          <w:szCs w:val="24"/>
        </w:rPr>
        <w:t xml:space="preserve"> (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>)</w:t>
      </w:r>
      <w:r w:rsidR="008D2027" w:rsidRPr="00BC3150">
        <w:rPr>
          <w:rFonts w:ascii="Arial" w:hAnsi="Arial" w:cs="Arial"/>
          <w:sz w:val="24"/>
          <w:szCs w:val="24"/>
        </w:rPr>
        <w:t>.</w:t>
      </w:r>
    </w:p>
    <w:p w:rsidR="008D2027" w:rsidRDefault="008D2027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D2027" w:rsidRDefault="00BC3150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the </w:t>
      </w:r>
      <w:r w:rsidRPr="00E7628D">
        <w:rPr>
          <w:rFonts w:ascii="Arial" w:hAnsi="Arial" w:cs="Arial"/>
          <w:i/>
          <w:iCs/>
          <w:sz w:val="24"/>
          <w:szCs w:val="24"/>
        </w:rPr>
        <w:t>mishna</w:t>
      </w:r>
      <w:r>
        <w:rPr>
          <w:rFonts w:ascii="Arial" w:hAnsi="Arial" w:cs="Arial"/>
          <w:sz w:val="24"/>
          <w:szCs w:val="24"/>
        </w:rPr>
        <w:t xml:space="preserve">, even in a case in which the bread is 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 xml:space="preserve"> to another food, the blessing is recited over the other food. </w:t>
      </w:r>
    </w:p>
    <w:p w:rsidR="008D2027" w:rsidRDefault="008D2027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C3150" w:rsidRDefault="00BC3150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628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Pr="00E7628D">
        <w:rPr>
          <w:rFonts w:ascii="Arial" w:hAnsi="Arial" w:cs="Arial"/>
          <w:i/>
          <w:iCs/>
          <w:sz w:val="24"/>
          <w:szCs w:val="24"/>
        </w:rPr>
        <w:t>Acharonim</w:t>
      </w:r>
      <w:r>
        <w:rPr>
          <w:rFonts w:ascii="Arial" w:hAnsi="Arial" w:cs="Arial"/>
          <w:sz w:val="24"/>
          <w:szCs w:val="24"/>
        </w:rPr>
        <w:t xml:space="preserve"> </w:t>
      </w:r>
      <w:r w:rsidR="002A18EE">
        <w:rPr>
          <w:rFonts w:ascii="Arial" w:hAnsi="Arial" w:cs="Arial"/>
          <w:sz w:val="24"/>
          <w:szCs w:val="24"/>
        </w:rPr>
        <w:t xml:space="preserve">(Chazon Ish OC 27:9, Iggerot Moshe OC 4:42, Reshimot Shiurim [R. Soloveitchik] Berakhot 44a) </w:t>
      </w:r>
      <w:r>
        <w:rPr>
          <w:rFonts w:ascii="Arial" w:hAnsi="Arial" w:cs="Arial"/>
          <w:sz w:val="24"/>
          <w:szCs w:val="24"/>
        </w:rPr>
        <w:t xml:space="preserve">discuss this case in depth. They question </w:t>
      </w:r>
      <w:r>
        <w:rPr>
          <w:rFonts w:ascii="Arial" w:hAnsi="Arial" w:cs="Arial"/>
          <w:sz w:val="24"/>
          <w:szCs w:val="24"/>
        </w:rPr>
        <w:lastRenderedPageBreak/>
        <w:t xml:space="preserve">whether the 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 xml:space="preserve">, the subsidiary </w:t>
      </w:r>
      <w:r w:rsidR="00E7628D">
        <w:rPr>
          <w:rFonts w:ascii="Arial" w:hAnsi="Arial" w:cs="Arial"/>
          <w:sz w:val="24"/>
          <w:szCs w:val="24"/>
        </w:rPr>
        <w:t>food, is exempt from a blessing</w:t>
      </w:r>
      <w:r>
        <w:rPr>
          <w:rFonts w:ascii="Arial" w:hAnsi="Arial" w:cs="Arial"/>
          <w:sz w:val="24"/>
          <w:szCs w:val="24"/>
        </w:rPr>
        <w:t xml:space="preserve"> or whether it is included in the blessing said over the principal food, the </w:t>
      </w:r>
      <w:r w:rsidRPr="005C5F24">
        <w:rPr>
          <w:rFonts w:ascii="Arial" w:hAnsi="Arial" w:cs="Arial"/>
          <w:i/>
          <w:iCs/>
          <w:sz w:val="24"/>
          <w:szCs w:val="24"/>
        </w:rPr>
        <w:t>ikkar</w:t>
      </w:r>
      <w:r w:rsidR="00E7628D">
        <w:rPr>
          <w:rFonts w:ascii="Arial" w:hAnsi="Arial" w:cs="Arial"/>
          <w:sz w:val="24"/>
          <w:szCs w:val="24"/>
        </w:rPr>
        <w:t>, and</w:t>
      </w:r>
      <w:r>
        <w:rPr>
          <w:rFonts w:ascii="Arial" w:hAnsi="Arial" w:cs="Arial"/>
          <w:sz w:val="24"/>
          <w:szCs w:val="24"/>
        </w:rPr>
        <w:t xml:space="preserve"> </w:t>
      </w:r>
      <w:r w:rsidR="00E7628D">
        <w:rPr>
          <w:rFonts w:ascii="Arial" w:hAnsi="Arial" w:cs="Arial"/>
          <w:sz w:val="24"/>
          <w:szCs w:val="24"/>
        </w:rPr>
        <w:t>t</w:t>
      </w:r>
      <w:r w:rsidR="00147B30">
        <w:rPr>
          <w:rFonts w:ascii="Arial" w:hAnsi="Arial" w:cs="Arial"/>
          <w:sz w:val="24"/>
          <w:szCs w:val="24"/>
        </w:rPr>
        <w:t>hey raise possible differences between these understandings.</w:t>
      </w:r>
    </w:p>
    <w:p w:rsidR="00147B30" w:rsidRDefault="00147B30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C3150" w:rsidRDefault="005C5F24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example, w</w:t>
      </w:r>
      <w:r w:rsidR="00147B30">
        <w:rPr>
          <w:rFonts w:ascii="Arial" w:hAnsi="Arial" w:cs="Arial"/>
          <w:sz w:val="24"/>
          <w:szCs w:val="24"/>
        </w:rPr>
        <w:t xml:space="preserve">hat if the </w:t>
      </w:r>
      <w:r w:rsidR="00147B30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147B30">
        <w:rPr>
          <w:rFonts w:ascii="Arial" w:hAnsi="Arial" w:cs="Arial"/>
          <w:sz w:val="24"/>
          <w:szCs w:val="24"/>
        </w:rPr>
        <w:t xml:space="preserve"> was not present when the blessing was said over the </w:t>
      </w:r>
      <w:r w:rsidR="00147B30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147B30">
        <w:rPr>
          <w:rFonts w:ascii="Arial" w:hAnsi="Arial" w:cs="Arial"/>
          <w:sz w:val="24"/>
          <w:szCs w:val="24"/>
        </w:rPr>
        <w:t xml:space="preserve">? </w:t>
      </w:r>
      <w:r w:rsidR="00BC3150">
        <w:rPr>
          <w:rFonts w:ascii="Arial" w:hAnsi="Arial" w:cs="Arial"/>
          <w:sz w:val="24"/>
          <w:szCs w:val="24"/>
        </w:rPr>
        <w:t>Tosafot (</w:t>
      </w:r>
      <w:r w:rsidR="00BC3150" w:rsidRPr="00E7628D">
        <w:rPr>
          <w:rFonts w:ascii="Arial" w:hAnsi="Arial" w:cs="Arial"/>
          <w:i/>
          <w:iCs/>
          <w:sz w:val="24"/>
          <w:szCs w:val="24"/>
        </w:rPr>
        <w:t>Berakhot</w:t>
      </w:r>
      <w:r w:rsidR="00BC3150">
        <w:rPr>
          <w:rFonts w:ascii="Arial" w:hAnsi="Arial" w:cs="Arial"/>
          <w:sz w:val="24"/>
          <w:szCs w:val="24"/>
        </w:rPr>
        <w:t xml:space="preserve"> 44a</w:t>
      </w:r>
      <w:r w:rsidR="00E7628D">
        <w:rPr>
          <w:rFonts w:ascii="Arial" w:hAnsi="Arial" w:cs="Arial"/>
          <w:sz w:val="24"/>
          <w:szCs w:val="24"/>
        </w:rPr>
        <w:t>,</w:t>
      </w:r>
      <w:r w:rsidR="00BC3150">
        <w:rPr>
          <w:rFonts w:ascii="Arial" w:hAnsi="Arial" w:cs="Arial"/>
          <w:sz w:val="24"/>
          <w:szCs w:val="24"/>
        </w:rPr>
        <w:t xml:space="preserve"> s.v. </w:t>
      </w:r>
      <w:r w:rsidR="00BC3150" w:rsidRPr="005C5F24">
        <w:rPr>
          <w:rFonts w:ascii="Arial" w:hAnsi="Arial" w:cs="Arial"/>
          <w:i/>
          <w:iCs/>
          <w:sz w:val="24"/>
          <w:szCs w:val="24"/>
        </w:rPr>
        <w:t>be-okhlei</w:t>
      </w:r>
      <w:r w:rsidR="00BC3150">
        <w:rPr>
          <w:rFonts w:ascii="Arial" w:hAnsi="Arial" w:cs="Arial"/>
          <w:sz w:val="24"/>
          <w:szCs w:val="24"/>
        </w:rPr>
        <w:t xml:space="preserve">) imply that if the </w:t>
      </w:r>
      <w:r w:rsidR="00BC3150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BC31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</w:t>
      </w:r>
      <w:r w:rsidR="00BC3150">
        <w:rPr>
          <w:rFonts w:ascii="Arial" w:hAnsi="Arial" w:cs="Arial"/>
          <w:sz w:val="24"/>
          <w:szCs w:val="24"/>
        </w:rPr>
        <w:t xml:space="preserve"> not present when the blessing was said over the </w:t>
      </w:r>
      <w:r w:rsidR="00BC3150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BC3150">
        <w:rPr>
          <w:rFonts w:ascii="Arial" w:hAnsi="Arial" w:cs="Arial"/>
          <w:sz w:val="24"/>
          <w:szCs w:val="24"/>
        </w:rPr>
        <w:t xml:space="preserve">, one must say another blessing over the </w:t>
      </w:r>
      <w:r w:rsidR="00BC3150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BC3150">
        <w:rPr>
          <w:rFonts w:ascii="Arial" w:hAnsi="Arial" w:cs="Arial"/>
          <w:sz w:val="24"/>
          <w:szCs w:val="24"/>
        </w:rPr>
        <w:t xml:space="preserve">. </w:t>
      </w:r>
      <w:r w:rsidR="00E7628D">
        <w:rPr>
          <w:rFonts w:ascii="Arial" w:hAnsi="Arial" w:cs="Arial"/>
          <w:sz w:val="24"/>
          <w:szCs w:val="24"/>
        </w:rPr>
        <w:t>However, o</w:t>
      </w:r>
      <w:r w:rsidR="00147B30">
        <w:rPr>
          <w:rFonts w:ascii="Arial" w:hAnsi="Arial" w:cs="Arial"/>
          <w:sz w:val="24"/>
          <w:szCs w:val="24"/>
        </w:rPr>
        <w:t xml:space="preserve">thers </w:t>
      </w:r>
      <w:r w:rsidR="00E7628D">
        <w:rPr>
          <w:rFonts w:ascii="Arial" w:hAnsi="Arial" w:cs="Arial"/>
          <w:sz w:val="24"/>
          <w:szCs w:val="24"/>
        </w:rPr>
        <w:t xml:space="preserve">disagree </w:t>
      </w:r>
      <w:r w:rsidR="00147B30">
        <w:rPr>
          <w:rFonts w:ascii="Arial" w:hAnsi="Arial" w:cs="Arial"/>
          <w:sz w:val="24"/>
          <w:szCs w:val="24"/>
        </w:rPr>
        <w:t>(Ba’al Ha-Ma’or</w:t>
      </w:r>
      <w:r w:rsidR="00E7628D">
        <w:rPr>
          <w:rFonts w:ascii="Arial" w:hAnsi="Arial" w:cs="Arial"/>
          <w:sz w:val="24"/>
          <w:szCs w:val="24"/>
        </w:rPr>
        <w:t>,</w:t>
      </w:r>
      <w:r w:rsidR="00147B30">
        <w:rPr>
          <w:rFonts w:ascii="Arial" w:hAnsi="Arial" w:cs="Arial"/>
          <w:sz w:val="24"/>
          <w:szCs w:val="24"/>
        </w:rPr>
        <w:t xml:space="preserve"> </w:t>
      </w:r>
      <w:r w:rsidR="00147B30" w:rsidRPr="00E7628D">
        <w:rPr>
          <w:rFonts w:ascii="Arial" w:hAnsi="Arial" w:cs="Arial"/>
          <w:i/>
          <w:iCs/>
          <w:sz w:val="24"/>
          <w:szCs w:val="24"/>
        </w:rPr>
        <w:t>Berakhot</w:t>
      </w:r>
      <w:r w:rsidR="00147B30">
        <w:rPr>
          <w:rFonts w:ascii="Arial" w:hAnsi="Arial" w:cs="Arial"/>
          <w:sz w:val="24"/>
          <w:szCs w:val="24"/>
        </w:rPr>
        <w:t xml:space="preserve"> 29a).</w:t>
      </w:r>
      <w:r w:rsidR="002A18EE">
        <w:rPr>
          <w:rFonts w:ascii="Arial" w:hAnsi="Arial" w:cs="Arial"/>
          <w:sz w:val="24"/>
          <w:szCs w:val="24"/>
        </w:rPr>
        <w:t xml:space="preserve"> Seemingly, one might suggest that they disagree as to whether fundamentally the </w:t>
      </w:r>
      <w:r w:rsidR="002A18EE" w:rsidRPr="002A18EE">
        <w:rPr>
          <w:rFonts w:ascii="Arial" w:hAnsi="Arial" w:cs="Arial"/>
          <w:i/>
          <w:iCs/>
          <w:sz w:val="24"/>
          <w:szCs w:val="24"/>
        </w:rPr>
        <w:t>tafel</w:t>
      </w:r>
      <w:r w:rsidR="002A18EE">
        <w:rPr>
          <w:rFonts w:ascii="Arial" w:hAnsi="Arial" w:cs="Arial"/>
          <w:sz w:val="24"/>
          <w:szCs w:val="24"/>
        </w:rPr>
        <w:t xml:space="preserve"> needs a blessing, but it is ordinarily exempted by the </w:t>
      </w:r>
      <w:r w:rsidR="002A18EE" w:rsidRPr="002A18EE">
        <w:rPr>
          <w:rFonts w:ascii="Arial" w:hAnsi="Arial" w:cs="Arial"/>
          <w:i/>
          <w:iCs/>
          <w:sz w:val="24"/>
          <w:szCs w:val="24"/>
        </w:rPr>
        <w:t>ikkar</w:t>
      </w:r>
      <w:r w:rsidR="002A18EE">
        <w:rPr>
          <w:rFonts w:ascii="Arial" w:hAnsi="Arial" w:cs="Arial"/>
          <w:sz w:val="24"/>
          <w:szCs w:val="24"/>
        </w:rPr>
        <w:t xml:space="preserve">, except when it is not present at the time of the blessing, or whether there is no need for a blessing at all.   </w:t>
      </w:r>
    </w:p>
    <w:p w:rsidR="00147B30" w:rsidRDefault="00147B30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D53756" w:rsidRDefault="00E7628D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if</w:t>
      </w:r>
      <w:r w:rsidR="00A0612F">
        <w:rPr>
          <w:rFonts w:ascii="Arial" w:hAnsi="Arial" w:cs="Arial"/>
          <w:sz w:val="24"/>
          <w:szCs w:val="24"/>
        </w:rPr>
        <w:t xml:space="preserve"> one eats the </w:t>
      </w:r>
      <w:r w:rsidR="00A0612F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A0612F">
        <w:rPr>
          <w:rFonts w:ascii="Arial" w:hAnsi="Arial" w:cs="Arial"/>
          <w:sz w:val="24"/>
          <w:szCs w:val="24"/>
        </w:rPr>
        <w:t xml:space="preserve"> before eating the </w:t>
      </w:r>
      <w:r w:rsidR="00A0612F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A0612F">
        <w:rPr>
          <w:rFonts w:ascii="Arial" w:hAnsi="Arial" w:cs="Arial"/>
          <w:sz w:val="24"/>
          <w:szCs w:val="24"/>
        </w:rPr>
        <w:t xml:space="preserve">? </w:t>
      </w:r>
      <w:r w:rsidR="00D53756">
        <w:rPr>
          <w:rFonts w:ascii="Arial" w:hAnsi="Arial" w:cs="Arial"/>
          <w:sz w:val="24"/>
          <w:szCs w:val="24"/>
        </w:rPr>
        <w:t xml:space="preserve">The Terumat Ha-Deshen (31) discusses </w:t>
      </w:r>
      <w:r>
        <w:rPr>
          <w:rFonts w:ascii="Arial" w:hAnsi="Arial" w:cs="Arial"/>
          <w:sz w:val="24"/>
          <w:szCs w:val="24"/>
        </w:rPr>
        <w:t xml:space="preserve">such </w:t>
      </w:r>
      <w:r w:rsidR="00D53756">
        <w:rPr>
          <w:rFonts w:ascii="Arial" w:hAnsi="Arial" w:cs="Arial"/>
          <w:sz w:val="24"/>
          <w:szCs w:val="24"/>
        </w:rPr>
        <w:t xml:space="preserve">a case </w:t>
      </w:r>
      <w:r>
        <w:rPr>
          <w:rFonts w:ascii="Arial" w:hAnsi="Arial" w:cs="Arial"/>
          <w:sz w:val="24"/>
          <w:szCs w:val="24"/>
        </w:rPr>
        <w:t xml:space="preserve">and </w:t>
      </w:r>
      <w:r w:rsidR="00D53756">
        <w:rPr>
          <w:rFonts w:ascii="Arial" w:hAnsi="Arial" w:cs="Arial"/>
          <w:sz w:val="24"/>
          <w:szCs w:val="24"/>
        </w:rPr>
        <w:t>concludes that “the Rabbis did not mandate reciting a blessing over eating or drinking if it is subservient (</w:t>
      </w:r>
      <w:r w:rsidR="00D53756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D53756">
        <w:rPr>
          <w:rFonts w:ascii="Arial" w:hAnsi="Arial" w:cs="Arial"/>
          <w:sz w:val="24"/>
          <w:szCs w:val="24"/>
        </w:rPr>
        <w:t>).</w:t>
      </w:r>
      <w:r w:rsidR="00CF67AF">
        <w:rPr>
          <w:rFonts w:ascii="Arial" w:hAnsi="Arial" w:cs="Arial"/>
          <w:sz w:val="24"/>
          <w:szCs w:val="24"/>
        </w:rPr>
        <w:t>”</w:t>
      </w:r>
      <w:r w:rsidR="00D53756">
        <w:rPr>
          <w:rFonts w:ascii="Arial" w:hAnsi="Arial" w:cs="Arial"/>
          <w:sz w:val="24"/>
          <w:szCs w:val="24"/>
        </w:rPr>
        <w:t xml:space="preserve"> In other words, </w:t>
      </w:r>
      <w:r w:rsidR="00147B30">
        <w:rPr>
          <w:rFonts w:ascii="Arial" w:hAnsi="Arial" w:cs="Arial"/>
          <w:sz w:val="24"/>
          <w:szCs w:val="24"/>
        </w:rPr>
        <w:t>regardless</w:t>
      </w:r>
      <w:r w:rsidR="00D53756">
        <w:rPr>
          <w:rFonts w:ascii="Arial" w:hAnsi="Arial" w:cs="Arial"/>
          <w:sz w:val="24"/>
          <w:szCs w:val="24"/>
        </w:rPr>
        <w:t xml:space="preserve"> of whether or not one eats the </w:t>
      </w:r>
      <w:r w:rsidR="00D53756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D53756">
        <w:rPr>
          <w:rFonts w:ascii="Arial" w:hAnsi="Arial" w:cs="Arial"/>
          <w:sz w:val="24"/>
          <w:szCs w:val="24"/>
        </w:rPr>
        <w:t xml:space="preserve"> before or after eating the </w:t>
      </w:r>
      <w:r w:rsidR="00D53756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D53756">
        <w:rPr>
          <w:rFonts w:ascii="Arial" w:hAnsi="Arial" w:cs="Arial"/>
          <w:sz w:val="24"/>
          <w:szCs w:val="24"/>
        </w:rPr>
        <w:t xml:space="preserve">, the </w:t>
      </w:r>
      <w:r w:rsidR="00D53756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D53756">
        <w:rPr>
          <w:rFonts w:ascii="Arial" w:hAnsi="Arial" w:cs="Arial"/>
          <w:sz w:val="24"/>
          <w:szCs w:val="24"/>
        </w:rPr>
        <w:t xml:space="preserve"> is exempt from the requirement a blessing.</w:t>
      </w:r>
      <w:r w:rsidR="00CF67AF">
        <w:rPr>
          <w:rFonts w:ascii="Arial" w:hAnsi="Arial" w:cs="Arial"/>
          <w:sz w:val="24"/>
          <w:szCs w:val="24"/>
        </w:rPr>
        <w:t xml:space="preserve"> The Darkhei Moshe (212:2) explains that although </w:t>
      </w:r>
      <w:r>
        <w:rPr>
          <w:rFonts w:ascii="Arial" w:hAnsi="Arial" w:cs="Arial"/>
          <w:sz w:val="24"/>
          <w:szCs w:val="24"/>
        </w:rPr>
        <w:t>one</w:t>
      </w:r>
      <w:r w:rsidR="00CF67AF">
        <w:rPr>
          <w:rFonts w:ascii="Arial" w:hAnsi="Arial" w:cs="Arial"/>
          <w:sz w:val="24"/>
          <w:szCs w:val="24"/>
        </w:rPr>
        <w:t xml:space="preserve"> is exempt from the original blessing, he may not benefit from this world without a blessing, and must therefore still say the blessing of </w:t>
      </w:r>
      <w:r w:rsidR="00CF67AF" w:rsidRPr="00E7628D">
        <w:rPr>
          <w:rFonts w:ascii="Arial" w:hAnsi="Arial" w:cs="Arial"/>
          <w:i/>
          <w:iCs/>
          <w:sz w:val="24"/>
          <w:szCs w:val="24"/>
        </w:rPr>
        <w:t>She-Hakol</w:t>
      </w:r>
      <w:r w:rsidR="00CF67AF">
        <w:rPr>
          <w:rFonts w:ascii="Arial" w:hAnsi="Arial" w:cs="Arial"/>
          <w:sz w:val="24"/>
          <w:szCs w:val="24"/>
        </w:rPr>
        <w:t xml:space="preserve"> before eating the </w:t>
      </w:r>
      <w:r w:rsidR="00CF67AF" w:rsidRPr="00E7628D">
        <w:rPr>
          <w:rFonts w:ascii="Arial" w:hAnsi="Arial" w:cs="Arial"/>
          <w:i/>
          <w:iCs/>
          <w:sz w:val="24"/>
          <w:szCs w:val="24"/>
        </w:rPr>
        <w:t>tafel</w:t>
      </w:r>
      <w:r w:rsidR="00CF67AF">
        <w:rPr>
          <w:rFonts w:ascii="Arial" w:hAnsi="Arial" w:cs="Arial"/>
          <w:sz w:val="24"/>
          <w:szCs w:val="24"/>
        </w:rPr>
        <w:t>.</w:t>
      </w:r>
      <w:r w:rsidR="00D53756">
        <w:rPr>
          <w:rFonts w:ascii="Arial" w:hAnsi="Arial" w:cs="Arial"/>
          <w:sz w:val="24"/>
          <w:szCs w:val="24"/>
        </w:rPr>
        <w:t xml:space="preserve"> </w:t>
      </w:r>
      <w:r w:rsidR="00A0612F">
        <w:rPr>
          <w:rFonts w:ascii="Arial" w:hAnsi="Arial" w:cs="Arial"/>
          <w:sz w:val="24"/>
          <w:szCs w:val="24"/>
        </w:rPr>
        <w:t xml:space="preserve">The Beit Yosef (212) cites the Terumat Ha-Deshen, but disagrees. In his opinion, if one eats the </w:t>
      </w:r>
      <w:r w:rsidR="00A0612F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A0612F">
        <w:rPr>
          <w:rFonts w:ascii="Arial" w:hAnsi="Arial" w:cs="Arial"/>
          <w:sz w:val="24"/>
          <w:szCs w:val="24"/>
        </w:rPr>
        <w:t xml:space="preserve"> first, one should say the proper blessing over the </w:t>
      </w:r>
      <w:r w:rsidR="00A0612F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A0612F">
        <w:rPr>
          <w:rFonts w:ascii="Arial" w:hAnsi="Arial" w:cs="Arial"/>
          <w:sz w:val="24"/>
          <w:szCs w:val="24"/>
        </w:rPr>
        <w:t xml:space="preserve">. </w:t>
      </w:r>
    </w:p>
    <w:p w:rsidR="005C5F24" w:rsidRDefault="005C5F24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A36AF" w:rsidRPr="00BA36AF" w:rsidRDefault="00BA36AF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Interestingly, </w:t>
      </w:r>
      <w:r w:rsidRPr="00BA36AF">
        <w:rPr>
          <w:rFonts w:ascii="Arial" w:hAnsi="Arial" w:cs="Arial"/>
          <w:sz w:val="24"/>
          <w:szCs w:val="24"/>
        </w:rPr>
        <w:t xml:space="preserve">R. Soloveitchik insisted, following the Terumat Ha-Deshen, that one is not obligated at all to say a blessing over the </w:t>
      </w:r>
      <w:r w:rsidRPr="00BA36AF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>. He argues that it is inconceivable</w:t>
      </w:r>
      <w:r w:rsidRPr="00BA36AF">
        <w:rPr>
          <w:rFonts w:ascii="Arial" w:hAnsi="Arial" w:cs="Arial"/>
          <w:sz w:val="24"/>
          <w:szCs w:val="24"/>
        </w:rPr>
        <w:t xml:space="preserve"> that the blessing of the </w:t>
      </w:r>
      <w:r w:rsidRPr="00BA36AF">
        <w:rPr>
          <w:rFonts w:ascii="Arial" w:hAnsi="Arial" w:cs="Arial"/>
          <w:i/>
          <w:iCs/>
          <w:sz w:val="24"/>
          <w:szCs w:val="24"/>
        </w:rPr>
        <w:t>ikkar</w:t>
      </w:r>
      <w:r w:rsidRPr="00BA36AF">
        <w:rPr>
          <w:rFonts w:ascii="Arial" w:hAnsi="Arial" w:cs="Arial"/>
          <w:sz w:val="24"/>
          <w:szCs w:val="24"/>
        </w:rPr>
        <w:t xml:space="preserve">, which is a different blessing than the one ordinarily said over the </w:t>
      </w:r>
      <w:r w:rsidRPr="00BA36AF">
        <w:rPr>
          <w:rFonts w:ascii="Arial" w:hAnsi="Arial" w:cs="Arial"/>
          <w:i/>
          <w:iCs/>
          <w:sz w:val="24"/>
          <w:szCs w:val="24"/>
        </w:rPr>
        <w:t>tafel</w:t>
      </w:r>
      <w:r w:rsidRPr="00BA36AF">
        <w:rPr>
          <w:rFonts w:ascii="Arial" w:hAnsi="Arial" w:cs="Arial"/>
          <w:sz w:val="24"/>
          <w:szCs w:val="24"/>
        </w:rPr>
        <w:t xml:space="preserve">, could exempt the </w:t>
      </w:r>
      <w:r w:rsidRPr="00BA36AF">
        <w:rPr>
          <w:rFonts w:ascii="Arial" w:hAnsi="Arial" w:cs="Arial"/>
          <w:i/>
          <w:iCs/>
          <w:sz w:val="24"/>
          <w:szCs w:val="24"/>
        </w:rPr>
        <w:t>tafel</w:t>
      </w:r>
      <w:r w:rsidRPr="00BA36AF">
        <w:rPr>
          <w:rFonts w:ascii="Arial" w:hAnsi="Arial" w:cs="Arial"/>
          <w:sz w:val="24"/>
          <w:szCs w:val="24"/>
        </w:rPr>
        <w:t xml:space="preserve">. Therefore, although he accepted the ruling of the Terumat Ha-Deshen, as did the Rema (212:1; see Mishna Berura 212:10), he explained that even according to Tosafot – who implies that if the blessing is recited </w:t>
      </w:r>
      <w:r>
        <w:rPr>
          <w:rFonts w:ascii="Arial" w:hAnsi="Arial" w:cs="Arial"/>
          <w:sz w:val="24"/>
          <w:szCs w:val="24"/>
        </w:rPr>
        <w:t>before</w:t>
      </w:r>
      <w:r w:rsidRPr="00BA36AF">
        <w:rPr>
          <w:rFonts w:ascii="Arial" w:hAnsi="Arial" w:cs="Arial"/>
          <w:sz w:val="24"/>
          <w:szCs w:val="24"/>
        </w:rPr>
        <w:t xml:space="preserve"> the </w:t>
      </w:r>
      <w:r w:rsidRPr="00BA36AF">
        <w:rPr>
          <w:rFonts w:ascii="Arial" w:hAnsi="Arial" w:cs="Arial"/>
          <w:i/>
          <w:iCs/>
          <w:sz w:val="24"/>
          <w:szCs w:val="24"/>
        </w:rPr>
        <w:t>tafel</w:t>
      </w:r>
      <w:r w:rsidRPr="00BA36AF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>present</w:t>
      </w:r>
      <w:r w:rsidRPr="00BA36AF">
        <w:rPr>
          <w:rFonts w:ascii="Arial" w:hAnsi="Arial" w:cs="Arial"/>
          <w:sz w:val="24"/>
          <w:szCs w:val="24"/>
        </w:rPr>
        <w:t xml:space="preserve">, one must say the blessing when he eats the </w:t>
      </w:r>
      <w:r w:rsidRPr="00BA36AF">
        <w:rPr>
          <w:rFonts w:ascii="Arial" w:hAnsi="Arial" w:cs="Arial"/>
          <w:i/>
          <w:iCs/>
          <w:sz w:val="24"/>
          <w:szCs w:val="24"/>
        </w:rPr>
        <w:t>tafel</w:t>
      </w:r>
      <w:r w:rsidRPr="00BA36AF">
        <w:rPr>
          <w:rFonts w:ascii="Arial" w:hAnsi="Arial" w:cs="Arial"/>
          <w:sz w:val="24"/>
          <w:szCs w:val="24"/>
        </w:rPr>
        <w:t xml:space="preserve"> – this limitation</w:t>
      </w:r>
      <w:r>
        <w:rPr>
          <w:rFonts w:ascii="Arial" w:hAnsi="Arial" w:cs="Arial"/>
          <w:sz w:val="24"/>
          <w:szCs w:val="24"/>
        </w:rPr>
        <w:t xml:space="preserve"> serves to define</w:t>
      </w:r>
      <w:r w:rsidRPr="00BA36AF">
        <w:rPr>
          <w:rFonts w:ascii="Arial" w:hAnsi="Arial" w:cs="Arial"/>
          <w:sz w:val="24"/>
          <w:szCs w:val="24"/>
        </w:rPr>
        <w:t xml:space="preserve"> the </w:t>
      </w:r>
      <w:r w:rsidRPr="00BA36AF">
        <w:rPr>
          <w:rFonts w:ascii="Arial" w:hAnsi="Arial" w:cs="Arial"/>
          <w:i/>
          <w:iCs/>
          <w:sz w:val="24"/>
          <w:szCs w:val="24"/>
        </w:rPr>
        <w:t>tafel</w:t>
      </w:r>
      <w:r w:rsidRPr="00BA36AF">
        <w:rPr>
          <w:rFonts w:ascii="Arial" w:hAnsi="Arial" w:cs="Arial"/>
          <w:sz w:val="24"/>
          <w:szCs w:val="24"/>
        </w:rPr>
        <w:t xml:space="preserve"> as </w:t>
      </w:r>
      <w:r w:rsidRPr="00BA36AF">
        <w:rPr>
          <w:rFonts w:ascii="Arial" w:hAnsi="Arial" w:cs="Arial"/>
          <w:i/>
          <w:iCs/>
          <w:sz w:val="24"/>
          <w:szCs w:val="24"/>
        </w:rPr>
        <w:t>tafel</w:t>
      </w:r>
      <w:r w:rsidRPr="00BA36AF">
        <w:rPr>
          <w:rFonts w:ascii="Arial" w:hAnsi="Arial" w:cs="Arial"/>
          <w:sz w:val="24"/>
          <w:szCs w:val="24"/>
        </w:rPr>
        <w:t xml:space="preserve"> to the </w:t>
      </w:r>
      <w:r w:rsidRPr="00BA36AF">
        <w:rPr>
          <w:rFonts w:ascii="Arial" w:hAnsi="Arial" w:cs="Arial"/>
          <w:i/>
          <w:iCs/>
          <w:sz w:val="24"/>
          <w:szCs w:val="24"/>
        </w:rPr>
        <w:t>ikkar</w:t>
      </w:r>
      <w:r w:rsidRPr="00BA36AF">
        <w:rPr>
          <w:rFonts w:ascii="Arial" w:hAnsi="Arial" w:cs="Arial"/>
          <w:sz w:val="24"/>
          <w:szCs w:val="24"/>
        </w:rPr>
        <w:t>, and doesn’t necessarily teach us anything about our question.</w:t>
      </w:r>
    </w:p>
    <w:p w:rsidR="00BA36AF" w:rsidRDefault="00BA36AF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A0612F" w:rsidRDefault="00A0612F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what if one eat</w:t>
      </w:r>
      <w:r w:rsidR="002A18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</w:t>
      </w:r>
      <w:r w:rsidR="00E7628D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 xml:space="preserve"> first</w:t>
      </w:r>
      <w:r w:rsidR="00E7628D">
        <w:rPr>
          <w:rFonts w:ascii="Arial" w:hAnsi="Arial" w:cs="Arial"/>
          <w:sz w:val="24"/>
          <w:szCs w:val="24"/>
        </w:rPr>
        <w:t>, but without a reciting a blessing?</w:t>
      </w:r>
      <w:r>
        <w:rPr>
          <w:rFonts w:ascii="Arial" w:hAnsi="Arial" w:cs="Arial"/>
          <w:sz w:val="24"/>
          <w:szCs w:val="24"/>
        </w:rPr>
        <w:t xml:space="preserve"> Must he then say a blessing before eating the 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 xml:space="preserve">? In an ordinary case, there is no need to say a blessing before eating the 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 xml:space="preserve"> (i.e. the milk left over after eating cereal). However, in this case, since he did not say a blessing over the </w:t>
      </w:r>
      <w:r w:rsidRPr="005C5F24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 xml:space="preserve">, must he say a blessing over the 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>?</w:t>
      </w:r>
    </w:p>
    <w:p w:rsidR="00A0612F" w:rsidRDefault="00A0612F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CF67AF" w:rsidRDefault="00E7628D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F67AF">
        <w:rPr>
          <w:rFonts w:ascii="Arial" w:hAnsi="Arial" w:cs="Arial"/>
          <w:sz w:val="24"/>
          <w:szCs w:val="24"/>
        </w:rPr>
        <w:t xml:space="preserve">he Shulchan Arukh (212:1) rules in accordance with the principle set down by the </w:t>
      </w:r>
      <w:r w:rsidR="00CF67AF" w:rsidRPr="00E7628D">
        <w:rPr>
          <w:rFonts w:ascii="Arial" w:hAnsi="Arial" w:cs="Arial"/>
          <w:i/>
          <w:iCs/>
          <w:sz w:val="24"/>
          <w:szCs w:val="24"/>
        </w:rPr>
        <w:t>mishna</w:t>
      </w:r>
      <w:r w:rsidR="00CF67AF">
        <w:rPr>
          <w:rFonts w:ascii="Arial" w:hAnsi="Arial" w:cs="Arial"/>
          <w:sz w:val="24"/>
          <w:szCs w:val="24"/>
        </w:rPr>
        <w:t xml:space="preserve"> that the blessing said before eating the </w:t>
      </w:r>
      <w:r w:rsidR="00CF67AF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CF67AF">
        <w:rPr>
          <w:rFonts w:ascii="Arial" w:hAnsi="Arial" w:cs="Arial"/>
          <w:sz w:val="24"/>
          <w:szCs w:val="24"/>
        </w:rPr>
        <w:t xml:space="preserve"> exempts the </w:t>
      </w:r>
      <w:r w:rsidR="00CF67AF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CF67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but </w:t>
      </w:r>
      <w:r w:rsidR="00CF67AF">
        <w:rPr>
          <w:rFonts w:ascii="Arial" w:hAnsi="Arial" w:cs="Arial"/>
          <w:sz w:val="24"/>
          <w:szCs w:val="24"/>
        </w:rPr>
        <w:t xml:space="preserve">the </w:t>
      </w:r>
      <w:r w:rsidR="00CF67AF" w:rsidRPr="00034302">
        <w:rPr>
          <w:rFonts w:ascii="Arial" w:hAnsi="Arial" w:cs="Arial"/>
          <w:i/>
          <w:iCs/>
          <w:sz w:val="24"/>
          <w:szCs w:val="24"/>
        </w:rPr>
        <w:t>Poskim</w:t>
      </w:r>
      <w:r w:rsidR="00CF67AF">
        <w:rPr>
          <w:rFonts w:ascii="Arial" w:hAnsi="Arial" w:cs="Arial"/>
          <w:sz w:val="24"/>
          <w:szCs w:val="24"/>
        </w:rPr>
        <w:t xml:space="preserve"> discuss the definition of </w:t>
      </w:r>
      <w:r w:rsidR="00CF67AF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CF67AF">
        <w:rPr>
          <w:rFonts w:ascii="Arial" w:hAnsi="Arial" w:cs="Arial"/>
          <w:sz w:val="24"/>
          <w:szCs w:val="24"/>
        </w:rPr>
        <w:t xml:space="preserve"> and </w:t>
      </w:r>
      <w:r w:rsidR="00CF67AF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CF67AF">
        <w:rPr>
          <w:rFonts w:ascii="Arial" w:hAnsi="Arial" w:cs="Arial"/>
          <w:sz w:val="24"/>
          <w:szCs w:val="24"/>
        </w:rPr>
        <w:t xml:space="preserve">. </w:t>
      </w:r>
      <w:r w:rsidR="00CE037F">
        <w:rPr>
          <w:rFonts w:ascii="Arial" w:hAnsi="Arial" w:cs="Arial"/>
          <w:sz w:val="24"/>
          <w:szCs w:val="24"/>
        </w:rPr>
        <w:t xml:space="preserve">When </w:t>
      </w:r>
      <w:r w:rsidR="00CE037F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CE037F">
        <w:rPr>
          <w:rFonts w:ascii="Arial" w:hAnsi="Arial" w:cs="Arial"/>
          <w:sz w:val="24"/>
          <w:szCs w:val="24"/>
        </w:rPr>
        <w:t xml:space="preserve"> serves the </w:t>
      </w:r>
      <w:r w:rsidR="00CE037F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CE037F">
        <w:rPr>
          <w:rFonts w:ascii="Arial" w:hAnsi="Arial" w:cs="Arial"/>
          <w:sz w:val="24"/>
          <w:szCs w:val="24"/>
        </w:rPr>
        <w:t xml:space="preserve"> by adding color or smell, one says the blessing over the </w:t>
      </w:r>
      <w:r w:rsidR="00CE037F" w:rsidRPr="00E7628D">
        <w:rPr>
          <w:rFonts w:ascii="Arial" w:hAnsi="Arial" w:cs="Arial"/>
          <w:i/>
          <w:iCs/>
          <w:sz w:val="24"/>
          <w:szCs w:val="24"/>
        </w:rPr>
        <w:t>ikkar</w:t>
      </w:r>
      <w:r w:rsidR="00CE037F">
        <w:rPr>
          <w:rFonts w:ascii="Arial" w:hAnsi="Arial" w:cs="Arial"/>
          <w:sz w:val="24"/>
          <w:szCs w:val="24"/>
        </w:rPr>
        <w:t xml:space="preserve">. Similarly, when the </w:t>
      </w:r>
      <w:r w:rsidR="00CE037F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CE037F">
        <w:rPr>
          <w:rFonts w:ascii="Arial" w:hAnsi="Arial" w:cs="Arial"/>
          <w:sz w:val="24"/>
          <w:szCs w:val="24"/>
        </w:rPr>
        <w:t xml:space="preserve"> adds flavor to the </w:t>
      </w:r>
      <w:r w:rsidR="00CE037F" w:rsidRPr="005C5F24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>, such as a frosting to a cake</w:t>
      </w:r>
      <w:r w:rsidR="00CE037F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a spread</w:t>
      </w:r>
      <w:r w:rsidR="00CE037F">
        <w:rPr>
          <w:rFonts w:ascii="Arial" w:hAnsi="Arial" w:cs="Arial"/>
          <w:sz w:val="24"/>
          <w:szCs w:val="24"/>
        </w:rPr>
        <w:t xml:space="preserve"> on a cracker, one says the blessing over the crackers. If the cracker is being used </w:t>
      </w:r>
      <w:r w:rsidR="00CE037F">
        <w:rPr>
          <w:rFonts w:ascii="Arial" w:hAnsi="Arial" w:cs="Arial"/>
          <w:sz w:val="24"/>
          <w:szCs w:val="24"/>
        </w:rPr>
        <w:lastRenderedPageBreak/>
        <w:t xml:space="preserve">merely to carry the spread, than one should say the blessing over the spread. </w:t>
      </w:r>
      <w:r w:rsidR="00CF67AF">
        <w:rPr>
          <w:rFonts w:ascii="Arial" w:hAnsi="Arial" w:cs="Arial"/>
          <w:sz w:val="24"/>
          <w:szCs w:val="24"/>
        </w:rPr>
        <w:t>The Rema (121:1) writes that</w:t>
      </w:r>
      <w:r w:rsidR="00886A35">
        <w:rPr>
          <w:rFonts w:ascii="Arial" w:hAnsi="Arial" w:cs="Arial"/>
          <w:sz w:val="24"/>
          <w:szCs w:val="24"/>
        </w:rPr>
        <w:t xml:space="preserve"> although the </w:t>
      </w:r>
      <w:r w:rsidR="00886A35" w:rsidRPr="00E7628D">
        <w:rPr>
          <w:rFonts w:ascii="Arial" w:hAnsi="Arial" w:cs="Arial"/>
          <w:i/>
          <w:iCs/>
          <w:sz w:val="24"/>
          <w:szCs w:val="24"/>
        </w:rPr>
        <w:t>tafel</w:t>
      </w:r>
      <w:r w:rsidR="00886A35">
        <w:rPr>
          <w:rFonts w:ascii="Arial" w:hAnsi="Arial" w:cs="Arial"/>
          <w:sz w:val="24"/>
          <w:szCs w:val="24"/>
        </w:rPr>
        <w:t xml:space="preserve"> is “serving” the </w:t>
      </w:r>
      <w:r w:rsidR="00886A35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886A35">
        <w:rPr>
          <w:rFonts w:ascii="Arial" w:hAnsi="Arial" w:cs="Arial"/>
          <w:sz w:val="24"/>
          <w:szCs w:val="24"/>
        </w:rPr>
        <w:t>,</w:t>
      </w:r>
      <w:r w:rsidR="00CF67AF">
        <w:rPr>
          <w:rFonts w:ascii="Arial" w:hAnsi="Arial" w:cs="Arial"/>
          <w:sz w:val="24"/>
          <w:szCs w:val="24"/>
        </w:rPr>
        <w:t xml:space="preserve"> the blessing said over the </w:t>
      </w:r>
      <w:r w:rsidR="00CF67AF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CF67AF">
        <w:rPr>
          <w:rFonts w:ascii="Arial" w:hAnsi="Arial" w:cs="Arial"/>
          <w:sz w:val="24"/>
          <w:szCs w:val="24"/>
        </w:rPr>
        <w:t xml:space="preserve"> does not exempt the </w:t>
      </w:r>
      <w:r w:rsidR="00CF67AF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CF67AF">
        <w:rPr>
          <w:rFonts w:ascii="Arial" w:hAnsi="Arial" w:cs="Arial"/>
          <w:sz w:val="24"/>
          <w:szCs w:val="24"/>
        </w:rPr>
        <w:t xml:space="preserve"> if it is “</w:t>
      </w:r>
      <w:r w:rsidR="00CF67AF" w:rsidRPr="005C5F24">
        <w:rPr>
          <w:rFonts w:ascii="Arial" w:hAnsi="Arial" w:cs="Arial"/>
          <w:i/>
          <w:iCs/>
          <w:sz w:val="24"/>
          <w:szCs w:val="24"/>
        </w:rPr>
        <w:t>chaviv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CF67AF">
        <w:rPr>
          <w:rFonts w:ascii="Arial" w:hAnsi="Arial" w:cs="Arial"/>
          <w:sz w:val="24"/>
          <w:szCs w:val="24"/>
        </w:rPr>
        <w:t xml:space="preserve"> The Magen Avraham (212:3; see also Gra 212:5 and Mishna Berura 202:29) </w:t>
      </w:r>
      <w:r>
        <w:rPr>
          <w:rFonts w:ascii="Arial" w:hAnsi="Arial" w:cs="Arial"/>
          <w:sz w:val="24"/>
          <w:szCs w:val="24"/>
        </w:rPr>
        <w:t>disagrees</w:t>
      </w:r>
      <w:r w:rsidR="00886A35">
        <w:rPr>
          <w:rFonts w:ascii="Arial" w:hAnsi="Arial" w:cs="Arial"/>
          <w:sz w:val="24"/>
          <w:szCs w:val="24"/>
        </w:rPr>
        <w:t xml:space="preserve"> and rules that one does not say a blessing in such a case. </w:t>
      </w:r>
      <w:r w:rsidR="00CF67AF">
        <w:rPr>
          <w:rFonts w:ascii="Arial" w:hAnsi="Arial" w:cs="Arial"/>
          <w:sz w:val="24"/>
          <w:szCs w:val="24"/>
        </w:rPr>
        <w:t xml:space="preserve"> </w:t>
      </w:r>
      <w:r w:rsidR="00CE037F">
        <w:rPr>
          <w:rFonts w:ascii="Arial" w:hAnsi="Arial" w:cs="Arial"/>
          <w:sz w:val="24"/>
          <w:szCs w:val="24"/>
        </w:rPr>
        <w:t xml:space="preserve">However, when meat is served with rice or vegetables, since one is not “serving” the others, one should say individual </w:t>
      </w:r>
      <w:r w:rsidR="00CE037F" w:rsidRPr="005C5F24">
        <w:rPr>
          <w:rFonts w:ascii="Arial" w:hAnsi="Arial" w:cs="Arial"/>
          <w:i/>
          <w:iCs/>
          <w:sz w:val="24"/>
          <w:szCs w:val="24"/>
        </w:rPr>
        <w:t>berak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="00CE037F" w:rsidRPr="005C5F24">
        <w:rPr>
          <w:rFonts w:ascii="Arial" w:hAnsi="Arial" w:cs="Arial"/>
          <w:i/>
          <w:iCs/>
          <w:sz w:val="24"/>
          <w:szCs w:val="24"/>
        </w:rPr>
        <w:t>ot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E037F">
        <w:rPr>
          <w:rFonts w:ascii="Arial" w:hAnsi="Arial" w:cs="Arial"/>
          <w:sz w:val="24"/>
          <w:szCs w:val="24"/>
        </w:rPr>
        <w:t xml:space="preserve"> </w:t>
      </w:r>
    </w:p>
    <w:p w:rsidR="00AC44F2" w:rsidRDefault="00AC44F2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C5202" w:rsidRPr="00BA36AF" w:rsidRDefault="008C5202" w:rsidP="00426508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BA36AF">
        <w:rPr>
          <w:rFonts w:ascii="Arial" w:hAnsi="Arial" w:cs="Arial"/>
          <w:b/>
          <w:bCs/>
          <w:i/>
          <w:iCs/>
          <w:sz w:val="24"/>
          <w:szCs w:val="24"/>
        </w:rPr>
        <w:t>Ikkar</w:t>
      </w:r>
      <w:r w:rsidRPr="00BA36AF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BA36AF">
        <w:rPr>
          <w:rFonts w:ascii="Arial" w:hAnsi="Arial" w:cs="Arial"/>
          <w:b/>
          <w:bCs/>
          <w:i/>
          <w:iCs/>
          <w:sz w:val="24"/>
          <w:szCs w:val="24"/>
        </w:rPr>
        <w:t>Tafel</w:t>
      </w:r>
      <w:r w:rsidR="00E7628D" w:rsidRPr="00BA36AF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BA36AF">
        <w:rPr>
          <w:rFonts w:ascii="Arial" w:hAnsi="Arial" w:cs="Arial"/>
          <w:b/>
          <w:bCs/>
          <w:sz w:val="24"/>
          <w:szCs w:val="24"/>
        </w:rPr>
        <w:t>Mixtures</w:t>
      </w:r>
    </w:p>
    <w:p w:rsidR="008C5202" w:rsidRDefault="008C5202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FE3EDD" w:rsidRDefault="00915B8F" w:rsidP="00426508">
      <w:pPr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2210F">
        <w:rPr>
          <w:rFonts w:ascii="Arial" w:hAnsi="Arial" w:cs="Arial"/>
          <w:sz w:val="24"/>
          <w:szCs w:val="24"/>
        </w:rPr>
        <w:t>Talmud teaches</w:t>
      </w:r>
      <w:r w:rsidR="008C5202">
        <w:rPr>
          <w:rFonts w:ascii="Arial" w:hAnsi="Arial" w:cs="Arial"/>
          <w:sz w:val="24"/>
          <w:szCs w:val="24"/>
        </w:rPr>
        <w:t xml:space="preserve"> that this principle applies to mixtures of different foods a</w:t>
      </w:r>
      <w:r w:rsidR="00E7628D">
        <w:rPr>
          <w:rFonts w:ascii="Arial" w:hAnsi="Arial" w:cs="Arial"/>
          <w:sz w:val="24"/>
          <w:szCs w:val="24"/>
        </w:rPr>
        <w:t xml:space="preserve">s </w:t>
      </w:r>
      <w:r w:rsidR="008C5202">
        <w:rPr>
          <w:rFonts w:ascii="Arial" w:hAnsi="Arial" w:cs="Arial"/>
          <w:sz w:val="24"/>
          <w:szCs w:val="24"/>
        </w:rPr>
        <w:t xml:space="preserve">well. The </w:t>
      </w:r>
      <w:r w:rsidR="008C5202" w:rsidRPr="00E7628D">
        <w:rPr>
          <w:rFonts w:ascii="Arial" w:hAnsi="Arial" w:cs="Arial"/>
          <w:i/>
          <w:iCs/>
          <w:sz w:val="24"/>
          <w:szCs w:val="24"/>
        </w:rPr>
        <w:t>gemara</w:t>
      </w:r>
      <w:r w:rsidR="008C5202">
        <w:rPr>
          <w:rFonts w:ascii="Arial" w:hAnsi="Arial" w:cs="Arial"/>
          <w:sz w:val="24"/>
          <w:szCs w:val="24"/>
        </w:rPr>
        <w:t xml:space="preserve"> says that the proper blessing to be recited over olive oil is </w:t>
      </w:r>
      <w:r w:rsidR="008C5202" w:rsidRPr="00E7628D">
        <w:rPr>
          <w:rFonts w:ascii="Arial" w:hAnsi="Arial" w:cs="Arial"/>
          <w:i/>
          <w:iCs/>
          <w:sz w:val="24"/>
          <w:szCs w:val="24"/>
        </w:rPr>
        <w:t>Borei Peri Ha-Etz</w:t>
      </w:r>
      <w:r w:rsidR="008C5202">
        <w:rPr>
          <w:rFonts w:ascii="Arial" w:hAnsi="Arial" w:cs="Arial"/>
          <w:sz w:val="24"/>
          <w:szCs w:val="24"/>
        </w:rPr>
        <w:t>. T</w:t>
      </w:r>
      <w:r w:rsidR="00E7628D">
        <w:rPr>
          <w:rFonts w:ascii="Arial" w:hAnsi="Arial" w:cs="Arial"/>
          <w:sz w:val="24"/>
          <w:szCs w:val="24"/>
        </w:rPr>
        <w:t xml:space="preserve">he </w:t>
      </w:r>
      <w:r w:rsidR="00E7628D" w:rsidRPr="00E7628D">
        <w:rPr>
          <w:rFonts w:ascii="Arial" w:hAnsi="Arial" w:cs="Arial"/>
          <w:i/>
          <w:iCs/>
          <w:sz w:val="24"/>
          <w:szCs w:val="24"/>
        </w:rPr>
        <w:t>gema</w:t>
      </w:r>
      <w:r w:rsidR="00F2210F" w:rsidRPr="00E7628D">
        <w:rPr>
          <w:rFonts w:ascii="Arial" w:hAnsi="Arial" w:cs="Arial"/>
          <w:i/>
          <w:iCs/>
          <w:sz w:val="24"/>
          <w:szCs w:val="24"/>
        </w:rPr>
        <w:t>ra</w:t>
      </w:r>
      <w:r w:rsidR="00F2210F">
        <w:rPr>
          <w:rFonts w:ascii="Arial" w:hAnsi="Arial" w:cs="Arial"/>
          <w:sz w:val="24"/>
          <w:szCs w:val="24"/>
        </w:rPr>
        <w:t xml:space="preserve"> is unsure, however, when one would actually drink olive oil and recite the blessing. </w:t>
      </w:r>
      <w:r w:rsidR="00E7628D">
        <w:rPr>
          <w:rFonts w:ascii="Arial" w:hAnsi="Arial" w:cs="Arial"/>
          <w:sz w:val="24"/>
          <w:szCs w:val="24"/>
        </w:rPr>
        <w:t>I</w:t>
      </w:r>
      <w:r w:rsidR="00FE3EDD">
        <w:rPr>
          <w:rFonts w:ascii="Arial" w:hAnsi="Arial" w:cs="Arial"/>
          <w:sz w:val="24"/>
          <w:szCs w:val="24"/>
        </w:rPr>
        <w:t>f one were to drink the oil</w:t>
      </w:r>
      <w:r w:rsidR="00E7628D">
        <w:rPr>
          <w:rFonts w:ascii="Arial" w:hAnsi="Arial" w:cs="Arial"/>
          <w:sz w:val="24"/>
          <w:szCs w:val="24"/>
        </w:rPr>
        <w:t xml:space="preserve"> alone</w:t>
      </w:r>
      <w:r w:rsidR="00FE3EDD">
        <w:rPr>
          <w:rFonts w:ascii="Arial" w:hAnsi="Arial" w:cs="Arial"/>
          <w:sz w:val="24"/>
          <w:szCs w:val="24"/>
        </w:rPr>
        <w:t xml:space="preserve">, it </w:t>
      </w:r>
      <w:r w:rsidR="00E7628D">
        <w:rPr>
          <w:rFonts w:ascii="Arial" w:hAnsi="Arial" w:cs="Arial"/>
          <w:sz w:val="24"/>
          <w:szCs w:val="24"/>
        </w:rPr>
        <w:t>would be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="00F2210F" w:rsidRPr="00F2210F">
        <w:rPr>
          <w:rFonts w:ascii="Arial" w:hAnsi="Arial" w:cs="Arial"/>
          <w:sz w:val="24"/>
          <w:szCs w:val="24"/>
        </w:rPr>
        <w:t>injurious, a</w:t>
      </w:r>
      <w:r w:rsidR="00FE3EDD">
        <w:rPr>
          <w:rFonts w:ascii="Arial" w:hAnsi="Arial" w:cs="Arial"/>
          <w:sz w:val="24"/>
          <w:szCs w:val="24"/>
        </w:rPr>
        <w:t xml:space="preserve">nd </w:t>
      </w:r>
      <w:r w:rsidR="00E7628D">
        <w:rPr>
          <w:rFonts w:ascii="Arial" w:hAnsi="Arial" w:cs="Arial"/>
          <w:sz w:val="24"/>
          <w:szCs w:val="24"/>
        </w:rPr>
        <w:t xml:space="preserve">one would </w:t>
      </w:r>
      <w:r w:rsidR="00FE3EDD">
        <w:rPr>
          <w:rFonts w:ascii="Arial" w:hAnsi="Arial" w:cs="Arial"/>
          <w:sz w:val="24"/>
          <w:szCs w:val="24"/>
        </w:rPr>
        <w:t xml:space="preserve">therefore certainly </w:t>
      </w:r>
      <w:r w:rsidR="00E7628D">
        <w:rPr>
          <w:rFonts w:ascii="Arial" w:hAnsi="Arial" w:cs="Arial"/>
          <w:sz w:val="24"/>
          <w:szCs w:val="24"/>
        </w:rPr>
        <w:t>not say a blessing. If</w:t>
      </w:r>
      <w:r w:rsidR="00FE3EDD">
        <w:rPr>
          <w:rFonts w:ascii="Arial" w:hAnsi="Arial" w:cs="Arial"/>
          <w:sz w:val="24"/>
          <w:szCs w:val="24"/>
        </w:rPr>
        <w:t xml:space="preserve"> one consumes the olive oil with bread, the bread is the “</w:t>
      </w:r>
      <w:r w:rsidR="00FE3EDD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FE3EDD">
        <w:rPr>
          <w:rFonts w:ascii="Arial" w:hAnsi="Arial" w:cs="Arial"/>
          <w:sz w:val="24"/>
          <w:szCs w:val="24"/>
        </w:rPr>
        <w:t>” and the oil is “</w:t>
      </w:r>
      <w:r w:rsidR="00FE3EDD" w:rsidRPr="00034302">
        <w:rPr>
          <w:rFonts w:ascii="Arial" w:hAnsi="Arial" w:cs="Arial"/>
          <w:i/>
          <w:iCs/>
          <w:sz w:val="24"/>
          <w:szCs w:val="24"/>
        </w:rPr>
        <w:t>tafel</w:t>
      </w:r>
      <w:r w:rsidR="00034302">
        <w:rPr>
          <w:rFonts w:ascii="Arial" w:hAnsi="Arial" w:cs="Arial"/>
          <w:sz w:val="24"/>
          <w:szCs w:val="24"/>
        </w:rPr>
        <w:t>,”</w:t>
      </w:r>
      <w:r w:rsidR="00FE3EDD">
        <w:rPr>
          <w:rFonts w:ascii="Arial" w:hAnsi="Arial" w:cs="Arial"/>
          <w:sz w:val="24"/>
          <w:szCs w:val="24"/>
        </w:rPr>
        <w:t xml:space="preserve"> and therefore one only recites the blessing over the bread. The </w:t>
      </w:r>
      <w:r w:rsidR="00FE3EDD" w:rsidRPr="00E7628D">
        <w:rPr>
          <w:rFonts w:ascii="Arial" w:hAnsi="Arial" w:cs="Arial"/>
          <w:i/>
          <w:iCs/>
          <w:sz w:val="24"/>
          <w:szCs w:val="24"/>
        </w:rPr>
        <w:t>gemara</w:t>
      </w:r>
      <w:r w:rsidR="00FE3EDD">
        <w:rPr>
          <w:rFonts w:ascii="Arial" w:hAnsi="Arial" w:cs="Arial"/>
          <w:sz w:val="24"/>
          <w:szCs w:val="24"/>
        </w:rPr>
        <w:t xml:space="preserve"> concludes:</w:t>
      </w:r>
    </w:p>
    <w:p w:rsidR="00FE3EDD" w:rsidRDefault="00FE3EDD" w:rsidP="00426508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F2210F" w:rsidRDefault="00F2210F" w:rsidP="00426508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 w:rsidRPr="00F2210F">
        <w:rPr>
          <w:rFonts w:ascii="Arial" w:hAnsi="Arial" w:cs="Arial"/>
          <w:sz w:val="24"/>
          <w:szCs w:val="24"/>
        </w:rPr>
        <w:t>Do we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Pr="00F2210F">
        <w:rPr>
          <w:rFonts w:ascii="Arial" w:hAnsi="Arial" w:cs="Arial"/>
          <w:sz w:val="24"/>
          <w:szCs w:val="24"/>
        </w:rPr>
        <w:t>suppose then that he drinks i</w:t>
      </w:r>
      <w:r w:rsidR="000617B7">
        <w:rPr>
          <w:rFonts w:ascii="Arial" w:hAnsi="Arial" w:cs="Arial"/>
          <w:sz w:val="24"/>
          <w:szCs w:val="24"/>
        </w:rPr>
        <w:t>t with elaiogaron? (Rabbah b. Sh</w:t>
      </w:r>
      <w:r w:rsidRPr="00F2210F">
        <w:rPr>
          <w:rFonts w:ascii="Arial" w:hAnsi="Arial" w:cs="Arial"/>
          <w:sz w:val="24"/>
          <w:szCs w:val="24"/>
        </w:rPr>
        <w:t>muel has stated: Elaiogaron is juice of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Pr="00F2210F">
        <w:rPr>
          <w:rFonts w:ascii="Arial" w:hAnsi="Arial" w:cs="Arial"/>
          <w:sz w:val="24"/>
          <w:szCs w:val="24"/>
        </w:rPr>
        <w:t>beetroots; oxygaron is juice of</w:t>
      </w:r>
      <w:r>
        <w:rPr>
          <w:rFonts w:ascii="Arial" w:hAnsi="Arial" w:cs="Arial"/>
          <w:sz w:val="24"/>
          <w:szCs w:val="24"/>
        </w:rPr>
        <w:t xml:space="preserve"> </w:t>
      </w:r>
      <w:r w:rsidRPr="00F2210F">
        <w:rPr>
          <w:rFonts w:ascii="Arial" w:hAnsi="Arial" w:cs="Arial"/>
          <w:sz w:val="24"/>
          <w:szCs w:val="24"/>
        </w:rPr>
        <w:t>all other boiled vegetables.) In that case</w:t>
      </w:r>
      <w:r w:rsidR="000617B7">
        <w:rPr>
          <w:rFonts w:ascii="Arial" w:hAnsi="Arial" w:cs="Arial"/>
          <w:sz w:val="24"/>
          <w:szCs w:val="24"/>
        </w:rPr>
        <w:t>,</w:t>
      </w:r>
      <w:r w:rsidRPr="00F2210F">
        <w:rPr>
          <w:rFonts w:ascii="Arial" w:hAnsi="Arial" w:cs="Arial"/>
          <w:sz w:val="24"/>
          <w:szCs w:val="24"/>
        </w:rPr>
        <w:t xml:space="preserve"> the elaiogaron would be the </w:t>
      </w:r>
      <w:r w:rsidR="00FE3EDD" w:rsidRPr="005C5F24">
        <w:rPr>
          <w:rFonts w:ascii="Arial" w:hAnsi="Arial" w:cs="Arial"/>
          <w:i/>
          <w:iCs/>
          <w:sz w:val="24"/>
          <w:szCs w:val="24"/>
        </w:rPr>
        <w:t>ikkar</w:t>
      </w:r>
      <w:r w:rsidRPr="00F2210F">
        <w:rPr>
          <w:rFonts w:ascii="Arial" w:hAnsi="Arial" w:cs="Arial"/>
          <w:sz w:val="24"/>
          <w:szCs w:val="24"/>
        </w:rPr>
        <w:t xml:space="preserve"> and the oil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="00FE3EDD" w:rsidRPr="005C5F24">
        <w:rPr>
          <w:rFonts w:ascii="Arial" w:hAnsi="Arial" w:cs="Arial"/>
          <w:i/>
          <w:iCs/>
          <w:sz w:val="24"/>
          <w:szCs w:val="24"/>
        </w:rPr>
        <w:t>tafel</w:t>
      </w:r>
      <w:r w:rsidRPr="00F2210F">
        <w:rPr>
          <w:rFonts w:ascii="Arial" w:hAnsi="Arial" w:cs="Arial"/>
          <w:sz w:val="24"/>
          <w:szCs w:val="24"/>
        </w:rPr>
        <w:t>, and we have learnt: This is the general rule: If with one article of food another is taken as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Pr="00F2210F">
        <w:rPr>
          <w:rFonts w:ascii="Arial" w:hAnsi="Arial" w:cs="Arial"/>
          <w:sz w:val="24"/>
          <w:szCs w:val="24"/>
        </w:rPr>
        <w:t>accessory</w:t>
      </w:r>
      <w:r w:rsidR="00FE3EDD">
        <w:rPr>
          <w:rFonts w:ascii="Arial" w:hAnsi="Arial" w:cs="Arial"/>
          <w:sz w:val="24"/>
          <w:szCs w:val="24"/>
        </w:rPr>
        <w:t xml:space="preserve"> (</w:t>
      </w:r>
      <w:r w:rsidR="00FE3EDD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FE3EDD">
        <w:rPr>
          <w:rFonts w:ascii="Arial" w:hAnsi="Arial" w:cs="Arial"/>
          <w:sz w:val="24"/>
          <w:szCs w:val="24"/>
        </w:rPr>
        <w:t>)</w:t>
      </w:r>
      <w:r w:rsidRPr="00F2210F">
        <w:rPr>
          <w:rFonts w:ascii="Arial" w:hAnsi="Arial" w:cs="Arial"/>
          <w:sz w:val="24"/>
          <w:szCs w:val="24"/>
        </w:rPr>
        <w:t>, a blessing is said over the main article</w:t>
      </w:r>
      <w:r w:rsidR="00FE3EDD">
        <w:rPr>
          <w:rFonts w:ascii="Arial" w:hAnsi="Arial" w:cs="Arial"/>
          <w:sz w:val="24"/>
          <w:szCs w:val="24"/>
        </w:rPr>
        <w:t xml:space="preserve"> (</w:t>
      </w:r>
      <w:r w:rsidR="00FE3EDD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FE3EDD">
        <w:rPr>
          <w:rFonts w:ascii="Arial" w:hAnsi="Arial" w:cs="Arial"/>
          <w:sz w:val="24"/>
          <w:szCs w:val="24"/>
        </w:rPr>
        <w:t>)</w:t>
      </w:r>
      <w:r w:rsidRPr="00F2210F">
        <w:rPr>
          <w:rFonts w:ascii="Arial" w:hAnsi="Arial" w:cs="Arial"/>
          <w:sz w:val="24"/>
          <w:szCs w:val="24"/>
        </w:rPr>
        <w:t>, and this suffices for the accessory</w:t>
      </w:r>
      <w:r w:rsidR="00FE3EDD">
        <w:rPr>
          <w:rFonts w:ascii="Arial" w:hAnsi="Arial" w:cs="Arial"/>
          <w:sz w:val="24"/>
          <w:szCs w:val="24"/>
        </w:rPr>
        <w:t xml:space="preserve"> (</w:t>
      </w:r>
      <w:r w:rsidR="00FE3EDD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FE3EDD">
        <w:rPr>
          <w:rFonts w:ascii="Arial" w:hAnsi="Arial" w:cs="Arial"/>
          <w:sz w:val="24"/>
          <w:szCs w:val="24"/>
        </w:rPr>
        <w:t>)</w:t>
      </w:r>
      <w:r w:rsidRPr="00F2210F">
        <w:rPr>
          <w:rFonts w:ascii="Arial" w:hAnsi="Arial" w:cs="Arial"/>
          <w:sz w:val="24"/>
          <w:szCs w:val="24"/>
        </w:rPr>
        <w:t>! What case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Pr="00F2210F">
        <w:rPr>
          <w:rFonts w:ascii="Arial" w:hAnsi="Arial" w:cs="Arial"/>
          <w:sz w:val="24"/>
          <w:szCs w:val="24"/>
        </w:rPr>
        <w:t>have we here in mind?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Pr="00F2210F">
        <w:rPr>
          <w:rFonts w:ascii="Arial" w:hAnsi="Arial" w:cs="Arial"/>
          <w:sz w:val="24"/>
          <w:szCs w:val="24"/>
        </w:rPr>
        <w:t>The case of a man with a sore throat</w:t>
      </w:r>
      <w:r w:rsidR="00FE3EDD">
        <w:rPr>
          <w:rFonts w:ascii="Arial" w:hAnsi="Arial" w:cs="Arial"/>
          <w:sz w:val="24"/>
          <w:szCs w:val="24"/>
        </w:rPr>
        <w:t xml:space="preserve"> … </w:t>
      </w:r>
      <w:r w:rsidRPr="00F2210F">
        <w:rPr>
          <w:rFonts w:ascii="Arial" w:hAnsi="Arial" w:cs="Arial"/>
          <w:sz w:val="24"/>
          <w:szCs w:val="24"/>
        </w:rPr>
        <w:t>This is obvious! You might think that since he intends it as a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Pr="00F2210F">
        <w:rPr>
          <w:rFonts w:ascii="Arial" w:hAnsi="Arial" w:cs="Arial"/>
          <w:sz w:val="24"/>
          <w:szCs w:val="24"/>
        </w:rPr>
        <w:t>medicine he should not say any blessing over it. Therefore</w:t>
      </w:r>
      <w:r w:rsidR="000617B7">
        <w:rPr>
          <w:rFonts w:ascii="Arial" w:hAnsi="Arial" w:cs="Arial"/>
          <w:sz w:val="24"/>
          <w:szCs w:val="24"/>
        </w:rPr>
        <w:t>,</w:t>
      </w:r>
      <w:r w:rsidRPr="00F2210F">
        <w:rPr>
          <w:rFonts w:ascii="Arial" w:hAnsi="Arial" w:cs="Arial"/>
          <w:sz w:val="24"/>
          <w:szCs w:val="24"/>
        </w:rPr>
        <w:t xml:space="preserve"> we are told that since he has some</w:t>
      </w:r>
      <w:r w:rsidR="00FE3EDD">
        <w:rPr>
          <w:rFonts w:ascii="Arial" w:hAnsi="Arial" w:cs="Arial"/>
          <w:sz w:val="24"/>
          <w:szCs w:val="24"/>
        </w:rPr>
        <w:t xml:space="preserve"> </w:t>
      </w:r>
      <w:r w:rsidRPr="00F2210F">
        <w:rPr>
          <w:rFonts w:ascii="Arial" w:hAnsi="Arial" w:cs="Arial"/>
          <w:sz w:val="24"/>
          <w:szCs w:val="24"/>
        </w:rPr>
        <w:t>enjoyment from it he has to say a blessing.</w:t>
      </w:r>
    </w:p>
    <w:p w:rsidR="00FE3EDD" w:rsidRDefault="00FE3EDD" w:rsidP="00426508">
      <w:pPr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</w:p>
    <w:p w:rsidR="00D457EF" w:rsidRDefault="00FE3EDD" w:rsidP="0042650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Aside from </w:t>
      </w:r>
      <w:r w:rsidR="00805FE1">
        <w:rPr>
          <w:rFonts w:ascii="Arial" w:hAnsi="Arial" w:cs="Arial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 that if one enjoys a medicine one should recite a blessing, the </w:t>
      </w:r>
      <w:r w:rsidRPr="000617B7">
        <w:rPr>
          <w:rFonts w:ascii="Arial" w:hAnsi="Arial" w:cs="Arial"/>
          <w:i/>
          <w:iCs/>
          <w:sz w:val="24"/>
          <w:szCs w:val="24"/>
        </w:rPr>
        <w:t>gemara</w:t>
      </w:r>
      <w:r>
        <w:rPr>
          <w:rFonts w:ascii="Arial" w:hAnsi="Arial" w:cs="Arial"/>
          <w:sz w:val="24"/>
          <w:szCs w:val="24"/>
        </w:rPr>
        <w:t xml:space="preserve"> describes a case in which the olive oil is mixed with a type of juice, and when the oil is viewed as the </w:t>
      </w:r>
      <w:r w:rsidRPr="005C5F24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 xml:space="preserve">, the proper blessing over both is </w:t>
      </w:r>
      <w:r w:rsidRPr="000617B7">
        <w:rPr>
          <w:rFonts w:ascii="Arial" w:hAnsi="Arial" w:cs="Arial"/>
          <w:i/>
          <w:iCs/>
          <w:sz w:val="24"/>
          <w:szCs w:val="24"/>
        </w:rPr>
        <w:t>Borei Peri Ha-Etz</w:t>
      </w:r>
      <w:r>
        <w:rPr>
          <w:rFonts w:ascii="Arial" w:hAnsi="Arial" w:cs="Arial"/>
          <w:sz w:val="24"/>
          <w:szCs w:val="24"/>
        </w:rPr>
        <w:t>.</w:t>
      </w:r>
      <w:r w:rsidR="00805FE1">
        <w:rPr>
          <w:rFonts w:ascii="Arial" w:hAnsi="Arial" w:cs="Arial"/>
          <w:sz w:val="24"/>
          <w:szCs w:val="24"/>
        </w:rPr>
        <w:t xml:space="preserve"> The </w:t>
      </w:r>
      <w:r w:rsidR="00805FE1" w:rsidRPr="000617B7">
        <w:rPr>
          <w:rFonts w:ascii="Arial" w:hAnsi="Arial" w:cs="Arial"/>
          <w:i/>
          <w:iCs/>
          <w:sz w:val="24"/>
          <w:szCs w:val="24"/>
        </w:rPr>
        <w:t>Rishonim</w:t>
      </w:r>
      <w:r w:rsidR="00805FE1">
        <w:rPr>
          <w:rFonts w:ascii="Arial" w:hAnsi="Arial" w:cs="Arial"/>
          <w:sz w:val="24"/>
          <w:szCs w:val="24"/>
        </w:rPr>
        <w:t xml:space="preserve"> discuss why, in this case, the blessing is recited over the olive oil. Which factors determine which ingredient is considered to be the </w:t>
      </w:r>
      <w:r w:rsidR="00805FE1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805FE1">
        <w:rPr>
          <w:rFonts w:ascii="Arial" w:hAnsi="Arial" w:cs="Arial"/>
          <w:sz w:val="24"/>
          <w:szCs w:val="24"/>
        </w:rPr>
        <w:t xml:space="preserve"> and which the </w:t>
      </w:r>
      <w:r w:rsidR="00805FE1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805FE1">
        <w:rPr>
          <w:rFonts w:ascii="Arial" w:hAnsi="Arial" w:cs="Arial"/>
          <w:sz w:val="24"/>
          <w:szCs w:val="24"/>
        </w:rPr>
        <w:t>?</w:t>
      </w:r>
    </w:p>
    <w:p w:rsidR="00805FE1" w:rsidRDefault="00805FE1" w:rsidP="0042650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05FE1" w:rsidRDefault="00805FE1" w:rsidP="0042650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Tur (202) cites a debate between the Ba’al Halakhot Gedolot (Behag) and R. Yosef. R. Yosef (see also Ra’ah</w:t>
      </w:r>
      <w:r w:rsidR="000617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617B7">
        <w:rPr>
          <w:rFonts w:ascii="Arial" w:hAnsi="Arial" w:cs="Arial"/>
          <w:i/>
          <w:iCs/>
          <w:sz w:val="24"/>
          <w:szCs w:val="24"/>
        </w:rPr>
        <w:t>Berakhot</w:t>
      </w:r>
      <w:r>
        <w:rPr>
          <w:rFonts w:ascii="Arial" w:hAnsi="Arial" w:cs="Arial"/>
          <w:sz w:val="24"/>
          <w:szCs w:val="24"/>
        </w:rPr>
        <w:t xml:space="preserve"> 35</w:t>
      </w:r>
      <w:r w:rsidR="000617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s.v. </w:t>
      </w:r>
      <w:r w:rsidRPr="00BA36AF">
        <w:rPr>
          <w:rFonts w:ascii="Arial" w:hAnsi="Arial" w:cs="Arial"/>
          <w:i/>
          <w:iCs/>
          <w:sz w:val="24"/>
          <w:szCs w:val="24"/>
        </w:rPr>
        <w:t>amar</w:t>
      </w:r>
      <w:r>
        <w:rPr>
          <w:rFonts w:ascii="Arial" w:hAnsi="Arial" w:cs="Arial"/>
          <w:sz w:val="24"/>
          <w:szCs w:val="24"/>
        </w:rPr>
        <w:t xml:space="preserve">) </w:t>
      </w:r>
      <w:r w:rsidR="000617B7">
        <w:rPr>
          <w:rFonts w:ascii="Arial" w:hAnsi="Arial" w:cs="Arial"/>
          <w:sz w:val="24"/>
          <w:szCs w:val="24"/>
        </w:rPr>
        <w:t>maintains</w:t>
      </w:r>
      <w:r>
        <w:rPr>
          <w:rFonts w:ascii="Arial" w:hAnsi="Arial" w:cs="Arial"/>
          <w:sz w:val="24"/>
          <w:szCs w:val="24"/>
        </w:rPr>
        <w:t xml:space="preserve"> that the proper blessing is </w:t>
      </w:r>
      <w:r w:rsidRPr="000617B7">
        <w:rPr>
          <w:rFonts w:ascii="Arial" w:hAnsi="Arial" w:cs="Arial"/>
          <w:i/>
          <w:iCs/>
          <w:sz w:val="24"/>
          <w:szCs w:val="24"/>
        </w:rPr>
        <w:t>Borei Peri Ha-Etz</w:t>
      </w:r>
      <w:r>
        <w:rPr>
          <w:rFonts w:ascii="Arial" w:hAnsi="Arial" w:cs="Arial"/>
          <w:sz w:val="24"/>
          <w:szCs w:val="24"/>
        </w:rPr>
        <w:t xml:space="preserve"> since </w:t>
      </w:r>
      <w:r w:rsidR="000617B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olive oil must be a significant quantity of the mixture, while the Behag (see also Talmidei Rabbinu Yona</w:t>
      </w:r>
      <w:r w:rsidR="000617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617B7">
        <w:rPr>
          <w:rFonts w:ascii="Arial" w:hAnsi="Arial" w:cs="Arial"/>
          <w:i/>
          <w:iCs/>
          <w:sz w:val="24"/>
          <w:szCs w:val="24"/>
        </w:rPr>
        <w:t xml:space="preserve">Berakhot </w:t>
      </w:r>
      <w:r>
        <w:rPr>
          <w:rFonts w:ascii="Arial" w:hAnsi="Arial" w:cs="Arial"/>
          <w:sz w:val="24"/>
          <w:szCs w:val="24"/>
        </w:rPr>
        <w:t>25a</w:t>
      </w:r>
      <w:r w:rsidR="000617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s.v. </w:t>
      </w:r>
      <w:r w:rsidRPr="005C5F24">
        <w:rPr>
          <w:rFonts w:ascii="Arial" w:hAnsi="Arial" w:cs="Arial"/>
          <w:i/>
          <w:iCs/>
          <w:sz w:val="24"/>
          <w:szCs w:val="24"/>
        </w:rPr>
        <w:t>ve-davka</w:t>
      </w:r>
      <w:r>
        <w:rPr>
          <w:rFonts w:ascii="Arial" w:hAnsi="Arial" w:cs="Arial"/>
          <w:sz w:val="24"/>
          <w:szCs w:val="24"/>
        </w:rPr>
        <w:t xml:space="preserve">) says that since he intends to drink the </w:t>
      </w:r>
      <w:r w:rsidR="00034302">
        <w:rPr>
          <w:rFonts w:ascii="Arial" w:hAnsi="Arial" w:cs="Arial"/>
          <w:sz w:val="24"/>
          <w:szCs w:val="24"/>
        </w:rPr>
        <w:t>olive</w:t>
      </w:r>
      <w:r>
        <w:rPr>
          <w:rFonts w:ascii="Arial" w:hAnsi="Arial" w:cs="Arial"/>
          <w:sz w:val="24"/>
          <w:szCs w:val="24"/>
        </w:rPr>
        <w:t xml:space="preserve"> oil for medicinal </w:t>
      </w:r>
      <w:r w:rsidR="005C5F24">
        <w:rPr>
          <w:rFonts w:ascii="Arial" w:hAnsi="Arial" w:cs="Arial"/>
          <w:sz w:val="24"/>
          <w:szCs w:val="24"/>
        </w:rPr>
        <w:t>purposes</w:t>
      </w:r>
      <w:r>
        <w:rPr>
          <w:rFonts w:ascii="Arial" w:hAnsi="Arial" w:cs="Arial"/>
          <w:sz w:val="24"/>
          <w:szCs w:val="24"/>
        </w:rPr>
        <w:t>, he says the blessing over the olive oil.</w:t>
      </w:r>
    </w:p>
    <w:p w:rsidR="000617B7" w:rsidRDefault="000617B7" w:rsidP="00426508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617B7" w:rsidRDefault="005C5F24" w:rsidP="00426508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05FE1">
        <w:rPr>
          <w:rFonts w:ascii="Arial" w:hAnsi="Arial" w:cs="Arial"/>
          <w:sz w:val="24"/>
          <w:szCs w:val="24"/>
        </w:rPr>
        <w:t xml:space="preserve">ne might suggest </w:t>
      </w:r>
      <w:r w:rsidR="00BA36AF">
        <w:rPr>
          <w:rFonts w:ascii="Arial" w:hAnsi="Arial" w:cs="Arial"/>
          <w:sz w:val="24"/>
          <w:szCs w:val="24"/>
        </w:rPr>
        <w:t xml:space="preserve">that </w:t>
      </w:r>
      <w:r w:rsidR="00805FE1">
        <w:rPr>
          <w:rFonts w:ascii="Arial" w:hAnsi="Arial" w:cs="Arial"/>
          <w:sz w:val="24"/>
          <w:szCs w:val="24"/>
        </w:rPr>
        <w:t xml:space="preserve">these </w:t>
      </w:r>
      <w:r w:rsidR="00805FE1" w:rsidRPr="000617B7">
        <w:rPr>
          <w:rFonts w:ascii="Arial" w:hAnsi="Arial" w:cs="Arial"/>
          <w:i/>
          <w:iCs/>
          <w:sz w:val="24"/>
          <w:szCs w:val="24"/>
        </w:rPr>
        <w:t>Rishonim</w:t>
      </w:r>
      <w:r w:rsidR="00805FE1">
        <w:rPr>
          <w:rFonts w:ascii="Arial" w:hAnsi="Arial" w:cs="Arial"/>
          <w:sz w:val="24"/>
          <w:szCs w:val="24"/>
        </w:rPr>
        <w:t xml:space="preserve"> disagree </w:t>
      </w:r>
      <w:r w:rsidR="000617B7">
        <w:rPr>
          <w:rFonts w:ascii="Arial" w:hAnsi="Arial" w:cs="Arial"/>
          <w:sz w:val="24"/>
          <w:szCs w:val="24"/>
        </w:rPr>
        <w:t>regarding</w:t>
      </w:r>
      <w:r w:rsidR="00805FE1">
        <w:rPr>
          <w:rFonts w:ascii="Arial" w:hAnsi="Arial" w:cs="Arial"/>
          <w:sz w:val="24"/>
          <w:szCs w:val="24"/>
        </w:rPr>
        <w:t xml:space="preserve"> the relationship between these types of </w:t>
      </w:r>
      <w:r w:rsidR="00805FE1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805FE1">
        <w:rPr>
          <w:rFonts w:ascii="Arial" w:hAnsi="Arial" w:cs="Arial"/>
          <w:sz w:val="24"/>
          <w:szCs w:val="24"/>
        </w:rPr>
        <w:t xml:space="preserve"> and </w:t>
      </w:r>
      <w:r w:rsidR="00805FE1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805FE1">
        <w:rPr>
          <w:rFonts w:ascii="Arial" w:hAnsi="Arial" w:cs="Arial"/>
          <w:sz w:val="24"/>
          <w:szCs w:val="24"/>
        </w:rPr>
        <w:t xml:space="preserve">. </w:t>
      </w:r>
      <w:r w:rsidR="000617B7">
        <w:rPr>
          <w:rFonts w:ascii="Arial" w:hAnsi="Arial" w:cs="Arial"/>
          <w:sz w:val="24"/>
          <w:szCs w:val="24"/>
        </w:rPr>
        <w:t>When two</w:t>
      </w:r>
      <w:r w:rsidR="00805FE1">
        <w:rPr>
          <w:rFonts w:ascii="Arial" w:hAnsi="Arial" w:cs="Arial"/>
          <w:sz w:val="24"/>
          <w:szCs w:val="24"/>
        </w:rPr>
        <w:t xml:space="preserve"> separate foods </w:t>
      </w:r>
      <w:r w:rsidR="000617B7">
        <w:rPr>
          <w:rFonts w:ascii="Arial" w:hAnsi="Arial" w:cs="Arial"/>
          <w:sz w:val="24"/>
          <w:szCs w:val="24"/>
        </w:rPr>
        <w:t xml:space="preserve">are </w:t>
      </w:r>
      <w:r w:rsidR="00805FE1">
        <w:rPr>
          <w:rFonts w:ascii="Arial" w:hAnsi="Arial" w:cs="Arial"/>
          <w:sz w:val="24"/>
          <w:szCs w:val="24"/>
        </w:rPr>
        <w:lastRenderedPageBreak/>
        <w:t xml:space="preserve">eaten together, the Talmud clearly </w:t>
      </w:r>
      <w:r w:rsidR="000617B7">
        <w:rPr>
          <w:rFonts w:ascii="Arial" w:hAnsi="Arial" w:cs="Arial"/>
          <w:sz w:val="24"/>
          <w:szCs w:val="24"/>
        </w:rPr>
        <w:t>maintains</w:t>
      </w:r>
      <w:r w:rsidR="00805FE1">
        <w:rPr>
          <w:rFonts w:ascii="Arial" w:hAnsi="Arial" w:cs="Arial"/>
          <w:sz w:val="24"/>
          <w:szCs w:val="24"/>
        </w:rPr>
        <w:t xml:space="preserve"> that one’s subjective “</w:t>
      </w:r>
      <w:r w:rsidR="00805FE1" w:rsidRPr="005C5F24">
        <w:rPr>
          <w:rFonts w:ascii="Arial" w:hAnsi="Arial" w:cs="Arial"/>
          <w:i/>
          <w:iCs/>
          <w:sz w:val="24"/>
          <w:szCs w:val="24"/>
        </w:rPr>
        <w:t>da’at</w:t>
      </w:r>
      <w:r w:rsidR="00805FE1">
        <w:rPr>
          <w:rFonts w:ascii="Arial" w:hAnsi="Arial" w:cs="Arial"/>
          <w:sz w:val="24"/>
          <w:szCs w:val="24"/>
        </w:rPr>
        <w:t xml:space="preserve">” determines which food is the </w:t>
      </w:r>
      <w:r w:rsidR="00805FE1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805FE1">
        <w:rPr>
          <w:rFonts w:ascii="Arial" w:hAnsi="Arial" w:cs="Arial"/>
          <w:sz w:val="24"/>
          <w:szCs w:val="24"/>
        </w:rPr>
        <w:t xml:space="preserve"> and which the </w:t>
      </w:r>
      <w:r w:rsidR="00805FE1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805FE1">
        <w:rPr>
          <w:rFonts w:ascii="Arial" w:hAnsi="Arial" w:cs="Arial"/>
          <w:sz w:val="24"/>
          <w:szCs w:val="24"/>
        </w:rPr>
        <w:t xml:space="preserve">. Therefore, although bread is objectively deemed a more important food, if eaten in order to offset the taste of another food, it is deemed to be </w:t>
      </w:r>
      <w:r w:rsidR="00805FE1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805FE1">
        <w:rPr>
          <w:rFonts w:ascii="Arial" w:hAnsi="Arial" w:cs="Arial"/>
          <w:sz w:val="24"/>
          <w:szCs w:val="24"/>
        </w:rPr>
        <w:t>. It is ther</w:t>
      </w:r>
      <w:r w:rsidR="000617B7">
        <w:rPr>
          <w:rFonts w:ascii="Arial" w:hAnsi="Arial" w:cs="Arial"/>
          <w:sz w:val="24"/>
          <w:szCs w:val="24"/>
        </w:rPr>
        <w:t>efore reasonable that the Behag and others</w:t>
      </w:r>
      <w:r w:rsidR="00805FE1">
        <w:rPr>
          <w:rFonts w:ascii="Arial" w:hAnsi="Arial" w:cs="Arial"/>
          <w:sz w:val="24"/>
          <w:szCs w:val="24"/>
        </w:rPr>
        <w:t xml:space="preserve"> maintain that the same method of determining </w:t>
      </w:r>
      <w:r w:rsidR="00805FE1" w:rsidRPr="000617B7">
        <w:rPr>
          <w:rFonts w:ascii="Arial" w:hAnsi="Arial" w:cs="Arial"/>
          <w:i/>
          <w:iCs/>
          <w:sz w:val="24"/>
          <w:szCs w:val="24"/>
        </w:rPr>
        <w:t>ikkar</w:t>
      </w:r>
      <w:r w:rsidR="00805FE1">
        <w:rPr>
          <w:rFonts w:ascii="Arial" w:hAnsi="Arial" w:cs="Arial"/>
          <w:sz w:val="24"/>
          <w:szCs w:val="24"/>
        </w:rPr>
        <w:t xml:space="preserve"> and </w:t>
      </w:r>
      <w:r w:rsidR="00805FE1" w:rsidRPr="000617B7">
        <w:rPr>
          <w:rFonts w:ascii="Arial" w:hAnsi="Arial" w:cs="Arial"/>
          <w:i/>
          <w:iCs/>
          <w:sz w:val="24"/>
          <w:szCs w:val="24"/>
        </w:rPr>
        <w:t>tafel</w:t>
      </w:r>
      <w:r w:rsidR="00805FE1">
        <w:rPr>
          <w:rFonts w:ascii="Arial" w:hAnsi="Arial" w:cs="Arial"/>
          <w:sz w:val="24"/>
          <w:szCs w:val="24"/>
        </w:rPr>
        <w:t xml:space="preserve"> of two foods eaten together applies to a mixture of different ingredients. </w:t>
      </w:r>
    </w:p>
    <w:p w:rsidR="000617B7" w:rsidRDefault="000617B7" w:rsidP="00426508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05FE1" w:rsidRDefault="00805FE1" w:rsidP="00426508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other </w:t>
      </w:r>
      <w:r w:rsidRPr="000617B7">
        <w:rPr>
          <w:rFonts w:ascii="Arial" w:hAnsi="Arial" w:cs="Arial"/>
          <w:i/>
          <w:iCs/>
          <w:sz w:val="24"/>
          <w:szCs w:val="24"/>
        </w:rPr>
        <w:t>Rishonim</w:t>
      </w:r>
      <w:r>
        <w:rPr>
          <w:rFonts w:ascii="Arial" w:hAnsi="Arial" w:cs="Arial"/>
          <w:sz w:val="24"/>
          <w:szCs w:val="24"/>
        </w:rPr>
        <w:t>, however, disagree and distinguish between these two categories. They insist that in the case of food with many ingredients, we are not concerned with the preferred ingredient, but rath</w:t>
      </w:r>
      <w:r w:rsidR="005C5F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 w:rsidR="00BA36AF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the ingredient which will determine the identity of the mixture.</w:t>
      </w:r>
    </w:p>
    <w:p w:rsidR="00FE3EDD" w:rsidRDefault="00FE3EDD" w:rsidP="0042650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1871EC" w:rsidRDefault="00F7579B" w:rsidP="00426508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23E1C">
        <w:rPr>
          <w:rFonts w:ascii="Arial" w:hAnsi="Arial" w:cs="Arial"/>
          <w:sz w:val="24"/>
          <w:szCs w:val="24"/>
        </w:rPr>
        <w:t>Tur relates to different cases in which two ingredients are merged in order to form a new product. In one place (204)</w:t>
      </w:r>
      <w:r w:rsidR="000617B7">
        <w:rPr>
          <w:rFonts w:ascii="Arial" w:hAnsi="Arial" w:cs="Arial"/>
          <w:sz w:val="24"/>
          <w:szCs w:val="24"/>
        </w:rPr>
        <w:t>,</w:t>
      </w:r>
      <w:r w:rsidR="00723E1C">
        <w:rPr>
          <w:rFonts w:ascii="Arial" w:hAnsi="Arial" w:cs="Arial"/>
          <w:sz w:val="24"/>
          <w:szCs w:val="24"/>
        </w:rPr>
        <w:t xml:space="preserve"> he discusses </w:t>
      </w:r>
      <w:r w:rsidR="001871EC">
        <w:rPr>
          <w:rFonts w:ascii="Arial" w:hAnsi="Arial" w:cs="Arial"/>
          <w:sz w:val="24"/>
          <w:szCs w:val="24"/>
        </w:rPr>
        <w:t xml:space="preserve">flowers or herbs </w:t>
      </w:r>
      <w:r w:rsidR="000617B7">
        <w:rPr>
          <w:rFonts w:ascii="Arial" w:hAnsi="Arial" w:cs="Arial"/>
          <w:sz w:val="24"/>
          <w:szCs w:val="24"/>
        </w:rPr>
        <w:t>that</w:t>
      </w:r>
      <w:r w:rsidR="001871EC">
        <w:rPr>
          <w:rFonts w:ascii="Arial" w:hAnsi="Arial" w:cs="Arial"/>
          <w:sz w:val="24"/>
          <w:szCs w:val="24"/>
        </w:rPr>
        <w:t xml:space="preserve"> are </w:t>
      </w:r>
      <w:r w:rsidR="00723E1C">
        <w:rPr>
          <w:rFonts w:ascii="Arial" w:hAnsi="Arial" w:cs="Arial"/>
          <w:sz w:val="24"/>
          <w:szCs w:val="24"/>
        </w:rPr>
        <w:t xml:space="preserve">coated with honey. The Tur opines that one says </w:t>
      </w:r>
      <w:r w:rsidR="00723E1C" w:rsidRPr="005C5F24">
        <w:rPr>
          <w:rFonts w:ascii="Arial" w:hAnsi="Arial" w:cs="Arial"/>
          <w:i/>
          <w:iCs/>
          <w:sz w:val="24"/>
          <w:szCs w:val="24"/>
        </w:rPr>
        <w:t>She-Hakol</w:t>
      </w:r>
      <w:r w:rsidR="00723E1C">
        <w:rPr>
          <w:rFonts w:ascii="Arial" w:hAnsi="Arial" w:cs="Arial"/>
          <w:sz w:val="24"/>
          <w:szCs w:val="24"/>
        </w:rPr>
        <w:t xml:space="preserve">, as “the honey is the </w:t>
      </w:r>
      <w:r w:rsidR="00723E1C" w:rsidRPr="005C5F24">
        <w:rPr>
          <w:rFonts w:ascii="Arial" w:hAnsi="Arial" w:cs="Arial"/>
          <w:i/>
          <w:iCs/>
          <w:sz w:val="24"/>
          <w:szCs w:val="24"/>
        </w:rPr>
        <w:t>ikkar</w:t>
      </w:r>
      <w:r w:rsidR="000617B7">
        <w:rPr>
          <w:rFonts w:ascii="Arial" w:hAnsi="Arial" w:cs="Arial"/>
          <w:i/>
          <w:iCs/>
          <w:sz w:val="24"/>
          <w:szCs w:val="24"/>
        </w:rPr>
        <w:t>.</w:t>
      </w:r>
      <w:r w:rsidR="000617B7">
        <w:rPr>
          <w:rFonts w:ascii="Arial" w:hAnsi="Arial" w:cs="Arial"/>
          <w:sz w:val="24"/>
          <w:szCs w:val="24"/>
        </w:rPr>
        <w:t>”</w:t>
      </w:r>
      <w:r w:rsidR="005C5F24">
        <w:rPr>
          <w:rFonts w:ascii="Arial" w:hAnsi="Arial" w:cs="Arial"/>
          <w:sz w:val="24"/>
          <w:szCs w:val="24"/>
        </w:rPr>
        <w:t xml:space="preserve"> </w:t>
      </w:r>
      <w:r w:rsidR="00723E1C">
        <w:rPr>
          <w:rFonts w:ascii="Arial" w:hAnsi="Arial" w:cs="Arial"/>
          <w:sz w:val="24"/>
          <w:szCs w:val="24"/>
        </w:rPr>
        <w:t xml:space="preserve">He notes that his </w:t>
      </w:r>
      <w:r w:rsidR="005C5F24">
        <w:rPr>
          <w:rFonts w:ascii="Arial" w:hAnsi="Arial" w:cs="Arial"/>
          <w:sz w:val="24"/>
          <w:szCs w:val="24"/>
        </w:rPr>
        <w:t>colleagues</w:t>
      </w:r>
      <w:r w:rsidR="000617B7">
        <w:rPr>
          <w:rFonts w:ascii="Arial" w:hAnsi="Arial" w:cs="Arial"/>
          <w:sz w:val="24"/>
          <w:szCs w:val="24"/>
        </w:rPr>
        <w:t xml:space="preserve"> disagree with him</w:t>
      </w:r>
      <w:r w:rsidR="00723E1C">
        <w:rPr>
          <w:rFonts w:ascii="Arial" w:hAnsi="Arial" w:cs="Arial"/>
          <w:sz w:val="24"/>
          <w:szCs w:val="24"/>
        </w:rPr>
        <w:t xml:space="preserve"> (</w:t>
      </w:r>
      <w:r w:rsidR="00723E1C" w:rsidRPr="00034302">
        <w:rPr>
          <w:rFonts w:ascii="Arial" w:hAnsi="Arial" w:cs="Arial"/>
          <w:i/>
          <w:iCs/>
          <w:sz w:val="24"/>
          <w:szCs w:val="24"/>
        </w:rPr>
        <w:t>chaveirai</w:t>
      </w:r>
      <w:r w:rsidR="00723E1C">
        <w:rPr>
          <w:rFonts w:ascii="Arial" w:hAnsi="Arial" w:cs="Arial"/>
          <w:sz w:val="24"/>
          <w:szCs w:val="24"/>
        </w:rPr>
        <w:t xml:space="preserve"> </w:t>
      </w:r>
      <w:r w:rsidR="00723E1C" w:rsidRPr="005C5F24">
        <w:rPr>
          <w:rFonts w:ascii="Arial" w:hAnsi="Arial" w:cs="Arial"/>
          <w:i/>
          <w:iCs/>
          <w:sz w:val="24"/>
          <w:szCs w:val="24"/>
        </w:rPr>
        <w:t>chalukin alai</w:t>
      </w:r>
      <w:r w:rsidR="00723E1C">
        <w:rPr>
          <w:rFonts w:ascii="Arial" w:hAnsi="Arial" w:cs="Arial"/>
          <w:sz w:val="24"/>
          <w:szCs w:val="24"/>
        </w:rPr>
        <w:t xml:space="preserve">) and insist that the honey is the </w:t>
      </w:r>
      <w:r w:rsidR="00723E1C" w:rsidRPr="005C5F24">
        <w:rPr>
          <w:rFonts w:ascii="Arial" w:hAnsi="Arial" w:cs="Arial"/>
          <w:i/>
          <w:iCs/>
          <w:sz w:val="24"/>
          <w:szCs w:val="24"/>
        </w:rPr>
        <w:t>tafel</w:t>
      </w:r>
      <w:r w:rsidR="000617B7">
        <w:rPr>
          <w:rFonts w:ascii="Arial" w:hAnsi="Arial" w:cs="Arial"/>
          <w:sz w:val="24"/>
          <w:szCs w:val="24"/>
        </w:rPr>
        <w:t>;</w:t>
      </w:r>
      <w:r w:rsidR="00723E1C">
        <w:rPr>
          <w:rFonts w:ascii="Arial" w:hAnsi="Arial" w:cs="Arial"/>
          <w:sz w:val="24"/>
          <w:szCs w:val="24"/>
        </w:rPr>
        <w:t xml:space="preserve"> it is only added to enhance that which it coats. He concludes that he defers to their opinion. </w:t>
      </w:r>
      <w:r w:rsidR="001871EC">
        <w:rPr>
          <w:rFonts w:ascii="Arial" w:hAnsi="Arial" w:cs="Arial"/>
          <w:sz w:val="24"/>
          <w:szCs w:val="24"/>
        </w:rPr>
        <w:t xml:space="preserve">The Tur himself notes that elsewhere (202) he rules that one </w:t>
      </w:r>
      <w:r w:rsidR="005C5F24">
        <w:rPr>
          <w:rFonts w:ascii="Arial" w:hAnsi="Arial" w:cs="Arial"/>
          <w:sz w:val="24"/>
          <w:szCs w:val="24"/>
        </w:rPr>
        <w:t>says</w:t>
      </w:r>
      <w:r w:rsidR="001871EC">
        <w:rPr>
          <w:rFonts w:ascii="Arial" w:hAnsi="Arial" w:cs="Arial"/>
          <w:sz w:val="24"/>
          <w:szCs w:val="24"/>
        </w:rPr>
        <w:t xml:space="preserve"> </w:t>
      </w:r>
      <w:r w:rsidR="001871EC" w:rsidRPr="005C5F24">
        <w:rPr>
          <w:rFonts w:ascii="Arial" w:hAnsi="Arial" w:cs="Arial"/>
          <w:i/>
          <w:iCs/>
          <w:sz w:val="24"/>
          <w:szCs w:val="24"/>
        </w:rPr>
        <w:t>Borei</w:t>
      </w:r>
      <w:r w:rsidR="005C5F24" w:rsidRPr="005C5F24">
        <w:rPr>
          <w:rFonts w:ascii="Arial" w:hAnsi="Arial" w:cs="Arial"/>
          <w:i/>
          <w:iCs/>
          <w:sz w:val="24"/>
          <w:szCs w:val="24"/>
        </w:rPr>
        <w:t xml:space="preserve"> </w:t>
      </w:r>
      <w:r w:rsidR="001871EC" w:rsidRPr="005C5F24">
        <w:rPr>
          <w:rFonts w:ascii="Arial" w:hAnsi="Arial" w:cs="Arial"/>
          <w:i/>
          <w:iCs/>
          <w:sz w:val="24"/>
          <w:szCs w:val="24"/>
        </w:rPr>
        <w:t>Peri Ha-Etz</w:t>
      </w:r>
      <w:r w:rsidR="001871EC">
        <w:rPr>
          <w:rFonts w:ascii="Arial" w:hAnsi="Arial" w:cs="Arial"/>
          <w:sz w:val="24"/>
          <w:szCs w:val="24"/>
        </w:rPr>
        <w:t xml:space="preserve"> before eating honey</w:t>
      </w:r>
      <w:r w:rsidR="005C5F24">
        <w:rPr>
          <w:rFonts w:ascii="Arial" w:hAnsi="Arial" w:cs="Arial"/>
          <w:sz w:val="24"/>
          <w:szCs w:val="24"/>
        </w:rPr>
        <w:t xml:space="preserve"> </w:t>
      </w:r>
      <w:r w:rsidR="00034302">
        <w:rPr>
          <w:rFonts w:ascii="Arial" w:hAnsi="Arial" w:cs="Arial"/>
          <w:sz w:val="24"/>
          <w:szCs w:val="24"/>
        </w:rPr>
        <w:t>covered</w:t>
      </w:r>
      <w:r w:rsidR="001871EC">
        <w:rPr>
          <w:rFonts w:ascii="Arial" w:hAnsi="Arial" w:cs="Arial"/>
          <w:sz w:val="24"/>
          <w:szCs w:val="24"/>
        </w:rPr>
        <w:t xml:space="preserve"> nuts. He explains that in that case, the nut is “whole” (</w:t>
      </w:r>
      <w:r w:rsidR="001871EC" w:rsidRPr="005C5F24">
        <w:rPr>
          <w:rFonts w:ascii="Arial" w:hAnsi="Arial" w:cs="Arial"/>
          <w:i/>
          <w:iCs/>
          <w:sz w:val="24"/>
          <w:szCs w:val="24"/>
        </w:rPr>
        <w:t>shalem u-mamasho kayyam</w:t>
      </w:r>
      <w:r w:rsidR="001871EC">
        <w:rPr>
          <w:rFonts w:ascii="Arial" w:hAnsi="Arial" w:cs="Arial"/>
          <w:sz w:val="24"/>
          <w:szCs w:val="24"/>
        </w:rPr>
        <w:t xml:space="preserve">) and therefore is considered to be the </w:t>
      </w:r>
      <w:r w:rsidR="001871EC" w:rsidRPr="000617B7">
        <w:rPr>
          <w:rFonts w:ascii="Arial" w:hAnsi="Arial" w:cs="Arial"/>
          <w:i/>
          <w:iCs/>
          <w:sz w:val="24"/>
          <w:szCs w:val="24"/>
        </w:rPr>
        <w:t>ikkar</w:t>
      </w:r>
      <w:r w:rsidR="001871EC">
        <w:rPr>
          <w:rFonts w:ascii="Arial" w:hAnsi="Arial" w:cs="Arial"/>
          <w:sz w:val="24"/>
          <w:szCs w:val="24"/>
        </w:rPr>
        <w:t xml:space="preserve">. </w:t>
      </w:r>
    </w:p>
    <w:p w:rsidR="001871EC" w:rsidRDefault="001871EC" w:rsidP="0042650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BA2B20" w:rsidRDefault="001871EC" w:rsidP="00426508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emerges is th</w:t>
      </w:r>
      <w:r w:rsidR="005C5F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according to the Tur, when </w:t>
      </w:r>
      <w:r w:rsidR="000617B7">
        <w:rPr>
          <w:rFonts w:ascii="Arial" w:hAnsi="Arial" w:cs="Arial"/>
          <w:sz w:val="24"/>
          <w:szCs w:val="24"/>
        </w:rPr>
        <w:t>one of the ingredients is whole</w:t>
      </w:r>
      <w:r>
        <w:rPr>
          <w:rFonts w:ascii="Arial" w:hAnsi="Arial" w:cs="Arial"/>
          <w:sz w:val="24"/>
          <w:szCs w:val="24"/>
        </w:rPr>
        <w:t xml:space="preserve"> and noticeable, it is viewed as the </w:t>
      </w:r>
      <w:r w:rsidRPr="005C5F24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 xml:space="preserve">. If, however, the ingredients are ground up, the ingredient whose taste is most noticeable (honey) is </w:t>
      </w:r>
      <w:r w:rsidR="005C5F24">
        <w:rPr>
          <w:rFonts w:ascii="Arial" w:hAnsi="Arial" w:cs="Arial"/>
          <w:sz w:val="24"/>
          <w:szCs w:val="24"/>
        </w:rPr>
        <w:t>considered</w:t>
      </w:r>
      <w:r>
        <w:rPr>
          <w:rFonts w:ascii="Arial" w:hAnsi="Arial" w:cs="Arial"/>
          <w:sz w:val="24"/>
          <w:szCs w:val="24"/>
        </w:rPr>
        <w:t xml:space="preserve"> to be the </w:t>
      </w:r>
      <w:r w:rsidRPr="005C5F24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 xml:space="preserve">. </w:t>
      </w:r>
      <w:r w:rsidR="00BA2B20">
        <w:rPr>
          <w:rFonts w:ascii="Arial" w:hAnsi="Arial" w:cs="Arial"/>
          <w:sz w:val="24"/>
          <w:szCs w:val="24"/>
        </w:rPr>
        <w:t xml:space="preserve">The Tur’s </w:t>
      </w:r>
      <w:r w:rsidR="005C5F24">
        <w:rPr>
          <w:rFonts w:ascii="Arial" w:hAnsi="Arial" w:cs="Arial"/>
          <w:sz w:val="24"/>
          <w:szCs w:val="24"/>
        </w:rPr>
        <w:t>colleagues</w:t>
      </w:r>
      <w:r w:rsidR="000617B7">
        <w:rPr>
          <w:rFonts w:ascii="Arial" w:hAnsi="Arial" w:cs="Arial"/>
          <w:sz w:val="24"/>
          <w:szCs w:val="24"/>
        </w:rPr>
        <w:t xml:space="preserve"> disagree</w:t>
      </w:r>
      <w:r w:rsidR="00BA2B20">
        <w:rPr>
          <w:rFonts w:ascii="Arial" w:hAnsi="Arial" w:cs="Arial"/>
          <w:sz w:val="24"/>
          <w:szCs w:val="24"/>
        </w:rPr>
        <w:t xml:space="preserve"> and rule that in both cases, the ingredient </w:t>
      </w:r>
      <w:r w:rsidR="000617B7">
        <w:rPr>
          <w:rFonts w:ascii="Arial" w:hAnsi="Arial" w:cs="Arial"/>
          <w:sz w:val="24"/>
          <w:szCs w:val="24"/>
        </w:rPr>
        <w:t>that</w:t>
      </w:r>
      <w:r w:rsidR="00BA2B20">
        <w:rPr>
          <w:rFonts w:ascii="Arial" w:hAnsi="Arial" w:cs="Arial"/>
          <w:sz w:val="24"/>
          <w:szCs w:val="24"/>
        </w:rPr>
        <w:t xml:space="preserve"> is </w:t>
      </w:r>
      <w:r w:rsidR="005C5F24">
        <w:rPr>
          <w:rFonts w:ascii="Arial" w:hAnsi="Arial" w:cs="Arial"/>
          <w:sz w:val="24"/>
          <w:szCs w:val="24"/>
        </w:rPr>
        <w:t>meant</w:t>
      </w:r>
      <w:r w:rsidR="000617B7">
        <w:rPr>
          <w:rFonts w:ascii="Arial" w:hAnsi="Arial" w:cs="Arial"/>
          <w:sz w:val="24"/>
          <w:szCs w:val="24"/>
        </w:rPr>
        <w:t xml:space="preserve"> to enhance</w:t>
      </w:r>
      <w:r w:rsidR="00BA2B20">
        <w:rPr>
          <w:rFonts w:ascii="Arial" w:hAnsi="Arial" w:cs="Arial"/>
          <w:sz w:val="24"/>
          <w:szCs w:val="24"/>
        </w:rPr>
        <w:t xml:space="preserve"> or ad</w:t>
      </w:r>
      <w:r w:rsidR="000617B7">
        <w:rPr>
          <w:rFonts w:ascii="Arial" w:hAnsi="Arial" w:cs="Arial"/>
          <w:sz w:val="24"/>
          <w:szCs w:val="24"/>
        </w:rPr>
        <w:t>d taste to another ingredient</w:t>
      </w:r>
      <w:r w:rsidR="00BA2B20">
        <w:rPr>
          <w:rFonts w:ascii="Arial" w:hAnsi="Arial" w:cs="Arial"/>
          <w:sz w:val="24"/>
          <w:szCs w:val="24"/>
        </w:rPr>
        <w:t xml:space="preserve"> is considered to be the </w:t>
      </w:r>
      <w:r w:rsidR="00BA2B20" w:rsidRPr="00034302">
        <w:rPr>
          <w:rFonts w:ascii="Arial" w:hAnsi="Arial" w:cs="Arial"/>
          <w:i/>
          <w:iCs/>
          <w:sz w:val="24"/>
          <w:szCs w:val="24"/>
        </w:rPr>
        <w:t>tafel</w:t>
      </w:r>
      <w:r w:rsidR="00BA2B20">
        <w:rPr>
          <w:rFonts w:ascii="Arial" w:hAnsi="Arial" w:cs="Arial"/>
          <w:sz w:val="24"/>
          <w:szCs w:val="24"/>
        </w:rPr>
        <w:t xml:space="preserve">. </w:t>
      </w:r>
      <w:r w:rsidR="000617B7">
        <w:rPr>
          <w:rFonts w:ascii="Arial" w:hAnsi="Arial" w:cs="Arial"/>
          <w:sz w:val="24"/>
          <w:szCs w:val="24"/>
        </w:rPr>
        <w:t>T</w:t>
      </w:r>
      <w:r w:rsidR="00BA2B20">
        <w:rPr>
          <w:rFonts w:ascii="Arial" w:hAnsi="Arial" w:cs="Arial"/>
          <w:sz w:val="24"/>
          <w:szCs w:val="24"/>
        </w:rPr>
        <w:t>herefore</w:t>
      </w:r>
      <w:r w:rsidR="000617B7">
        <w:rPr>
          <w:rFonts w:ascii="Arial" w:hAnsi="Arial" w:cs="Arial"/>
          <w:sz w:val="24"/>
          <w:szCs w:val="24"/>
        </w:rPr>
        <w:t>,</w:t>
      </w:r>
      <w:r w:rsidR="00BA2B20">
        <w:rPr>
          <w:rFonts w:ascii="Arial" w:hAnsi="Arial" w:cs="Arial"/>
          <w:sz w:val="24"/>
          <w:szCs w:val="24"/>
        </w:rPr>
        <w:t xml:space="preserve"> the blessing</w:t>
      </w:r>
      <w:r w:rsidR="000617B7">
        <w:rPr>
          <w:rFonts w:ascii="Arial" w:hAnsi="Arial" w:cs="Arial"/>
          <w:sz w:val="24"/>
          <w:szCs w:val="24"/>
        </w:rPr>
        <w:t xml:space="preserve"> should be recited over the nut</w:t>
      </w:r>
      <w:r w:rsidR="00BA2B20">
        <w:rPr>
          <w:rFonts w:ascii="Arial" w:hAnsi="Arial" w:cs="Arial"/>
          <w:sz w:val="24"/>
          <w:szCs w:val="24"/>
        </w:rPr>
        <w:t xml:space="preserve"> and over the ground herbs/flowers. </w:t>
      </w:r>
    </w:p>
    <w:p w:rsidR="00BA2B20" w:rsidRDefault="00BA2B20" w:rsidP="0042650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5C5F24" w:rsidRDefault="005C5F24" w:rsidP="00426508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Seemingly, one could suggest that the Tur and his colleagues disagree as to the definition of </w:t>
      </w:r>
      <w:r w:rsidRPr="005C5F24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 xml:space="preserve"> and </w:t>
      </w:r>
      <w:r w:rsidRPr="005C5F24">
        <w:rPr>
          <w:rFonts w:ascii="Arial" w:hAnsi="Arial" w:cs="Arial"/>
          <w:i/>
          <w:iCs/>
          <w:sz w:val="24"/>
          <w:szCs w:val="24"/>
        </w:rPr>
        <w:t>tafel</w:t>
      </w:r>
      <w:r>
        <w:rPr>
          <w:rFonts w:ascii="Arial" w:hAnsi="Arial" w:cs="Arial"/>
          <w:sz w:val="24"/>
          <w:szCs w:val="24"/>
        </w:rPr>
        <w:t>. While his colleagues believe that the function that each ingredient plays in the mixtur</w:t>
      </w:r>
      <w:r w:rsidR="000617B7">
        <w:rPr>
          <w:rFonts w:ascii="Arial" w:hAnsi="Arial" w:cs="Arial"/>
          <w:sz w:val="24"/>
          <w:szCs w:val="24"/>
        </w:rPr>
        <w:t>e should determine the blessing</w:t>
      </w:r>
      <w:r>
        <w:rPr>
          <w:rFonts w:ascii="Arial" w:hAnsi="Arial" w:cs="Arial"/>
          <w:sz w:val="24"/>
          <w:szCs w:val="24"/>
        </w:rPr>
        <w:t xml:space="preserve"> and the honey merely adds tast</w:t>
      </w:r>
      <w:r w:rsidR="000617B7">
        <w:rPr>
          <w:rFonts w:ascii="Arial" w:hAnsi="Arial" w:cs="Arial"/>
          <w:sz w:val="24"/>
          <w:szCs w:val="24"/>
        </w:rPr>
        <w:t xml:space="preserve">e to the fruit, the Tur maintains </w:t>
      </w:r>
      <w:r>
        <w:rPr>
          <w:rFonts w:ascii="Arial" w:hAnsi="Arial" w:cs="Arial"/>
          <w:sz w:val="24"/>
          <w:szCs w:val="24"/>
        </w:rPr>
        <w:t xml:space="preserve">that the foods with the most dominant taste should be considered to be the </w:t>
      </w:r>
      <w:r w:rsidRPr="005C5F24">
        <w:rPr>
          <w:rFonts w:ascii="Arial" w:hAnsi="Arial" w:cs="Arial"/>
          <w:i/>
          <w:iCs/>
          <w:sz w:val="24"/>
          <w:szCs w:val="24"/>
        </w:rPr>
        <w:t>ikkar</w:t>
      </w:r>
      <w:r>
        <w:rPr>
          <w:rFonts w:ascii="Arial" w:hAnsi="Arial" w:cs="Arial"/>
          <w:sz w:val="24"/>
          <w:szCs w:val="24"/>
        </w:rPr>
        <w:t>.</w:t>
      </w:r>
    </w:p>
    <w:p w:rsidR="005C5F24" w:rsidRDefault="005C5F24" w:rsidP="0042650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8301FC" w:rsidRDefault="008301FC" w:rsidP="0042650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805FE1">
        <w:rPr>
          <w:rFonts w:ascii="Arial" w:hAnsi="Arial" w:cs="Arial"/>
          <w:sz w:val="24"/>
          <w:szCs w:val="24"/>
        </w:rPr>
        <w:t>Next week</w:t>
      </w:r>
      <w:r w:rsidR="000617B7">
        <w:rPr>
          <w:rFonts w:ascii="Arial" w:hAnsi="Arial" w:cs="Arial"/>
          <w:sz w:val="24"/>
          <w:szCs w:val="24"/>
        </w:rPr>
        <w:t>,</w:t>
      </w:r>
      <w:r w:rsidR="00805FE1">
        <w:rPr>
          <w:rFonts w:ascii="Arial" w:hAnsi="Arial" w:cs="Arial"/>
          <w:sz w:val="24"/>
          <w:szCs w:val="24"/>
        </w:rPr>
        <w:t xml:space="preserve"> we will discuss practical examples of </w:t>
      </w:r>
      <w:r w:rsidR="00805FE1" w:rsidRPr="00B27648">
        <w:rPr>
          <w:rFonts w:ascii="Arial" w:hAnsi="Arial" w:cs="Arial"/>
          <w:i/>
          <w:iCs/>
          <w:sz w:val="24"/>
          <w:szCs w:val="24"/>
        </w:rPr>
        <w:t>ikkar</w:t>
      </w:r>
      <w:r w:rsidR="00805FE1">
        <w:rPr>
          <w:rFonts w:ascii="Arial" w:hAnsi="Arial" w:cs="Arial"/>
          <w:sz w:val="24"/>
          <w:szCs w:val="24"/>
        </w:rPr>
        <w:t xml:space="preserve"> and </w:t>
      </w:r>
      <w:r w:rsidR="00805FE1" w:rsidRPr="00B27648">
        <w:rPr>
          <w:rFonts w:ascii="Arial" w:hAnsi="Arial" w:cs="Arial"/>
          <w:i/>
          <w:iCs/>
          <w:sz w:val="24"/>
          <w:szCs w:val="24"/>
        </w:rPr>
        <w:t>tafel</w:t>
      </w:r>
      <w:r w:rsidR="00805FE1">
        <w:rPr>
          <w:rFonts w:ascii="Arial" w:hAnsi="Arial" w:cs="Arial"/>
          <w:sz w:val="24"/>
          <w:szCs w:val="24"/>
        </w:rPr>
        <w:t xml:space="preserve">. </w:t>
      </w:r>
    </w:p>
    <w:sectPr w:rsidR="008301FC" w:rsidSect="00426508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F5" w:rsidRDefault="00B622F5" w:rsidP="008E7E59">
      <w:pPr>
        <w:spacing w:before="0" w:after="0" w:line="240" w:lineRule="auto"/>
      </w:pPr>
      <w:r>
        <w:separator/>
      </w:r>
    </w:p>
  </w:endnote>
  <w:endnote w:type="continuationSeparator" w:id="0">
    <w:p w:rsidR="00B622F5" w:rsidRDefault="00B622F5" w:rsidP="008E7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F5" w:rsidRDefault="00B622F5" w:rsidP="008E7E59">
      <w:pPr>
        <w:spacing w:before="0" w:after="0" w:line="240" w:lineRule="auto"/>
      </w:pPr>
      <w:r>
        <w:separator/>
      </w:r>
    </w:p>
  </w:footnote>
  <w:footnote w:type="continuationSeparator" w:id="0">
    <w:p w:rsidR="00B622F5" w:rsidRDefault="00B622F5" w:rsidP="008E7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772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rFonts w:cs="Times New Roman"/>
        <w:b w:val="0"/>
        <w:bCs w:val="0"/>
        <w:sz w:val="2"/>
        <w:szCs w:val="22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rFonts w:cs="Times New Roman"/>
        <w:b w:val="0"/>
        <w:bCs w:val="0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rFonts w:cs="Times New Roman"/>
        <w:b w:val="0"/>
        <w:bCs w:val="0"/>
        <w:sz w:val="2"/>
        <w:szCs w:val="22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  <w:rPr>
        <w:rFonts w:cs="Times New Roman"/>
      </w:r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  <w:rPr>
        <w:rFonts w:cs="Times New Roman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10"/>
    <w:rsid w:val="00001882"/>
    <w:rsid w:val="0001283D"/>
    <w:rsid w:val="00015DEB"/>
    <w:rsid w:val="00016DEC"/>
    <w:rsid w:val="0002297C"/>
    <w:rsid w:val="000259EB"/>
    <w:rsid w:val="00027F51"/>
    <w:rsid w:val="00030499"/>
    <w:rsid w:val="00030734"/>
    <w:rsid w:val="00034302"/>
    <w:rsid w:val="00041CCB"/>
    <w:rsid w:val="00044709"/>
    <w:rsid w:val="00047E90"/>
    <w:rsid w:val="00050EDA"/>
    <w:rsid w:val="00054C72"/>
    <w:rsid w:val="00055D4A"/>
    <w:rsid w:val="00057A7F"/>
    <w:rsid w:val="00060E60"/>
    <w:rsid w:val="00061559"/>
    <w:rsid w:val="000617B7"/>
    <w:rsid w:val="000618DF"/>
    <w:rsid w:val="00064E6E"/>
    <w:rsid w:val="000658AE"/>
    <w:rsid w:val="00067BA7"/>
    <w:rsid w:val="00067CDD"/>
    <w:rsid w:val="0007208A"/>
    <w:rsid w:val="000720F3"/>
    <w:rsid w:val="00072909"/>
    <w:rsid w:val="00077811"/>
    <w:rsid w:val="00083010"/>
    <w:rsid w:val="00083602"/>
    <w:rsid w:val="00083AD6"/>
    <w:rsid w:val="00083BF1"/>
    <w:rsid w:val="00084396"/>
    <w:rsid w:val="00086A05"/>
    <w:rsid w:val="00095676"/>
    <w:rsid w:val="00095765"/>
    <w:rsid w:val="00097EEB"/>
    <w:rsid w:val="000A2089"/>
    <w:rsid w:val="000A781E"/>
    <w:rsid w:val="000B3E1D"/>
    <w:rsid w:val="000C04A5"/>
    <w:rsid w:val="000C65AD"/>
    <w:rsid w:val="000C67DA"/>
    <w:rsid w:val="000C6EB3"/>
    <w:rsid w:val="000C79BC"/>
    <w:rsid w:val="000D2FC6"/>
    <w:rsid w:val="000D5604"/>
    <w:rsid w:val="000D6ECB"/>
    <w:rsid w:val="000E62F7"/>
    <w:rsid w:val="000F6FBB"/>
    <w:rsid w:val="00100728"/>
    <w:rsid w:val="001065B2"/>
    <w:rsid w:val="001073B4"/>
    <w:rsid w:val="00112C00"/>
    <w:rsid w:val="0011317A"/>
    <w:rsid w:val="00113361"/>
    <w:rsid w:val="00113576"/>
    <w:rsid w:val="0011528A"/>
    <w:rsid w:val="0011622D"/>
    <w:rsid w:val="00116987"/>
    <w:rsid w:val="00123C74"/>
    <w:rsid w:val="001309D2"/>
    <w:rsid w:val="00130BEB"/>
    <w:rsid w:val="001401FF"/>
    <w:rsid w:val="0014237E"/>
    <w:rsid w:val="001426F7"/>
    <w:rsid w:val="00145749"/>
    <w:rsid w:val="00145F01"/>
    <w:rsid w:val="00147B30"/>
    <w:rsid w:val="001666F7"/>
    <w:rsid w:val="00170099"/>
    <w:rsid w:val="00170D08"/>
    <w:rsid w:val="00173C8B"/>
    <w:rsid w:val="00182863"/>
    <w:rsid w:val="001850B4"/>
    <w:rsid w:val="001860BD"/>
    <w:rsid w:val="001871EC"/>
    <w:rsid w:val="00187DF3"/>
    <w:rsid w:val="00191A8F"/>
    <w:rsid w:val="00194EF2"/>
    <w:rsid w:val="001A15D3"/>
    <w:rsid w:val="001A2EB3"/>
    <w:rsid w:val="001A4F18"/>
    <w:rsid w:val="001A5EF0"/>
    <w:rsid w:val="001B1EA2"/>
    <w:rsid w:val="001B4731"/>
    <w:rsid w:val="001B5AC2"/>
    <w:rsid w:val="001B5EB0"/>
    <w:rsid w:val="001B7AC7"/>
    <w:rsid w:val="001C4402"/>
    <w:rsid w:val="001C6CA7"/>
    <w:rsid w:val="001D3E8E"/>
    <w:rsid w:val="001D6298"/>
    <w:rsid w:val="001E0CA4"/>
    <w:rsid w:val="001E29EA"/>
    <w:rsid w:val="001E540F"/>
    <w:rsid w:val="001E5580"/>
    <w:rsid w:val="001F0782"/>
    <w:rsid w:val="001F26E4"/>
    <w:rsid w:val="001F3580"/>
    <w:rsid w:val="001F67B4"/>
    <w:rsid w:val="0020011B"/>
    <w:rsid w:val="00200D88"/>
    <w:rsid w:val="00200ECA"/>
    <w:rsid w:val="002049AD"/>
    <w:rsid w:val="00205B77"/>
    <w:rsid w:val="00212FDB"/>
    <w:rsid w:val="00216107"/>
    <w:rsid w:val="002179B1"/>
    <w:rsid w:val="002209F1"/>
    <w:rsid w:val="00220EBE"/>
    <w:rsid w:val="0022144A"/>
    <w:rsid w:val="00222910"/>
    <w:rsid w:val="00223485"/>
    <w:rsid w:val="0022550A"/>
    <w:rsid w:val="0022781B"/>
    <w:rsid w:val="002307E8"/>
    <w:rsid w:val="002308AD"/>
    <w:rsid w:val="0023591B"/>
    <w:rsid w:val="00240CA8"/>
    <w:rsid w:val="002426B1"/>
    <w:rsid w:val="00243A26"/>
    <w:rsid w:val="00243FDE"/>
    <w:rsid w:val="00252434"/>
    <w:rsid w:val="00252A1B"/>
    <w:rsid w:val="00255690"/>
    <w:rsid w:val="00256198"/>
    <w:rsid w:val="00256258"/>
    <w:rsid w:val="002577F9"/>
    <w:rsid w:val="00257911"/>
    <w:rsid w:val="00264BC0"/>
    <w:rsid w:val="002667A9"/>
    <w:rsid w:val="00271AF7"/>
    <w:rsid w:val="00275B8F"/>
    <w:rsid w:val="0028099E"/>
    <w:rsid w:val="00280A5B"/>
    <w:rsid w:val="002833BB"/>
    <w:rsid w:val="0028379C"/>
    <w:rsid w:val="00291158"/>
    <w:rsid w:val="002A18EE"/>
    <w:rsid w:val="002A1D56"/>
    <w:rsid w:val="002A2587"/>
    <w:rsid w:val="002A45F0"/>
    <w:rsid w:val="002B5782"/>
    <w:rsid w:val="002C0A6A"/>
    <w:rsid w:val="002C4553"/>
    <w:rsid w:val="002C5BCB"/>
    <w:rsid w:val="002D3B25"/>
    <w:rsid w:val="002D463E"/>
    <w:rsid w:val="002E070B"/>
    <w:rsid w:val="002E130E"/>
    <w:rsid w:val="002E6D36"/>
    <w:rsid w:val="002E781A"/>
    <w:rsid w:val="002E7F71"/>
    <w:rsid w:val="002F0A56"/>
    <w:rsid w:val="002F158F"/>
    <w:rsid w:val="002F2CEA"/>
    <w:rsid w:val="002F6D69"/>
    <w:rsid w:val="002F725E"/>
    <w:rsid w:val="003107B8"/>
    <w:rsid w:val="003128E7"/>
    <w:rsid w:val="00317A1B"/>
    <w:rsid w:val="00321ACB"/>
    <w:rsid w:val="00326157"/>
    <w:rsid w:val="003304CC"/>
    <w:rsid w:val="0033383C"/>
    <w:rsid w:val="00334093"/>
    <w:rsid w:val="00336E6A"/>
    <w:rsid w:val="00337735"/>
    <w:rsid w:val="00337CFA"/>
    <w:rsid w:val="00340140"/>
    <w:rsid w:val="00341A69"/>
    <w:rsid w:val="003514FD"/>
    <w:rsid w:val="0035226B"/>
    <w:rsid w:val="00353639"/>
    <w:rsid w:val="0035603E"/>
    <w:rsid w:val="00357F73"/>
    <w:rsid w:val="00361825"/>
    <w:rsid w:val="00361F8C"/>
    <w:rsid w:val="00363BF0"/>
    <w:rsid w:val="00363FF8"/>
    <w:rsid w:val="003663B8"/>
    <w:rsid w:val="003754B6"/>
    <w:rsid w:val="0038437A"/>
    <w:rsid w:val="00390D4F"/>
    <w:rsid w:val="00392F51"/>
    <w:rsid w:val="003944D1"/>
    <w:rsid w:val="00397DB8"/>
    <w:rsid w:val="003A1B73"/>
    <w:rsid w:val="003A327E"/>
    <w:rsid w:val="003A7587"/>
    <w:rsid w:val="003B083C"/>
    <w:rsid w:val="003B1350"/>
    <w:rsid w:val="003C0DA3"/>
    <w:rsid w:val="003C51FD"/>
    <w:rsid w:val="003C6719"/>
    <w:rsid w:val="003C75E6"/>
    <w:rsid w:val="003D1715"/>
    <w:rsid w:val="003D1BEF"/>
    <w:rsid w:val="003D5A39"/>
    <w:rsid w:val="003E1F72"/>
    <w:rsid w:val="003E2660"/>
    <w:rsid w:val="003E3CC0"/>
    <w:rsid w:val="003E4BB4"/>
    <w:rsid w:val="003F04B3"/>
    <w:rsid w:val="003F1EC0"/>
    <w:rsid w:val="0040072D"/>
    <w:rsid w:val="0040340C"/>
    <w:rsid w:val="0040719C"/>
    <w:rsid w:val="00422FA8"/>
    <w:rsid w:val="00423156"/>
    <w:rsid w:val="00426508"/>
    <w:rsid w:val="0043362B"/>
    <w:rsid w:val="00440578"/>
    <w:rsid w:val="00440B2A"/>
    <w:rsid w:val="00440B4C"/>
    <w:rsid w:val="00443525"/>
    <w:rsid w:val="004453C5"/>
    <w:rsid w:val="00452048"/>
    <w:rsid w:val="00455BEC"/>
    <w:rsid w:val="00457631"/>
    <w:rsid w:val="00461586"/>
    <w:rsid w:val="0046638F"/>
    <w:rsid w:val="00470236"/>
    <w:rsid w:val="004741E9"/>
    <w:rsid w:val="004751C5"/>
    <w:rsid w:val="00477648"/>
    <w:rsid w:val="004846B8"/>
    <w:rsid w:val="00486BD1"/>
    <w:rsid w:val="00487C38"/>
    <w:rsid w:val="00491FA5"/>
    <w:rsid w:val="00495E3B"/>
    <w:rsid w:val="004A04DA"/>
    <w:rsid w:val="004A3AEE"/>
    <w:rsid w:val="004B3C0E"/>
    <w:rsid w:val="004B49B4"/>
    <w:rsid w:val="004B4E64"/>
    <w:rsid w:val="004B6E21"/>
    <w:rsid w:val="004B7A0D"/>
    <w:rsid w:val="004C2E3E"/>
    <w:rsid w:val="004C3317"/>
    <w:rsid w:val="004C3F1E"/>
    <w:rsid w:val="004C5E12"/>
    <w:rsid w:val="004D2919"/>
    <w:rsid w:val="004D621B"/>
    <w:rsid w:val="004D77AA"/>
    <w:rsid w:val="004E3305"/>
    <w:rsid w:val="004F25FE"/>
    <w:rsid w:val="004F73A9"/>
    <w:rsid w:val="004F7925"/>
    <w:rsid w:val="004F7FA8"/>
    <w:rsid w:val="00501529"/>
    <w:rsid w:val="00502933"/>
    <w:rsid w:val="00506D55"/>
    <w:rsid w:val="00514032"/>
    <w:rsid w:val="00515660"/>
    <w:rsid w:val="00517956"/>
    <w:rsid w:val="00520660"/>
    <w:rsid w:val="00520BF1"/>
    <w:rsid w:val="005217A4"/>
    <w:rsid w:val="00523216"/>
    <w:rsid w:val="00525467"/>
    <w:rsid w:val="005259B5"/>
    <w:rsid w:val="005325B9"/>
    <w:rsid w:val="00535FEC"/>
    <w:rsid w:val="005406FE"/>
    <w:rsid w:val="005411ED"/>
    <w:rsid w:val="00542461"/>
    <w:rsid w:val="005455F0"/>
    <w:rsid w:val="00545A94"/>
    <w:rsid w:val="005469B7"/>
    <w:rsid w:val="00551295"/>
    <w:rsid w:val="0055273C"/>
    <w:rsid w:val="0055311D"/>
    <w:rsid w:val="00567B87"/>
    <w:rsid w:val="00572901"/>
    <w:rsid w:val="00581551"/>
    <w:rsid w:val="00584777"/>
    <w:rsid w:val="0058611E"/>
    <w:rsid w:val="005A5F4F"/>
    <w:rsid w:val="005A6C98"/>
    <w:rsid w:val="005B601A"/>
    <w:rsid w:val="005B60F4"/>
    <w:rsid w:val="005C0AEB"/>
    <w:rsid w:val="005C37F3"/>
    <w:rsid w:val="005C5F24"/>
    <w:rsid w:val="005C6864"/>
    <w:rsid w:val="005C6BCD"/>
    <w:rsid w:val="005C6E32"/>
    <w:rsid w:val="005C765A"/>
    <w:rsid w:val="005D1843"/>
    <w:rsid w:val="005E1393"/>
    <w:rsid w:val="005E5739"/>
    <w:rsid w:val="005F04AE"/>
    <w:rsid w:val="005F3B40"/>
    <w:rsid w:val="005F436B"/>
    <w:rsid w:val="005F4DCB"/>
    <w:rsid w:val="005F6CE8"/>
    <w:rsid w:val="00602FFF"/>
    <w:rsid w:val="006136D0"/>
    <w:rsid w:val="00615F25"/>
    <w:rsid w:val="006175CD"/>
    <w:rsid w:val="00620EA6"/>
    <w:rsid w:val="00624846"/>
    <w:rsid w:val="0062699B"/>
    <w:rsid w:val="006271F5"/>
    <w:rsid w:val="00627CCC"/>
    <w:rsid w:val="0063707E"/>
    <w:rsid w:val="0063779E"/>
    <w:rsid w:val="00674B4A"/>
    <w:rsid w:val="00674C79"/>
    <w:rsid w:val="00680096"/>
    <w:rsid w:val="006821AD"/>
    <w:rsid w:val="006826D7"/>
    <w:rsid w:val="00684917"/>
    <w:rsid w:val="0068521F"/>
    <w:rsid w:val="00691D74"/>
    <w:rsid w:val="00695D58"/>
    <w:rsid w:val="006A6262"/>
    <w:rsid w:val="006B219F"/>
    <w:rsid w:val="006B4617"/>
    <w:rsid w:val="006C347E"/>
    <w:rsid w:val="006C397F"/>
    <w:rsid w:val="006C4861"/>
    <w:rsid w:val="006C51C1"/>
    <w:rsid w:val="006C675A"/>
    <w:rsid w:val="006C71D1"/>
    <w:rsid w:val="006D5D8E"/>
    <w:rsid w:val="006D6818"/>
    <w:rsid w:val="006D6FE5"/>
    <w:rsid w:val="006D7F57"/>
    <w:rsid w:val="006E2521"/>
    <w:rsid w:val="006E385B"/>
    <w:rsid w:val="006E52EC"/>
    <w:rsid w:val="006E7510"/>
    <w:rsid w:val="006F17E0"/>
    <w:rsid w:val="006F1C0B"/>
    <w:rsid w:val="006F1CB7"/>
    <w:rsid w:val="006F1E57"/>
    <w:rsid w:val="006F4C36"/>
    <w:rsid w:val="00705570"/>
    <w:rsid w:val="00706573"/>
    <w:rsid w:val="00706C01"/>
    <w:rsid w:val="0071698D"/>
    <w:rsid w:val="00720DDB"/>
    <w:rsid w:val="00723E1C"/>
    <w:rsid w:val="007270A6"/>
    <w:rsid w:val="00734F9F"/>
    <w:rsid w:val="007427A3"/>
    <w:rsid w:val="0074356C"/>
    <w:rsid w:val="0075145E"/>
    <w:rsid w:val="00751A0B"/>
    <w:rsid w:val="007560DC"/>
    <w:rsid w:val="00756DD7"/>
    <w:rsid w:val="00757505"/>
    <w:rsid w:val="00761054"/>
    <w:rsid w:val="00771C31"/>
    <w:rsid w:val="0077459C"/>
    <w:rsid w:val="007815BF"/>
    <w:rsid w:val="00786CC8"/>
    <w:rsid w:val="00786F00"/>
    <w:rsid w:val="00792ED1"/>
    <w:rsid w:val="00793497"/>
    <w:rsid w:val="00796000"/>
    <w:rsid w:val="007A1FFD"/>
    <w:rsid w:val="007B18E9"/>
    <w:rsid w:val="007B3585"/>
    <w:rsid w:val="007B3CA5"/>
    <w:rsid w:val="007B732C"/>
    <w:rsid w:val="007C1223"/>
    <w:rsid w:val="007E4766"/>
    <w:rsid w:val="007E6FEA"/>
    <w:rsid w:val="007F0977"/>
    <w:rsid w:val="007F231E"/>
    <w:rsid w:val="007F33A3"/>
    <w:rsid w:val="007F3DE9"/>
    <w:rsid w:val="007F7084"/>
    <w:rsid w:val="00801DA0"/>
    <w:rsid w:val="00805FE1"/>
    <w:rsid w:val="00813F82"/>
    <w:rsid w:val="00816773"/>
    <w:rsid w:val="00823EB4"/>
    <w:rsid w:val="008242D5"/>
    <w:rsid w:val="008278F6"/>
    <w:rsid w:val="008301FC"/>
    <w:rsid w:val="008328E1"/>
    <w:rsid w:val="00832D00"/>
    <w:rsid w:val="008344F6"/>
    <w:rsid w:val="008348D1"/>
    <w:rsid w:val="00834A66"/>
    <w:rsid w:val="00835A7C"/>
    <w:rsid w:val="00850827"/>
    <w:rsid w:val="0085494E"/>
    <w:rsid w:val="008569B3"/>
    <w:rsid w:val="008604C3"/>
    <w:rsid w:val="00863D46"/>
    <w:rsid w:val="00864BAC"/>
    <w:rsid w:val="00866253"/>
    <w:rsid w:val="008766DD"/>
    <w:rsid w:val="00886A35"/>
    <w:rsid w:val="00893538"/>
    <w:rsid w:val="008A28A8"/>
    <w:rsid w:val="008A6996"/>
    <w:rsid w:val="008A6C3D"/>
    <w:rsid w:val="008B0C59"/>
    <w:rsid w:val="008B2DAC"/>
    <w:rsid w:val="008B3671"/>
    <w:rsid w:val="008B3DCF"/>
    <w:rsid w:val="008C4B39"/>
    <w:rsid w:val="008C5202"/>
    <w:rsid w:val="008C5206"/>
    <w:rsid w:val="008C6811"/>
    <w:rsid w:val="008D041F"/>
    <w:rsid w:val="008D2027"/>
    <w:rsid w:val="008E15AD"/>
    <w:rsid w:val="008E2C0B"/>
    <w:rsid w:val="008E7E59"/>
    <w:rsid w:val="008F140D"/>
    <w:rsid w:val="008F1568"/>
    <w:rsid w:val="008F37BF"/>
    <w:rsid w:val="008F5CD8"/>
    <w:rsid w:val="008F670E"/>
    <w:rsid w:val="0090130D"/>
    <w:rsid w:val="00901A60"/>
    <w:rsid w:val="00902556"/>
    <w:rsid w:val="009054B3"/>
    <w:rsid w:val="00906870"/>
    <w:rsid w:val="009102AF"/>
    <w:rsid w:val="009139B2"/>
    <w:rsid w:val="009153F2"/>
    <w:rsid w:val="00915B8F"/>
    <w:rsid w:val="0091712B"/>
    <w:rsid w:val="0092042A"/>
    <w:rsid w:val="00920667"/>
    <w:rsid w:val="009208E8"/>
    <w:rsid w:val="00920D7A"/>
    <w:rsid w:val="009228AE"/>
    <w:rsid w:val="00925854"/>
    <w:rsid w:val="0093279F"/>
    <w:rsid w:val="0093308B"/>
    <w:rsid w:val="00934079"/>
    <w:rsid w:val="00946216"/>
    <w:rsid w:val="009552A8"/>
    <w:rsid w:val="00956613"/>
    <w:rsid w:val="0095731F"/>
    <w:rsid w:val="009609F9"/>
    <w:rsid w:val="009629CF"/>
    <w:rsid w:val="00967BAF"/>
    <w:rsid w:val="00974D4C"/>
    <w:rsid w:val="00977BF8"/>
    <w:rsid w:val="009810F2"/>
    <w:rsid w:val="00982C85"/>
    <w:rsid w:val="00985349"/>
    <w:rsid w:val="009865F0"/>
    <w:rsid w:val="00986DDA"/>
    <w:rsid w:val="0099066B"/>
    <w:rsid w:val="00990B30"/>
    <w:rsid w:val="009960ED"/>
    <w:rsid w:val="009A1362"/>
    <w:rsid w:val="009A32E6"/>
    <w:rsid w:val="009B2310"/>
    <w:rsid w:val="009B3576"/>
    <w:rsid w:val="009B3D9F"/>
    <w:rsid w:val="009C01FB"/>
    <w:rsid w:val="009C1419"/>
    <w:rsid w:val="009C15BC"/>
    <w:rsid w:val="009C1787"/>
    <w:rsid w:val="009C7305"/>
    <w:rsid w:val="009D2041"/>
    <w:rsid w:val="009D36FE"/>
    <w:rsid w:val="009D5281"/>
    <w:rsid w:val="009E6078"/>
    <w:rsid w:val="009E64F5"/>
    <w:rsid w:val="009E79AA"/>
    <w:rsid w:val="009F0221"/>
    <w:rsid w:val="009F4D48"/>
    <w:rsid w:val="009F4FAE"/>
    <w:rsid w:val="009F656E"/>
    <w:rsid w:val="009F7821"/>
    <w:rsid w:val="009F7936"/>
    <w:rsid w:val="009F7E59"/>
    <w:rsid w:val="00A01048"/>
    <w:rsid w:val="00A0365D"/>
    <w:rsid w:val="00A04436"/>
    <w:rsid w:val="00A05142"/>
    <w:rsid w:val="00A0612F"/>
    <w:rsid w:val="00A1079B"/>
    <w:rsid w:val="00A15AE5"/>
    <w:rsid w:val="00A15EFB"/>
    <w:rsid w:val="00A16AE8"/>
    <w:rsid w:val="00A16E8B"/>
    <w:rsid w:val="00A2369C"/>
    <w:rsid w:val="00A25ADB"/>
    <w:rsid w:val="00A25BC9"/>
    <w:rsid w:val="00A27234"/>
    <w:rsid w:val="00A31B23"/>
    <w:rsid w:val="00A62F85"/>
    <w:rsid w:val="00A640DF"/>
    <w:rsid w:val="00A70AE2"/>
    <w:rsid w:val="00A772DB"/>
    <w:rsid w:val="00A86B24"/>
    <w:rsid w:val="00A95917"/>
    <w:rsid w:val="00A95E39"/>
    <w:rsid w:val="00A9684C"/>
    <w:rsid w:val="00A97D93"/>
    <w:rsid w:val="00AA203F"/>
    <w:rsid w:val="00AA51DB"/>
    <w:rsid w:val="00AA5869"/>
    <w:rsid w:val="00AA5C22"/>
    <w:rsid w:val="00AA7137"/>
    <w:rsid w:val="00AC44F2"/>
    <w:rsid w:val="00AD0FFD"/>
    <w:rsid w:val="00AD411A"/>
    <w:rsid w:val="00AD537F"/>
    <w:rsid w:val="00AE09F7"/>
    <w:rsid w:val="00AE5DC3"/>
    <w:rsid w:val="00AE6E25"/>
    <w:rsid w:val="00B000DD"/>
    <w:rsid w:val="00B01B0A"/>
    <w:rsid w:val="00B10326"/>
    <w:rsid w:val="00B10A53"/>
    <w:rsid w:val="00B213E0"/>
    <w:rsid w:val="00B24E48"/>
    <w:rsid w:val="00B2718C"/>
    <w:rsid w:val="00B27190"/>
    <w:rsid w:val="00B27519"/>
    <w:rsid w:val="00B27648"/>
    <w:rsid w:val="00B37242"/>
    <w:rsid w:val="00B37ABD"/>
    <w:rsid w:val="00B405AE"/>
    <w:rsid w:val="00B40E26"/>
    <w:rsid w:val="00B46A5A"/>
    <w:rsid w:val="00B517EE"/>
    <w:rsid w:val="00B523E3"/>
    <w:rsid w:val="00B616BA"/>
    <w:rsid w:val="00B622F5"/>
    <w:rsid w:val="00B648BD"/>
    <w:rsid w:val="00B65D72"/>
    <w:rsid w:val="00B67A81"/>
    <w:rsid w:val="00B7432B"/>
    <w:rsid w:val="00B7513F"/>
    <w:rsid w:val="00B75B77"/>
    <w:rsid w:val="00B77F7B"/>
    <w:rsid w:val="00B80C64"/>
    <w:rsid w:val="00B9349F"/>
    <w:rsid w:val="00B94BFA"/>
    <w:rsid w:val="00B96186"/>
    <w:rsid w:val="00BA0505"/>
    <w:rsid w:val="00BA2B20"/>
    <w:rsid w:val="00BA36AF"/>
    <w:rsid w:val="00BA3E09"/>
    <w:rsid w:val="00BB18CC"/>
    <w:rsid w:val="00BB4CBA"/>
    <w:rsid w:val="00BB5AFD"/>
    <w:rsid w:val="00BB7FD7"/>
    <w:rsid w:val="00BC206E"/>
    <w:rsid w:val="00BC3150"/>
    <w:rsid w:val="00BC3D40"/>
    <w:rsid w:val="00BC4426"/>
    <w:rsid w:val="00BC544D"/>
    <w:rsid w:val="00BD5642"/>
    <w:rsid w:val="00BE006C"/>
    <w:rsid w:val="00BE3C37"/>
    <w:rsid w:val="00BF203A"/>
    <w:rsid w:val="00BF3992"/>
    <w:rsid w:val="00BF6107"/>
    <w:rsid w:val="00C0197C"/>
    <w:rsid w:val="00C03376"/>
    <w:rsid w:val="00C04D31"/>
    <w:rsid w:val="00C06DD5"/>
    <w:rsid w:val="00C17C2D"/>
    <w:rsid w:val="00C252E4"/>
    <w:rsid w:val="00C2692C"/>
    <w:rsid w:val="00C375FA"/>
    <w:rsid w:val="00C409DE"/>
    <w:rsid w:val="00C41374"/>
    <w:rsid w:val="00C42908"/>
    <w:rsid w:val="00C44A76"/>
    <w:rsid w:val="00C50320"/>
    <w:rsid w:val="00C50763"/>
    <w:rsid w:val="00C5293F"/>
    <w:rsid w:val="00C615BC"/>
    <w:rsid w:val="00C616A4"/>
    <w:rsid w:val="00C62B50"/>
    <w:rsid w:val="00C6463D"/>
    <w:rsid w:val="00C65C88"/>
    <w:rsid w:val="00C67603"/>
    <w:rsid w:val="00C74922"/>
    <w:rsid w:val="00C76924"/>
    <w:rsid w:val="00C90A9C"/>
    <w:rsid w:val="00C93B5F"/>
    <w:rsid w:val="00C953CE"/>
    <w:rsid w:val="00CA7A68"/>
    <w:rsid w:val="00CB2609"/>
    <w:rsid w:val="00CC07ED"/>
    <w:rsid w:val="00CC1B0E"/>
    <w:rsid w:val="00CC1F94"/>
    <w:rsid w:val="00CD0D8A"/>
    <w:rsid w:val="00CD13D0"/>
    <w:rsid w:val="00CD237B"/>
    <w:rsid w:val="00CD328C"/>
    <w:rsid w:val="00CD3F72"/>
    <w:rsid w:val="00CD56A8"/>
    <w:rsid w:val="00CD661C"/>
    <w:rsid w:val="00CD6B51"/>
    <w:rsid w:val="00CE037F"/>
    <w:rsid w:val="00CE1DB1"/>
    <w:rsid w:val="00CE2EE0"/>
    <w:rsid w:val="00CE4255"/>
    <w:rsid w:val="00CE42A2"/>
    <w:rsid w:val="00CE4DC8"/>
    <w:rsid w:val="00CE5805"/>
    <w:rsid w:val="00CE708A"/>
    <w:rsid w:val="00CF3F40"/>
    <w:rsid w:val="00CF67AF"/>
    <w:rsid w:val="00D024B2"/>
    <w:rsid w:val="00D03D4C"/>
    <w:rsid w:val="00D043F7"/>
    <w:rsid w:val="00D06382"/>
    <w:rsid w:val="00D06C9A"/>
    <w:rsid w:val="00D12F3B"/>
    <w:rsid w:val="00D158D9"/>
    <w:rsid w:val="00D209A7"/>
    <w:rsid w:val="00D22D53"/>
    <w:rsid w:val="00D23608"/>
    <w:rsid w:val="00D25D9E"/>
    <w:rsid w:val="00D25EF7"/>
    <w:rsid w:val="00D30E03"/>
    <w:rsid w:val="00D32152"/>
    <w:rsid w:val="00D33669"/>
    <w:rsid w:val="00D375B6"/>
    <w:rsid w:val="00D3761B"/>
    <w:rsid w:val="00D404C8"/>
    <w:rsid w:val="00D41165"/>
    <w:rsid w:val="00D4397E"/>
    <w:rsid w:val="00D442EA"/>
    <w:rsid w:val="00D457EF"/>
    <w:rsid w:val="00D46E08"/>
    <w:rsid w:val="00D47604"/>
    <w:rsid w:val="00D53756"/>
    <w:rsid w:val="00D55E67"/>
    <w:rsid w:val="00D57453"/>
    <w:rsid w:val="00D64F2B"/>
    <w:rsid w:val="00D70651"/>
    <w:rsid w:val="00D74E78"/>
    <w:rsid w:val="00D75EFB"/>
    <w:rsid w:val="00D80AE0"/>
    <w:rsid w:val="00D81971"/>
    <w:rsid w:val="00D873FA"/>
    <w:rsid w:val="00D9690D"/>
    <w:rsid w:val="00D96D72"/>
    <w:rsid w:val="00D96F84"/>
    <w:rsid w:val="00DB05C6"/>
    <w:rsid w:val="00DB31DD"/>
    <w:rsid w:val="00DB3B7D"/>
    <w:rsid w:val="00DB4564"/>
    <w:rsid w:val="00DC0807"/>
    <w:rsid w:val="00DC20B4"/>
    <w:rsid w:val="00DC7D22"/>
    <w:rsid w:val="00DD2C9A"/>
    <w:rsid w:val="00DD48FD"/>
    <w:rsid w:val="00DD53BB"/>
    <w:rsid w:val="00DE40EB"/>
    <w:rsid w:val="00DE42DF"/>
    <w:rsid w:val="00DE54E4"/>
    <w:rsid w:val="00DF014E"/>
    <w:rsid w:val="00E04793"/>
    <w:rsid w:val="00E047F0"/>
    <w:rsid w:val="00E05AE1"/>
    <w:rsid w:val="00E05DEB"/>
    <w:rsid w:val="00E120B5"/>
    <w:rsid w:val="00E209DE"/>
    <w:rsid w:val="00E236C2"/>
    <w:rsid w:val="00E3640A"/>
    <w:rsid w:val="00E36CA8"/>
    <w:rsid w:val="00E51265"/>
    <w:rsid w:val="00E52169"/>
    <w:rsid w:val="00E56552"/>
    <w:rsid w:val="00E627C2"/>
    <w:rsid w:val="00E639CE"/>
    <w:rsid w:val="00E64B6C"/>
    <w:rsid w:val="00E7628D"/>
    <w:rsid w:val="00E777FE"/>
    <w:rsid w:val="00E83DDC"/>
    <w:rsid w:val="00E95629"/>
    <w:rsid w:val="00E971BB"/>
    <w:rsid w:val="00EA1281"/>
    <w:rsid w:val="00EA3967"/>
    <w:rsid w:val="00EA41B2"/>
    <w:rsid w:val="00EA5D14"/>
    <w:rsid w:val="00EB4210"/>
    <w:rsid w:val="00EB55A6"/>
    <w:rsid w:val="00EB7075"/>
    <w:rsid w:val="00EC6030"/>
    <w:rsid w:val="00ED156D"/>
    <w:rsid w:val="00ED5E35"/>
    <w:rsid w:val="00ED63CB"/>
    <w:rsid w:val="00ED7065"/>
    <w:rsid w:val="00ED77C9"/>
    <w:rsid w:val="00ED7D3B"/>
    <w:rsid w:val="00EE0A6A"/>
    <w:rsid w:val="00EE40E9"/>
    <w:rsid w:val="00EE4B99"/>
    <w:rsid w:val="00EF0207"/>
    <w:rsid w:val="00EF3CB7"/>
    <w:rsid w:val="00EF49B4"/>
    <w:rsid w:val="00EF6C57"/>
    <w:rsid w:val="00F00D9C"/>
    <w:rsid w:val="00F02395"/>
    <w:rsid w:val="00F03E8E"/>
    <w:rsid w:val="00F062A7"/>
    <w:rsid w:val="00F118E8"/>
    <w:rsid w:val="00F1452E"/>
    <w:rsid w:val="00F17854"/>
    <w:rsid w:val="00F215DC"/>
    <w:rsid w:val="00F2210F"/>
    <w:rsid w:val="00F30E72"/>
    <w:rsid w:val="00F345EE"/>
    <w:rsid w:val="00F34DC6"/>
    <w:rsid w:val="00F35672"/>
    <w:rsid w:val="00F402A6"/>
    <w:rsid w:val="00F403EF"/>
    <w:rsid w:val="00F40483"/>
    <w:rsid w:val="00F415AB"/>
    <w:rsid w:val="00F44F9C"/>
    <w:rsid w:val="00F47B47"/>
    <w:rsid w:val="00F501BA"/>
    <w:rsid w:val="00F55A40"/>
    <w:rsid w:val="00F56FB9"/>
    <w:rsid w:val="00F60CFC"/>
    <w:rsid w:val="00F62A5A"/>
    <w:rsid w:val="00F63509"/>
    <w:rsid w:val="00F65EFE"/>
    <w:rsid w:val="00F66902"/>
    <w:rsid w:val="00F7010D"/>
    <w:rsid w:val="00F703F0"/>
    <w:rsid w:val="00F719F9"/>
    <w:rsid w:val="00F7579B"/>
    <w:rsid w:val="00F7732D"/>
    <w:rsid w:val="00F828D9"/>
    <w:rsid w:val="00F87AA6"/>
    <w:rsid w:val="00F87F65"/>
    <w:rsid w:val="00F932F1"/>
    <w:rsid w:val="00FA2AC9"/>
    <w:rsid w:val="00FA5B64"/>
    <w:rsid w:val="00FB043D"/>
    <w:rsid w:val="00FB0E33"/>
    <w:rsid w:val="00FC0D93"/>
    <w:rsid w:val="00FC5268"/>
    <w:rsid w:val="00FC5FAA"/>
    <w:rsid w:val="00FC653B"/>
    <w:rsid w:val="00FD0DEA"/>
    <w:rsid w:val="00FD1C4D"/>
    <w:rsid w:val="00FD657E"/>
    <w:rsid w:val="00FE03BC"/>
    <w:rsid w:val="00FE24F5"/>
    <w:rsid w:val="00FE31C3"/>
    <w:rsid w:val="00FE3979"/>
    <w:rsid w:val="00FE3EDD"/>
    <w:rsid w:val="00FE5C5A"/>
    <w:rsid w:val="00FE653F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hAnsi="Times New Roman" w:cs="Narkisim"/>
    </w:rPr>
  </w:style>
  <w:style w:type="character" w:customStyle="1" w:styleId="a">
    <w:name w:val="ציטוט תו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B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6BA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6BA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B616BA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BA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9066B"/>
  </w:style>
  <w:style w:type="character" w:customStyle="1" w:styleId="aqj">
    <w:name w:val="aqj"/>
    <w:basedOn w:val="DefaultParagraphFont"/>
    <w:rsid w:val="0086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hAnsi="Times New Roman" w:cs="Narkisim"/>
    </w:rPr>
  </w:style>
  <w:style w:type="character" w:customStyle="1" w:styleId="a">
    <w:name w:val="ציטוט תו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B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6BA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6BA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B616BA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BA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9066B"/>
  </w:style>
  <w:style w:type="character" w:customStyle="1" w:styleId="aqj">
    <w:name w:val="aqj"/>
    <w:basedOn w:val="DefaultParagraphFont"/>
    <w:rsid w:val="0086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bm-torah.org/archive/blessings/34berakho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4FF4-C358-4A5C-9016-018FD043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1748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>Toshiba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creator>user</dc:creator>
  <cp:lastModifiedBy>tmpUser</cp:lastModifiedBy>
  <cp:revision>4</cp:revision>
  <dcterms:created xsi:type="dcterms:W3CDTF">2014-03-23T18:48:00Z</dcterms:created>
  <dcterms:modified xsi:type="dcterms:W3CDTF">2014-03-24T10:20:00Z</dcterms:modified>
</cp:coreProperties>
</file>