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E320D4">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E320D4">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E320D4">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E320D4">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E320D4">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E320D4">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E320D4">
      <w:pPr>
        <w:pStyle w:val="CC"/>
        <w:keepLines w:val="0"/>
        <w:tabs>
          <w:tab w:val="left" w:pos="2552"/>
        </w:tabs>
        <w:spacing w:after="0"/>
        <w:ind w:left="0" w:firstLine="0"/>
        <w:jc w:val="center"/>
        <w:rPr>
          <w:rFonts w:asciiTheme="minorBidi" w:hAnsiTheme="minorBidi" w:cstheme="minorBidi"/>
          <w:sz w:val="24"/>
          <w:szCs w:val="24"/>
        </w:rPr>
      </w:pPr>
    </w:p>
    <w:p w:rsidR="0014188A" w:rsidRPr="00386CCD" w:rsidRDefault="0014188A" w:rsidP="00E320D4">
      <w:pPr>
        <w:spacing w:after="0" w:line="240" w:lineRule="auto"/>
        <w:jc w:val="center"/>
        <w:outlineLvl w:val="0"/>
        <w:rPr>
          <w:rFonts w:asciiTheme="minorBidi" w:hAnsiTheme="minorBidi"/>
          <w:b/>
          <w:bCs/>
          <w:i/>
          <w:iCs/>
          <w:sz w:val="24"/>
          <w:szCs w:val="24"/>
        </w:rPr>
      </w:pPr>
      <w:r w:rsidRPr="000C1970">
        <w:rPr>
          <w:rFonts w:asciiTheme="minorBidi" w:hAnsiTheme="minorBidi"/>
          <w:b/>
          <w:bCs/>
          <w:i/>
          <w:iCs/>
          <w:sz w:val="24"/>
          <w:szCs w:val="24"/>
        </w:rPr>
        <w:t xml:space="preserve">PARASHAT </w:t>
      </w:r>
      <w:r w:rsidR="009E6695">
        <w:rPr>
          <w:rFonts w:asciiTheme="minorBidi" w:hAnsiTheme="minorBidi"/>
          <w:b/>
          <w:bCs/>
          <w:i/>
          <w:iCs/>
          <w:sz w:val="24"/>
          <w:szCs w:val="24"/>
        </w:rPr>
        <w:t>BEMIDBAR – 2</w:t>
      </w:r>
      <w:r w:rsidR="00BE4CE0">
        <w:rPr>
          <w:rFonts w:asciiTheme="minorBidi" w:hAnsiTheme="minorBidi"/>
          <w:b/>
          <w:bCs/>
          <w:i/>
          <w:iCs/>
          <w:sz w:val="24"/>
          <w:szCs w:val="24"/>
        </w:rPr>
        <w:t xml:space="preserve"> </w:t>
      </w:r>
      <w:r w:rsidR="009E6695">
        <w:rPr>
          <w:rFonts w:asciiTheme="minorBidi" w:hAnsiTheme="minorBidi"/>
          <w:b/>
          <w:bCs/>
          <w:i/>
          <w:iCs/>
          <w:sz w:val="24"/>
          <w:szCs w:val="24"/>
        </w:rPr>
        <w:t>SIVAN</w:t>
      </w:r>
    </w:p>
    <w:p w:rsidR="0014188A" w:rsidRPr="000C1970" w:rsidRDefault="0014188A" w:rsidP="00E320D4">
      <w:pPr>
        <w:spacing w:after="0" w:line="240" w:lineRule="auto"/>
        <w:jc w:val="center"/>
        <w:rPr>
          <w:rFonts w:asciiTheme="minorBidi" w:hAnsiTheme="minorBidi"/>
          <w:b/>
          <w:bCs/>
          <w:sz w:val="24"/>
          <w:szCs w:val="24"/>
        </w:rPr>
      </w:pPr>
    </w:p>
    <w:p w:rsidR="004A6EF7" w:rsidRPr="00386CCD" w:rsidRDefault="009E6695" w:rsidP="00E320D4">
      <w:pPr>
        <w:spacing w:after="0" w:line="240" w:lineRule="auto"/>
        <w:jc w:val="center"/>
        <w:outlineLvl w:val="0"/>
        <w:rPr>
          <w:rFonts w:asciiTheme="minorBidi" w:hAnsiTheme="minorBidi"/>
          <w:b/>
          <w:bCs/>
          <w:i/>
          <w:iCs/>
          <w:sz w:val="24"/>
          <w:szCs w:val="24"/>
        </w:rPr>
      </w:pPr>
      <w:r>
        <w:rPr>
          <w:rFonts w:asciiTheme="minorBidi" w:hAnsiTheme="minorBidi"/>
          <w:b/>
          <w:bCs/>
          <w:sz w:val="24"/>
          <w:szCs w:val="24"/>
        </w:rPr>
        <w:t>The Golan in the Torah</w:t>
      </w:r>
    </w:p>
    <w:p w:rsidR="00F7770D" w:rsidRPr="000C1970" w:rsidRDefault="00F7770D" w:rsidP="00E320D4">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Default="0077133E" w:rsidP="00E320D4">
      <w:pPr>
        <w:spacing w:after="0" w:line="240" w:lineRule="auto"/>
        <w:jc w:val="both"/>
        <w:rPr>
          <w:rFonts w:asciiTheme="minorBidi" w:hAnsiTheme="minorBidi"/>
          <w:b/>
          <w:bCs/>
          <w:sz w:val="24"/>
          <w:szCs w:val="24"/>
        </w:rPr>
      </w:pPr>
    </w:p>
    <w:p w:rsidR="00085ECB" w:rsidRPr="000C1970" w:rsidRDefault="00085ECB" w:rsidP="00E320D4">
      <w:pPr>
        <w:spacing w:after="0" w:line="240" w:lineRule="auto"/>
        <w:jc w:val="both"/>
        <w:rPr>
          <w:rFonts w:asciiTheme="minorBidi" w:hAnsiTheme="minorBidi"/>
          <w:b/>
          <w:bCs/>
          <w:sz w:val="24"/>
          <w:szCs w:val="24"/>
        </w:rPr>
      </w:pPr>
    </w:p>
    <w:p w:rsidR="00E13939" w:rsidRDefault="004E04BE" w:rsidP="00E320D4">
      <w:pPr>
        <w:spacing w:after="0" w:line="240" w:lineRule="auto"/>
        <w:jc w:val="both"/>
        <w:outlineLvl w:val="0"/>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Each year, </w:t>
      </w:r>
      <w:r>
        <w:rPr>
          <w:rFonts w:asciiTheme="minorBidi" w:hAnsiTheme="minorBidi"/>
          <w:i/>
          <w:iCs/>
          <w:sz w:val="24"/>
          <w:szCs w:val="24"/>
        </w:rPr>
        <w:t>Parashat Bemidbar</w:t>
      </w:r>
      <w:r>
        <w:rPr>
          <w:rFonts w:asciiTheme="minorBidi" w:hAnsiTheme="minorBidi"/>
          <w:sz w:val="24"/>
          <w:szCs w:val="24"/>
        </w:rPr>
        <w:t xml:space="preserve"> is read </w:t>
      </w:r>
      <w:r w:rsidR="00961B1F">
        <w:rPr>
          <w:rFonts w:asciiTheme="minorBidi" w:hAnsiTheme="minorBidi"/>
          <w:sz w:val="24"/>
          <w:szCs w:val="24"/>
        </w:rPr>
        <w:t xml:space="preserve">during or shortly before the beginning of the month of </w:t>
      </w:r>
      <w:r w:rsidR="00961B1F" w:rsidRPr="00C55CD3">
        <w:rPr>
          <w:rFonts w:asciiTheme="minorBidi" w:hAnsiTheme="minorBidi"/>
          <w:sz w:val="24"/>
          <w:szCs w:val="24"/>
        </w:rPr>
        <w:t>Sivan</w:t>
      </w:r>
      <w:r w:rsidR="00961B1F">
        <w:rPr>
          <w:rFonts w:asciiTheme="minorBidi" w:hAnsiTheme="minorBidi"/>
          <w:sz w:val="24"/>
          <w:szCs w:val="24"/>
        </w:rPr>
        <w:t xml:space="preserve">. Aside from their role in heralding the upcoming festival of </w:t>
      </w:r>
      <w:r w:rsidR="00961B1F">
        <w:rPr>
          <w:rFonts w:asciiTheme="minorBidi" w:hAnsiTheme="minorBidi"/>
          <w:i/>
          <w:iCs/>
          <w:sz w:val="24"/>
          <w:szCs w:val="24"/>
        </w:rPr>
        <w:t>Shavuot</w:t>
      </w:r>
      <w:r w:rsidR="00961B1F">
        <w:rPr>
          <w:rFonts w:asciiTheme="minorBidi" w:hAnsiTheme="minorBidi"/>
          <w:sz w:val="24"/>
          <w:szCs w:val="24"/>
        </w:rPr>
        <w:t xml:space="preserve">, the first two days of </w:t>
      </w:r>
      <w:r w:rsidR="00F433E8">
        <w:rPr>
          <w:rFonts w:asciiTheme="minorBidi" w:hAnsiTheme="minorBidi"/>
          <w:sz w:val="24"/>
          <w:szCs w:val="24"/>
        </w:rPr>
        <w:t xml:space="preserve">the month of </w:t>
      </w:r>
      <w:r w:rsidR="00961B1F" w:rsidRPr="00F433E8">
        <w:rPr>
          <w:rFonts w:asciiTheme="minorBidi" w:hAnsiTheme="minorBidi"/>
          <w:sz w:val="24"/>
          <w:szCs w:val="24"/>
        </w:rPr>
        <w:t>Sivan</w:t>
      </w:r>
      <w:r w:rsidR="00961B1F">
        <w:rPr>
          <w:rFonts w:asciiTheme="minorBidi" w:hAnsiTheme="minorBidi"/>
          <w:sz w:val="24"/>
          <w:szCs w:val="24"/>
        </w:rPr>
        <w:t xml:space="preserve"> have taken on a special significance in the last several decades, as these days in 1967 were the fifth and sixth days of the Six-Day War, when we merited receiving an incredible and unique divine gift: the Golan Heights. In 1967, these two days fell out on</w:t>
      </w:r>
      <w:r w:rsidR="001143BA">
        <w:rPr>
          <w:rFonts w:asciiTheme="minorBidi" w:hAnsiTheme="minorBidi"/>
          <w:sz w:val="24"/>
          <w:szCs w:val="24"/>
        </w:rPr>
        <w:t xml:space="preserve"> Friday and Shabbat, June 9-10. As a final operation ending those six days of salvation, seven brigades of Israeli soldiers advanced to the Golan Heights and the slopes of Mount Hermon. </w:t>
      </w:r>
      <w:r w:rsidR="00BE4CE0">
        <w:rPr>
          <w:rFonts w:asciiTheme="minorBidi" w:hAnsiTheme="minorBidi"/>
          <w:sz w:val="24"/>
          <w:szCs w:val="24"/>
        </w:rPr>
        <w:t xml:space="preserve">For years leading up to the Six-Day War, </w:t>
      </w:r>
      <w:r w:rsidR="001143BA">
        <w:rPr>
          <w:rFonts w:asciiTheme="minorBidi" w:hAnsiTheme="minorBidi"/>
          <w:sz w:val="24"/>
          <w:szCs w:val="24"/>
        </w:rPr>
        <w:t xml:space="preserve">the Syrians </w:t>
      </w:r>
      <w:r w:rsidR="00BE4CE0">
        <w:rPr>
          <w:rFonts w:asciiTheme="minorBidi" w:hAnsiTheme="minorBidi"/>
          <w:sz w:val="24"/>
          <w:szCs w:val="24"/>
        </w:rPr>
        <w:t>had been firing</w:t>
      </w:r>
      <w:r w:rsidR="001143BA">
        <w:rPr>
          <w:rFonts w:asciiTheme="minorBidi" w:hAnsiTheme="minorBidi"/>
          <w:sz w:val="24"/>
          <w:szCs w:val="24"/>
        </w:rPr>
        <w:t xml:space="preserve"> artillery shells at the towns in the Hula Valley </w:t>
      </w:r>
      <w:r w:rsidR="00BE4CE0">
        <w:rPr>
          <w:rFonts w:asciiTheme="minorBidi" w:hAnsiTheme="minorBidi"/>
          <w:sz w:val="24"/>
          <w:szCs w:val="24"/>
        </w:rPr>
        <w:t xml:space="preserve">and the Jordan Valley from their position in the Golan, and these attacks increased dramatically during the first few days of the War. In addition, the Syrians built a diversion canal in the Golan with the purpose of robbing Israel of its share of the Jordan’s waters. </w:t>
      </w:r>
    </w:p>
    <w:p w:rsidR="00E13939" w:rsidRDefault="00E13939" w:rsidP="00E320D4">
      <w:pPr>
        <w:spacing w:after="0" w:line="240" w:lineRule="auto"/>
        <w:jc w:val="both"/>
        <w:outlineLvl w:val="0"/>
        <w:rPr>
          <w:rFonts w:asciiTheme="minorBidi" w:hAnsiTheme="minorBidi"/>
          <w:sz w:val="24"/>
          <w:szCs w:val="24"/>
        </w:rPr>
      </w:pPr>
    </w:p>
    <w:p w:rsidR="00E13939" w:rsidRDefault="00E13939" w:rsidP="00E320D4">
      <w:pPr>
        <w:keepNext/>
        <w:spacing w:after="0" w:line="240" w:lineRule="auto"/>
        <w:jc w:val="center"/>
        <w:outlineLvl w:val="0"/>
      </w:pPr>
      <w:r>
        <w:rPr>
          <w:rFonts w:asciiTheme="minorBidi" w:hAnsiTheme="minorBidi"/>
          <w:noProof/>
          <w:sz w:val="24"/>
          <w:szCs w:val="24"/>
        </w:rPr>
        <w:drawing>
          <wp:inline distT="0" distB="0" distL="0" distR="0" wp14:anchorId="16564C7B" wp14:editId="07C0D2FE">
            <wp:extent cx="4245090" cy="3077678"/>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קצרין - רוטקוף.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1628" cy="3075168"/>
                    </a:xfrm>
                    <a:prstGeom prst="rect">
                      <a:avLst/>
                    </a:prstGeom>
                  </pic:spPr>
                </pic:pic>
              </a:graphicData>
            </a:graphic>
          </wp:inline>
        </w:drawing>
      </w:r>
    </w:p>
    <w:p w:rsidR="00E13939" w:rsidRPr="00E320D4" w:rsidRDefault="00E13939" w:rsidP="00E320D4">
      <w:pPr>
        <w:pStyle w:val="Caption"/>
        <w:jc w:val="center"/>
        <w:rPr>
          <w:rFonts w:asciiTheme="minorBidi" w:hAnsiTheme="minorBidi"/>
          <w:sz w:val="20"/>
          <w:szCs w:val="20"/>
        </w:rPr>
      </w:pPr>
      <w:r>
        <w:rPr>
          <w:rFonts w:asciiTheme="minorBidi" w:hAnsiTheme="minorBidi"/>
          <w:b w:val="0"/>
          <w:bCs w:val="0"/>
          <w:color w:val="auto"/>
          <w:sz w:val="20"/>
          <w:szCs w:val="20"/>
        </w:rPr>
        <w:t>Ancient synagogue at Katzrin, a Jewish settlement from the Talmudic period that became a flourishing modern Israeli city. (Courtesy of Dr. Zev Rothkoff)</w:t>
      </w:r>
    </w:p>
    <w:p w:rsidR="00E13939" w:rsidRDefault="00E13939" w:rsidP="00E320D4">
      <w:pPr>
        <w:spacing w:after="0" w:line="240" w:lineRule="auto"/>
        <w:jc w:val="both"/>
        <w:outlineLvl w:val="0"/>
        <w:rPr>
          <w:rFonts w:asciiTheme="minorBidi" w:hAnsiTheme="minorBidi"/>
          <w:sz w:val="24"/>
          <w:szCs w:val="24"/>
        </w:rPr>
      </w:pPr>
    </w:p>
    <w:p w:rsidR="004E04BE" w:rsidRDefault="00BE4CE0" w:rsidP="00E320D4">
      <w:pPr>
        <w:spacing w:after="0" w:line="240" w:lineRule="auto"/>
        <w:ind w:firstLine="720"/>
        <w:jc w:val="both"/>
        <w:outlineLvl w:val="0"/>
        <w:rPr>
          <w:rFonts w:asciiTheme="minorBidi" w:hAnsiTheme="minorBidi"/>
          <w:sz w:val="24"/>
          <w:szCs w:val="24"/>
        </w:rPr>
      </w:pPr>
      <w:r>
        <w:rPr>
          <w:rFonts w:asciiTheme="minorBidi" w:hAnsiTheme="minorBidi"/>
          <w:sz w:val="24"/>
          <w:szCs w:val="24"/>
        </w:rPr>
        <w:lastRenderedPageBreak/>
        <w:t xml:space="preserve">The advance on the Golan, the subject of which had been mired in internal debates among the military and state leadership, began </w:t>
      </w:r>
      <w:r w:rsidR="00F433E8">
        <w:rPr>
          <w:rFonts w:asciiTheme="minorBidi" w:hAnsiTheme="minorBidi"/>
          <w:sz w:val="24"/>
          <w:szCs w:val="24"/>
        </w:rPr>
        <w:t xml:space="preserve">on Friday, 1 Sivan </w:t>
      </w:r>
      <w:r>
        <w:rPr>
          <w:rFonts w:asciiTheme="minorBidi" w:hAnsiTheme="minorBidi"/>
          <w:sz w:val="24"/>
          <w:szCs w:val="24"/>
        </w:rPr>
        <w:t xml:space="preserve">with difficult battles </w:t>
      </w:r>
      <w:r w:rsidR="00F433E8">
        <w:rPr>
          <w:rFonts w:asciiTheme="minorBidi" w:hAnsiTheme="minorBidi"/>
          <w:sz w:val="24"/>
          <w:szCs w:val="24"/>
        </w:rPr>
        <w:t xml:space="preserve">that continued through Friday night, killing many soldiers and wounding many as well. A dramatic, perhaps even miraculous turning point occurred the next morning. The Syrian command received the erroneous impression that the battle for the Golan was lost, and was suddenly seized by tremendous fear. </w:t>
      </w:r>
      <w:r w:rsidR="00C22BE6">
        <w:rPr>
          <w:rFonts w:asciiTheme="minorBidi" w:hAnsiTheme="minorBidi"/>
          <w:sz w:val="24"/>
          <w:szCs w:val="24"/>
        </w:rPr>
        <w:t xml:space="preserve">The Syrian </w:t>
      </w:r>
      <w:r w:rsidR="0056085C">
        <w:rPr>
          <w:rFonts w:asciiTheme="minorBidi" w:hAnsiTheme="minorBidi"/>
          <w:sz w:val="24"/>
          <w:szCs w:val="24"/>
        </w:rPr>
        <w:t xml:space="preserve">chief of staff instructed all Syrian forces to destroy their posts and to retreat past Quneitra for the purpose of defending Damascus, the Syrian capital. Damascus Radio broadcast the erroneous report that Quneitra had fallen to the Zionists, causing </w:t>
      </w:r>
      <w:r w:rsidR="00761B53">
        <w:rPr>
          <w:rFonts w:asciiTheme="minorBidi" w:hAnsiTheme="minorBidi"/>
          <w:sz w:val="24"/>
          <w:szCs w:val="24"/>
        </w:rPr>
        <w:t>a mass exodus of Syrian soldiers and civilians eastward, accompanied by clouds of smoke from the bombing of their own outposts and stations. Israel immediately took advantage of this opportunity and stormed ahead to Quneitra and the Ruqad River, which flows north-south along the eastern side of the Golan Heights in the direction of the Yarmouk River. When th</w:t>
      </w:r>
      <w:r w:rsidR="00B92D0B">
        <w:rPr>
          <w:rFonts w:asciiTheme="minorBidi" w:hAnsiTheme="minorBidi"/>
          <w:sz w:val="24"/>
          <w:szCs w:val="24"/>
        </w:rPr>
        <w:t>e Golan</w:t>
      </w:r>
      <w:r w:rsidR="00EA38FD">
        <w:rPr>
          <w:rFonts w:asciiTheme="minorBidi" w:hAnsiTheme="minorBidi"/>
          <w:sz w:val="24"/>
          <w:szCs w:val="24"/>
        </w:rPr>
        <w:t xml:space="preserve"> region</w:t>
      </w:r>
      <w:r w:rsidR="00B92D0B">
        <w:rPr>
          <w:rFonts w:asciiTheme="minorBidi" w:hAnsiTheme="minorBidi"/>
          <w:sz w:val="24"/>
          <w:szCs w:val="24"/>
        </w:rPr>
        <w:t xml:space="preserve">, </w:t>
      </w:r>
      <w:r w:rsidR="00761B53">
        <w:rPr>
          <w:rFonts w:asciiTheme="minorBidi" w:hAnsiTheme="minorBidi"/>
          <w:sz w:val="24"/>
          <w:szCs w:val="24"/>
        </w:rPr>
        <w:t>with its prominent open plains, abundant water and beautiful streams, fell into Israeli hands, it was entirely devoid of inhabitants.</w:t>
      </w:r>
      <w:r w:rsidR="00984F76">
        <w:rPr>
          <w:rFonts w:asciiTheme="minorBidi" w:hAnsiTheme="minorBidi"/>
          <w:sz w:val="24"/>
          <w:szCs w:val="24"/>
        </w:rPr>
        <w:t xml:space="preserve"> Afterward, ancient synagogues and </w:t>
      </w:r>
      <w:r w:rsidR="00984F76">
        <w:rPr>
          <w:rFonts w:asciiTheme="minorBidi" w:hAnsiTheme="minorBidi"/>
          <w:i/>
          <w:iCs/>
          <w:sz w:val="24"/>
          <w:szCs w:val="24"/>
        </w:rPr>
        <w:t>batei midrash</w:t>
      </w:r>
      <w:r w:rsidR="00984F76">
        <w:rPr>
          <w:rFonts w:asciiTheme="minorBidi" w:hAnsiTheme="minorBidi"/>
          <w:sz w:val="24"/>
          <w:szCs w:val="24"/>
        </w:rPr>
        <w:t xml:space="preserve"> – including that of Rabbi Eliezer Ha-Kappar</w:t>
      </w:r>
      <w:r w:rsidR="00B92D0B">
        <w:rPr>
          <w:rStyle w:val="FootnoteReference"/>
          <w:rFonts w:asciiTheme="minorBidi" w:hAnsiTheme="minorBidi"/>
          <w:sz w:val="24"/>
          <w:szCs w:val="24"/>
        </w:rPr>
        <w:footnoteReference w:id="1"/>
      </w:r>
      <w:r w:rsidR="00984F76">
        <w:rPr>
          <w:rFonts w:asciiTheme="minorBidi" w:hAnsiTheme="minorBidi"/>
          <w:sz w:val="24"/>
          <w:szCs w:val="24"/>
        </w:rPr>
        <w:t xml:space="preserve"> – were discovered, </w:t>
      </w:r>
      <w:r w:rsidR="0089348A">
        <w:rPr>
          <w:rFonts w:asciiTheme="minorBidi" w:hAnsiTheme="minorBidi"/>
          <w:sz w:val="24"/>
          <w:szCs w:val="24"/>
        </w:rPr>
        <w:t xml:space="preserve">many </w:t>
      </w:r>
      <w:r w:rsidR="00DC7948" w:rsidRPr="00E320D4">
        <w:rPr>
          <w:rFonts w:asciiTheme="minorBidi" w:hAnsiTheme="minorBidi"/>
          <w:sz w:val="24"/>
          <w:szCs w:val="24"/>
        </w:rPr>
        <w:t>settlements</w:t>
      </w:r>
      <w:r w:rsidR="0089348A" w:rsidRPr="00E320D4">
        <w:rPr>
          <w:rFonts w:asciiTheme="minorBidi" w:hAnsiTheme="minorBidi"/>
          <w:sz w:val="24"/>
          <w:szCs w:val="24"/>
        </w:rPr>
        <w:t xml:space="preserve"> and one city</w:t>
      </w:r>
      <w:r w:rsidR="00984F76" w:rsidRPr="000E115F">
        <w:rPr>
          <w:rFonts w:asciiTheme="minorBidi" w:hAnsiTheme="minorBidi"/>
          <w:sz w:val="24"/>
          <w:szCs w:val="24"/>
        </w:rPr>
        <w:t xml:space="preserve"> </w:t>
      </w:r>
      <w:r w:rsidR="00984F76">
        <w:rPr>
          <w:rFonts w:asciiTheme="minorBidi" w:hAnsiTheme="minorBidi"/>
          <w:sz w:val="24"/>
          <w:szCs w:val="24"/>
        </w:rPr>
        <w:t xml:space="preserve">were founded, agriculture and cattle-raising infrastructure was established and the nation of Israel arrived (and continues to arrive) en masse to </w:t>
      </w:r>
      <w:r w:rsidR="00B92D0B">
        <w:rPr>
          <w:rFonts w:asciiTheme="minorBidi" w:hAnsiTheme="minorBidi"/>
          <w:sz w:val="24"/>
          <w:szCs w:val="24"/>
        </w:rPr>
        <w:t>tour in the beautiful Golan. On December 14, 1981, the Israeli Knesset passed the Golan Heights Law, which applied Israel’s laws and government to the Golan Heights.</w:t>
      </w:r>
      <w:r w:rsidR="00116D0A">
        <w:rPr>
          <w:rStyle w:val="FootnoteReference"/>
          <w:rFonts w:asciiTheme="minorBidi" w:hAnsiTheme="minorBidi"/>
          <w:sz w:val="24"/>
          <w:szCs w:val="24"/>
        </w:rPr>
        <w:footnoteReference w:id="2"/>
      </w:r>
    </w:p>
    <w:p w:rsidR="00E320D4" w:rsidRDefault="00E320D4" w:rsidP="00E320D4">
      <w:pPr>
        <w:spacing w:after="0" w:line="240" w:lineRule="auto"/>
        <w:ind w:firstLine="720"/>
        <w:jc w:val="both"/>
        <w:outlineLvl w:val="0"/>
        <w:rPr>
          <w:rFonts w:asciiTheme="minorBidi" w:hAnsiTheme="minorBidi"/>
          <w:sz w:val="24"/>
          <w:szCs w:val="24"/>
        </w:rPr>
      </w:pPr>
    </w:p>
    <w:p w:rsidR="00E320D4" w:rsidRDefault="00B828A9" w:rsidP="00E320D4">
      <w:pPr>
        <w:spacing w:after="0" w:line="240" w:lineRule="auto"/>
        <w:ind w:firstLine="720"/>
        <w:jc w:val="both"/>
        <w:outlineLvl w:val="0"/>
        <w:rPr>
          <w:rFonts w:asciiTheme="minorBidi" w:hAnsiTheme="minorBidi"/>
          <w:sz w:val="24"/>
          <w:szCs w:val="24"/>
        </w:rPr>
      </w:pPr>
      <w:r>
        <w:rPr>
          <w:rFonts w:asciiTheme="minorBidi" w:hAnsiTheme="minorBidi"/>
          <w:noProof/>
          <w:sz w:val="24"/>
          <w:szCs w:val="24"/>
        </w:rPr>
        <w:lastRenderedPageBreak/>
        <w:drawing>
          <wp:inline distT="0" distB="0" distL="0" distR="0">
            <wp:extent cx="4329684" cy="4974336"/>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4geo-map.jpg"/>
                    <pic:cNvPicPr/>
                  </pic:nvPicPr>
                  <pic:blipFill>
                    <a:blip r:embed="rId10">
                      <a:extLst>
                        <a:ext uri="{28A0092B-C50C-407E-A947-70E740481C1C}">
                          <a14:useLocalDpi xmlns:a14="http://schemas.microsoft.com/office/drawing/2010/main" val="0"/>
                        </a:ext>
                      </a:extLst>
                    </a:blip>
                    <a:stretch>
                      <a:fillRect/>
                    </a:stretch>
                  </pic:blipFill>
                  <pic:spPr>
                    <a:xfrm>
                      <a:off x="0" y="0"/>
                      <a:ext cx="4329684" cy="4974336"/>
                    </a:xfrm>
                    <a:prstGeom prst="rect">
                      <a:avLst/>
                    </a:prstGeom>
                  </pic:spPr>
                </pic:pic>
              </a:graphicData>
            </a:graphic>
          </wp:inline>
        </w:drawing>
      </w:r>
    </w:p>
    <w:p w:rsidR="00B92D0B" w:rsidRDefault="00B92D0B" w:rsidP="00E320D4">
      <w:pPr>
        <w:spacing w:after="0" w:line="240" w:lineRule="auto"/>
        <w:jc w:val="both"/>
        <w:outlineLvl w:val="0"/>
        <w:rPr>
          <w:rFonts w:asciiTheme="minorBidi" w:hAnsiTheme="minorBidi"/>
          <w:sz w:val="24"/>
          <w:szCs w:val="24"/>
        </w:rPr>
      </w:pPr>
    </w:p>
    <w:p w:rsidR="00B92D0B" w:rsidRDefault="00B92D0B" w:rsidP="00E320D4">
      <w:pPr>
        <w:spacing w:after="0" w:line="240" w:lineRule="auto"/>
        <w:jc w:val="both"/>
        <w:outlineLvl w:val="0"/>
        <w:rPr>
          <w:rFonts w:asciiTheme="minorBidi" w:hAnsiTheme="minorBidi"/>
          <w:b/>
          <w:bCs/>
          <w:sz w:val="24"/>
          <w:szCs w:val="24"/>
        </w:rPr>
      </w:pPr>
      <w:r>
        <w:rPr>
          <w:rFonts w:asciiTheme="minorBidi" w:hAnsiTheme="minorBidi"/>
          <w:b/>
          <w:bCs/>
          <w:sz w:val="24"/>
          <w:szCs w:val="24"/>
        </w:rPr>
        <w:t>Golan: A City that Gave its Name to a Region</w:t>
      </w:r>
    </w:p>
    <w:p w:rsidR="00B92D0B" w:rsidRDefault="00B92D0B" w:rsidP="00E320D4">
      <w:pPr>
        <w:spacing w:after="0" w:line="240" w:lineRule="auto"/>
        <w:jc w:val="both"/>
        <w:outlineLvl w:val="0"/>
        <w:rPr>
          <w:rFonts w:asciiTheme="minorBidi" w:hAnsiTheme="minorBidi"/>
          <w:b/>
          <w:bCs/>
          <w:sz w:val="24"/>
          <w:szCs w:val="24"/>
        </w:rPr>
      </w:pPr>
    </w:p>
    <w:p w:rsidR="00B92D0B" w:rsidRDefault="00B92D0B" w:rsidP="00E320D4">
      <w:pPr>
        <w:spacing w:after="0" w:line="240" w:lineRule="auto"/>
        <w:jc w:val="both"/>
        <w:outlineLvl w:val="0"/>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In the </w:t>
      </w:r>
      <w:r>
        <w:rPr>
          <w:rFonts w:asciiTheme="minorBidi" w:hAnsiTheme="minorBidi"/>
          <w:i/>
          <w:iCs/>
          <w:sz w:val="24"/>
          <w:szCs w:val="24"/>
        </w:rPr>
        <w:t>Tanakh</w:t>
      </w:r>
      <w:r>
        <w:rPr>
          <w:rFonts w:asciiTheme="minorBidi" w:hAnsiTheme="minorBidi"/>
          <w:sz w:val="24"/>
          <w:szCs w:val="24"/>
        </w:rPr>
        <w:t xml:space="preserve">, the name </w:t>
      </w:r>
      <w:r w:rsidRPr="00BF46FF">
        <w:rPr>
          <w:rFonts w:asciiTheme="minorBidi" w:hAnsiTheme="minorBidi"/>
          <w:i/>
          <w:iCs/>
          <w:sz w:val="24"/>
          <w:szCs w:val="24"/>
        </w:rPr>
        <w:t>Golan</w:t>
      </w:r>
      <w:r w:rsidR="00BF46FF">
        <w:rPr>
          <w:rStyle w:val="FootnoteReference"/>
          <w:rFonts w:asciiTheme="minorBidi" w:hAnsiTheme="minorBidi"/>
          <w:sz w:val="24"/>
          <w:szCs w:val="24"/>
        </w:rPr>
        <w:footnoteReference w:id="3"/>
      </w:r>
      <w:r>
        <w:rPr>
          <w:rFonts w:asciiTheme="minorBidi" w:hAnsiTheme="minorBidi"/>
          <w:sz w:val="24"/>
          <w:szCs w:val="24"/>
        </w:rPr>
        <w:t xml:space="preserve"> refers to a city of refuge and Levite city located in the Bashan region.</w:t>
      </w:r>
      <w:r w:rsidR="00EA38FD">
        <w:rPr>
          <w:rFonts w:asciiTheme="minorBidi" w:hAnsiTheme="minorBidi"/>
          <w:sz w:val="24"/>
          <w:szCs w:val="24"/>
        </w:rPr>
        <w:t xml:space="preserve"> Josephus referred to the city as </w:t>
      </w:r>
      <w:r w:rsidR="00EA38FD">
        <w:rPr>
          <w:rFonts w:asciiTheme="minorBidi" w:hAnsiTheme="minorBidi"/>
          <w:b/>
          <w:bCs/>
          <w:sz w:val="24"/>
          <w:szCs w:val="24"/>
        </w:rPr>
        <w:t>Gaulana</w:t>
      </w:r>
      <w:r w:rsidR="00EA38FD">
        <w:rPr>
          <w:rFonts w:asciiTheme="minorBidi" w:hAnsiTheme="minorBidi"/>
          <w:sz w:val="24"/>
          <w:szCs w:val="24"/>
        </w:rPr>
        <w:t>, mentioning it in its Biblical context as a city of refuge (</w:t>
      </w:r>
      <w:r w:rsidR="00EA38FD">
        <w:rPr>
          <w:rFonts w:asciiTheme="minorBidi" w:hAnsiTheme="minorBidi"/>
          <w:i/>
          <w:iCs/>
          <w:sz w:val="24"/>
          <w:szCs w:val="24"/>
        </w:rPr>
        <w:t xml:space="preserve">Antiquities </w:t>
      </w:r>
      <w:r w:rsidR="00EA38FD">
        <w:rPr>
          <w:rFonts w:asciiTheme="minorBidi" w:hAnsiTheme="minorBidi"/>
          <w:sz w:val="24"/>
          <w:szCs w:val="24"/>
        </w:rPr>
        <w:t>4:173) and in a later context, among the conquests of Alexander Jannaeus (</w:t>
      </w:r>
      <w:r w:rsidR="00EA38FD">
        <w:rPr>
          <w:rFonts w:asciiTheme="minorBidi" w:hAnsiTheme="minorBidi"/>
          <w:i/>
          <w:iCs/>
          <w:sz w:val="24"/>
          <w:szCs w:val="24"/>
        </w:rPr>
        <w:t xml:space="preserve">Antiquities </w:t>
      </w:r>
      <w:r w:rsidR="00EA38FD">
        <w:rPr>
          <w:rFonts w:asciiTheme="minorBidi" w:hAnsiTheme="minorBidi"/>
          <w:sz w:val="24"/>
          <w:szCs w:val="24"/>
        </w:rPr>
        <w:t xml:space="preserve">13:393). However, the Golan </w:t>
      </w:r>
      <w:r w:rsidR="00EA38FD">
        <w:rPr>
          <w:rFonts w:asciiTheme="minorBidi" w:hAnsiTheme="minorBidi"/>
          <w:b/>
          <w:bCs/>
          <w:sz w:val="24"/>
          <w:szCs w:val="24"/>
        </w:rPr>
        <w:t>region</w:t>
      </w:r>
      <w:r w:rsidR="00EA38FD">
        <w:rPr>
          <w:rFonts w:asciiTheme="minorBidi" w:hAnsiTheme="minorBidi"/>
          <w:sz w:val="24"/>
          <w:szCs w:val="24"/>
        </w:rPr>
        <w:t xml:space="preserve"> features more prominently and more frequently in Josephus’ writings, under the Greek name Gaulanitis or </w:t>
      </w:r>
      <w:r w:rsidR="00EA38FD" w:rsidRPr="00EA38FD">
        <w:rPr>
          <w:rFonts w:asciiTheme="minorBidi" w:eastAsia="TimesNewRomanPSMT" w:hAnsiTheme="minorBidi"/>
          <w:sz w:val="24"/>
          <w:szCs w:val="24"/>
        </w:rPr>
        <w:t>Gaulanitikē</w:t>
      </w:r>
      <w:r w:rsidR="00EA38FD">
        <w:rPr>
          <w:rFonts w:asciiTheme="minorBidi" w:eastAsia="TimesNewRomanPSMT" w:hAnsiTheme="minorBidi"/>
          <w:sz w:val="24"/>
          <w:szCs w:val="24"/>
        </w:rPr>
        <w:t xml:space="preserve">, and his writings even distinguish between the Upper Golan and the Lower Golan. </w:t>
      </w:r>
      <w:r w:rsidR="00EA38FD">
        <w:rPr>
          <w:rFonts w:asciiTheme="minorBidi" w:hAnsiTheme="minorBidi"/>
          <w:sz w:val="24"/>
          <w:szCs w:val="24"/>
        </w:rPr>
        <w:t xml:space="preserve">Rabbinic literature </w:t>
      </w:r>
      <w:r w:rsidR="00785532">
        <w:rPr>
          <w:rFonts w:asciiTheme="minorBidi" w:hAnsiTheme="minorBidi"/>
          <w:sz w:val="24"/>
          <w:szCs w:val="24"/>
        </w:rPr>
        <w:t>mentions a</w:t>
      </w:r>
      <w:r w:rsidR="00EA38FD">
        <w:rPr>
          <w:rFonts w:asciiTheme="minorBidi" w:hAnsiTheme="minorBidi"/>
          <w:sz w:val="24"/>
          <w:szCs w:val="24"/>
        </w:rPr>
        <w:t xml:space="preserve"> </w:t>
      </w:r>
      <w:r w:rsidR="00785532">
        <w:rPr>
          <w:rFonts w:asciiTheme="minorBidi" w:hAnsiTheme="minorBidi"/>
          <w:sz w:val="24"/>
          <w:szCs w:val="24"/>
        </w:rPr>
        <w:t>place called</w:t>
      </w:r>
      <w:r w:rsidR="00EA38FD">
        <w:rPr>
          <w:rFonts w:asciiTheme="minorBidi" w:hAnsiTheme="minorBidi"/>
          <w:sz w:val="24"/>
          <w:szCs w:val="24"/>
        </w:rPr>
        <w:t xml:space="preserve"> </w:t>
      </w:r>
      <w:r w:rsidR="00EA38FD">
        <w:rPr>
          <w:rFonts w:asciiTheme="minorBidi" w:hAnsiTheme="minorBidi"/>
          <w:i/>
          <w:iCs/>
          <w:sz w:val="24"/>
          <w:szCs w:val="24"/>
        </w:rPr>
        <w:t>Ha-Gavlan</w:t>
      </w:r>
      <w:r w:rsidR="00EA38FD">
        <w:rPr>
          <w:rFonts w:asciiTheme="minorBidi" w:hAnsiTheme="minorBidi"/>
          <w:sz w:val="24"/>
          <w:szCs w:val="24"/>
        </w:rPr>
        <w:t xml:space="preserve">, or in Aramaic, </w:t>
      </w:r>
      <w:r w:rsidR="00EA38FD">
        <w:rPr>
          <w:rFonts w:asciiTheme="minorBidi" w:hAnsiTheme="minorBidi"/>
          <w:i/>
          <w:iCs/>
          <w:sz w:val="24"/>
          <w:szCs w:val="24"/>
        </w:rPr>
        <w:t>Gavlana</w:t>
      </w:r>
      <w:r w:rsidR="00EA38FD">
        <w:rPr>
          <w:rFonts w:asciiTheme="minorBidi" w:hAnsiTheme="minorBidi"/>
          <w:sz w:val="24"/>
          <w:szCs w:val="24"/>
        </w:rPr>
        <w:t xml:space="preserve"> </w:t>
      </w:r>
      <w:r w:rsidR="00785532">
        <w:rPr>
          <w:rFonts w:asciiTheme="minorBidi" w:hAnsiTheme="minorBidi"/>
          <w:sz w:val="24"/>
          <w:szCs w:val="24"/>
        </w:rPr>
        <w:t xml:space="preserve">or </w:t>
      </w:r>
      <w:r w:rsidR="00785532">
        <w:rPr>
          <w:rFonts w:asciiTheme="minorBidi" w:hAnsiTheme="minorBidi"/>
          <w:i/>
          <w:iCs/>
          <w:sz w:val="24"/>
          <w:szCs w:val="24"/>
        </w:rPr>
        <w:t>Gavlona</w:t>
      </w:r>
      <w:r w:rsidR="00785532">
        <w:rPr>
          <w:rFonts w:asciiTheme="minorBidi" w:hAnsiTheme="minorBidi"/>
          <w:sz w:val="24"/>
          <w:szCs w:val="24"/>
        </w:rPr>
        <w:t xml:space="preserve">, a region that is equivalent to the Galilee: “In the footsteps of the Messiah… </w:t>
      </w:r>
      <w:r w:rsidR="004302EB">
        <w:rPr>
          <w:rFonts w:asciiTheme="minorBidi" w:hAnsiTheme="minorBidi"/>
          <w:sz w:val="24"/>
          <w:szCs w:val="24"/>
        </w:rPr>
        <w:t>Galilee will be destroyed, Gablan (</w:t>
      </w:r>
      <w:r w:rsidR="004302EB">
        <w:rPr>
          <w:rFonts w:asciiTheme="minorBidi" w:hAnsiTheme="minorBidi"/>
          <w:i/>
          <w:iCs/>
          <w:sz w:val="24"/>
          <w:szCs w:val="24"/>
        </w:rPr>
        <w:t>Ha-Gavlan</w:t>
      </w:r>
      <w:r w:rsidR="004302EB">
        <w:rPr>
          <w:rFonts w:asciiTheme="minorBidi" w:hAnsiTheme="minorBidi"/>
          <w:sz w:val="24"/>
          <w:szCs w:val="24"/>
        </w:rPr>
        <w:t>) desolated” (</w:t>
      </w:r>
      <w:r w:rsidR="004302EB">
        <w:rPr>
          <w:rFonts w:asciiTheme="minorBidi" w:hAnsiTheme="minorBidi"/>
          <w:i/>
          <w:iCs/>
          <w:sz w:val="24"/>
          <w:szCs w:val="24"/>
        </w:rPr>
        <w:t>Mishna Sota</w:t>
      </w:r>
      <w:r w:rsidR="004302EB">
        <w:rPr>
          <w:rFonts w:asciiTheme="minorBidi" w:hAnsiTheme="minorBidi"/>
          <w:sz w:val="24"/>
          <w:szCs w:val="24"/>
        </w:rPr>
        <w:t xml:space="preserve"> 9:15). There is no settlement in Rabbinic literature called </w:t>
      </w:r>
      <w:r w:rsidR="004302EB">
        <w:rPr>
          <w:rFonts w:asciiTheme="minorBidi" w:hAnsiTheme="minorBidi"/>
          <w:i/>
          <w:iCs/>
          <w:sz w:val="24"/>
          <w:szCs w:val="24"/>
        </w:rPr>
        <w:t>Golan</w:t>
      </w:r>
      <w:r w:rsidR="004302EB">
        <w:rPr>
          <w:rFonts w:asciiTheme="minorBidi" w:hAnsiTheme="minorBidi"/>
          <w:sz w:val="24"/>
          <w:szCs w:val="24"/>
        </w:rPr>
        <w:t xml:space="preserve"> or </w:t>
      </w:r>
      <w:r w:rsidR="004302EB">
        <w:rPr>
          <w:rFonts w:asciiTheme="minorBidi" w:hAnsiTheme="minorBidi"/>
          <w:i/>
          <w:iCs/>
          <w:sz w:val="24"/>
          <w:szCs w:val="24"/>
        </w:rPr>
        <w:t>Gavlan</w:t>
      </w:r>
      <w:r w:rsidR="004302EB">
        <w:rPr>
          <w:rFonts w:asciiTheme="minorBidi" w:hAnsiTheme="minorBidi"/>
          <w:sz w:val="24"/>
          <w:szCs w:val="24"/>
        </w:rPr>
        <w:t xml:space="preserve">, but Eusebius, who lived during the time of the </w:t>
      </w:r>
      <w:r w:rsidR="004302EB" w:rsidRPr="004302EB">
        <w:rPr>
          <w:rFonts w:asciiTheme="minorBidi" w:hAnsiTheme="minorBidi"/>
          <w:i/>
          <w:iCs/>
          <w:sz w:val="24"/>
          <w:szCs w:val="24"/>
        </w:rPr>
        <w:t>Amoraim</w:t>
      </w:r>
      <w:r w:rsidR="004302EB">
        <w:rPr>
          <w:rFonts w:asciiTheme="minorBidi" w:hAnsiTheme="minorBidi"/>
          <w:sz w:val="24"/>
          <w:szCs w:val="24"/>
        </w:rPr>
        <w:t xml:space="preserve">, recognized in the Bashan region (which he calls “Batanaea”) “a large village called </w:t>
      </w:r>
      <w:r w:rsidR="004302EB" w:rsidRPr="004302EB">
        <w:rPr>
          <w:rFonts w:asciiTheme="minorBidi" w:eastAsia="TimesNewRomanPSMT" w:hAnsiTheme="minorBidi"/>
          <w:sz w:val="24"/>
          <w:szCs w:val="24"/>
        </w:rPr>
        <w:t>Gaulōn</w:t>
      </w:r>
      <w:r w:rsidR="004302EB">
        <w:rPr>
          <w:rFonts w:asciiTheme="minorBidi" w:eastAsia="TimesNewRomanPSMT" w:hAnsiTheme="minorBidi"/>
          <w:sz w:val="24"/>
          <w:szCs w:val="24"/>
        </w:rPr>
        <w:t xml:space="preserve"> in </w:t>
      </w:r>
      <w:r w:rsidR="004302EB">
        <w:rPr>
          <w:rFonts w:asciiTheme="minorBidi" w:hAnsiTheme="minorBidi"/>
          <w:sz w:val="24"/>
          <w:szCs w:val="24"/>
        </w:rPr>
        <w:t>a district of the same name” (</w:t>
      </w:r>
      <w:r w:rsidR="004302EB">
        <w:rPr>
          <w:rFonts w:asciiTheme="minorBidi" w:hAnsiTheme="minorBidi"/>
          <w:i/>
          <w:iCs/>
          <w:sz w:val="24"/>
          <w:szCs w:val="24"/>
        </w:rPr>
        <w:t>Onomasticon</w:t>
      </w:r>
      <w:r w:rsidR="004302EB">
        <w:rPr>
          <w:rFonts w:asciiTheme="minorBidi" w:hAnsiTheme="minorBidi"/>
          <w:sz w:val="24"/>
          <w:szCs w:val="24"/>
        </w:rPr>
        <w:t xml:space="preserve"> 64:8). Eusebius did not provide further information, and it is unclear to which </w:t>
      </w:r>
      <w:r w:rsidR="004302EB">
        <w:rPr>
          <w:rFonts w:asciiTheme="minorBidi" w:hAnsiTheme="minorBidi"/>
          <w:sz w:val="24"/>
          <w:szCs w:val="24"/>
        </w:rPr>
        <w:lastRenderedPageBreak/>
        <w:t xml:space="preserve">site he is referring. In any case, Eusebius is the latest source that mentions a specific settlement called </w:t>
      </w:r>
      <w:r w:rsidR="004302EB">
        <w:rPr>
          <w:rFonts w:asciiTheme="minorBidi" w:hAnsiTheme="minorBidi"/>
          <w:i/>
          <w:iCs/>
          <w:sz w:val="24"/>
          <w:szCs w:val="24"/>
        </w:rPr>
        <w:t>Golan</w:t>
      </w:r>
      <w:r w:rsidR="004302EB">
        <w:rPr>
          <w:rFonts w:asciiTheme="minorBidi" w:hAnsiTheme="minorBidi"/>
          <w:sz w:val="24"/>
          <w:szCs w:val="24"/>
        </w:rPr>
        <w:t xml:space="preserve">. Since then, until today, the name </w:t>
      </w:r>
      <w:r w:rsidR="004302EB">
        <w:rPr>
          <w:rFonts w:asciiTheme="minorBidi" w:hAnsiTheme="minorBidi"/>
          <w:i/>
          <w:iCs/>
          <w:sz w:val="24"/>
          <w:szCs w:val="24"/>
        </w:rPr>
        <w:t>Golan</w:t>
      </w:r>
      <w:r w:rsidR="004302EB">
        <w:rPr>
          <w:rFonts w:asciiTheme="minorBidi" w:hAnsiTheme="minorBidi"/>
          <w:sz w:val="24"/>
          <w:szCs w:val="24"/>
        </w:rPr>
        <w:t xml:space="preserve"> has only been used in the regional sense.</w:t>
      </w:r>
    </w:p>
    <w:p w:rsidR="004302EB" w:rsidRDefault="004302EB" w:rsidP="00E320D4">
      <w:pPr>
        <w:spacing w:after="0" w:line="240" w:lineRule="auto"/>
        <w:jc w:val="both"/>
        <w:outlineLvl w:val="0"/>
        <w:rPr>
          <w:rFonts w:asciiTheme="minorBidi" w:hAnsiTheme="minorBidi"/>
          <w:sz w:val="24"/>
          <w:szCs w:val="24"/>
        </w:rPr>
      </w:pPr>
    </w:p>
    <w:p w:rsidR="00772414" w:rsidRDefault="00772414" w:rsidP="00E320D4">
      <w:pPr>
        <w:spacing w:after="0" w:line="240" w:lineRule="auto"/>
        <w:jc w:val="both"/>
        <w:outlineLvl w:val="0"/>
        <w:rPr>
          <w:rFonts w:asciiTheme="minorBidi" w:hAnsiTheme="minorBidi"/>
          <w:sz w:val="24"/>
          <w:szCs w:val="24"/>
        </w:rPr>
      </w:pPr>
      <w:r>
        <w:rPr>
          <w:rFonts w:asciiTheme="minorBidi" w:hAnsiTheme="minorBidi"/>
          <w:sz w:val="24"/>
          <w:szCs w:val="24"/>
        </w:rPr>
        <w:tab/>
        <w:t xml:space="preserve">The identification of the Biblical city of </w:t>
      </w:r>
      <w:r>
        <w:rPr>
          <w:rFonts w:asciiTheme="minorBidi" w:hAnsiTheme="minorBidi"/>
          <w:b/>
          <w:bCs/>
          <w:sz w:val="24"/>
          <w:szCs w:val="24"/>
        </w:rPr>
        <w:t>Golan</w:t>
      </w:r>
      <w:r>
        <w:rPr>
          <w:rFonts w:asciiTheme="minorBidi" w:hAnsiTheme="minorBidi"/>
          <w:sz w:val="24"/>
          <w:szCs w:val="24"/>
        </w:rPr>
        <w:t xml:space="preserve"> is not truly known. The “large village” that Eusebius describes is not mentioned in other sources. In the Jerusalem Targum (Targum Neofiti) and Targum Pseudo-Jonathan, the city of </w:t>
      </w:r>
      <w:r>
        <w:rPr>
          <w:rFonts w:asciiTheme="minorBidi" w:hAnsiTheme="minorBidi"/>
          <w:b/>
          <w:bCs/>
          <w:sz w:val="24"/>
          <w:szCs w:val="24"/>
        </w:rPr>
        <w:t>Golan</w:t>
      </w:r>
      <w:r>
        <w:rPr>
          <w:rFonts w:asciiTheme="minorBidi" w:hAnsiTheme="minorBidi"/>
          <w:sz w:val="24"/>
          <w:szCs w:val="24"/>
        </w:rPr>
        <w:t xml:space="preserve"> is translated as </w:t>
      </w:r>
      <w:r>
        <w:rPr>
          <w:rFonts w:asciiTheme="minorBidi" w:hAnsiTheme="minorBidi"/>
          <w:i/>
          <w:iCs/>
          <w:sz w:val="24"/>
          <w:szCs w:val="24"/>
        </w:rPr>
        <w:t>Dabra</w:t>
      </w:r>
      <w:r>
        <w:rPr>
          <w:rFonts w:asciiTheme="minorBidi" w:hAnsiTheme="minorBidi"/>
          <w:sz w:val="24"/>
          <w:szCs w:val="24"/>
        </w:rPr>
        <w:t xml:space="preserve">. It is thought that the Targum is referring to Dabura, where the inscription from the </w:t>
      </w:r>
      <w:r>
        <w:rPr>
          <w:rFonts w:asciiTheme="minorBidi" w:hAnsiTheme="minorBidi"/>
          <w:i/>
          <w:iCs/>
          <w:sz w:val="24"/>
          <w:szCs w:val="24"/>
        </w:rPr>
        <w:t>beit midrash</w:t>
      </w:r>
      <w:r>
        <w:rPr>
          <w:rFonts w:asciiTheme="minorBidi" w:hAnsiTheme="minorBidi"/>
          <w:sz w:val="24"/>
          <w:szCs w:val="24"/>
        </w:rPr>
        <w:t xml:space="preserve"> of Rabbi Eliezer Ha-Kappar was found, along with additional Jewish inscriptions, but one of the </w:t>
      </w:r>
      <w:r w:rsidR="00225EDA">
        <w:rPr>
          <w:rFonts w:asciiTheme="minorBidi" w:hAnsiTheme="minorBidi"/>
          <w:sz w:val="24"/>
          <w:szCs w:val="24"/>
        </w:rPr>
        <w:t>Geniza Fragments of the Halakhic Midrashim identifies the city of Golan with Seleucia, which is mentioned in Josephus’ writings (</w:t>
      </w:r>
      <w:r w:rsidR="00225EDA">
        <w:rPr>
          <w:rFonts w:asciiTheme="minorBidi" w:hAnsiTheme="minorBidi"/>
          <w:i/>
          <w:iCs/>
          <w:sz w:val="24"/>
          <w:szCs w:val="24"/>
        </w:rPr>
        <w:t xml:space="preserve">Antiquities </w:t>
      </w:r>
      <w:r w:rsidR="00225EDA">
        <w:rPr>
          <w:rFonts w:asciiTheme="minorBidi" w:hAnsiTheme="minorBidi"/>
          <w:sz w:val="24"/>
          <w:szCs w:val="24"/>
        </w:rPr>
        <w:t xml:space="preserve">13:393, </w:t>
      </w:r>
      <w:r w:rsidR="00225EDA">
        <w:rPr>
          <w:rFonts w:asciiTheme="minorBidi" w:hAnsiTheme="minorBidi"/>
          <w:i/>
          <w:iCs/>
          <w:sz w:val="24"/>
          <w:szCs w:val="24"/>
        </w:rPr>
        <w:t xml:space="preserve">Wars </w:t>
      </w:r>
      <w:r w:rsidR="00225EDA">
        <w:rPr>
          <w:rFonts w:asciiTheme="minorBidi" w:hAnsiTheme="minorBidi"/>
          <w:sz w:val="24"/>
          <w:szCs w:val="24"/>
        </w:rPr>
        <w:t xml:space="preserve">4:3) and whose name </w:t>
      </w:r>
      <w:r w:rsidR="00DC7948">
        <w:rPr>
          <w:rFonts w:asciiTheme="minorBidi" w:hAnsiTheme="minorBidi"/>
          <w:sz w:val="24"/>
          <w:szCs w:val="24"/>
        </w:rPr>
        <w:t xml:space="preserve">was </w:t>
      </w:r>
      <w:r w:rsidR="00225EDA">
        <w:rPr>
          <w:rFonts w:asciiTheme="minorBidi" w:hAnsiTheme="minorBidi"/>
          <w:sz w:val="24"/>
          <w:szCs w:val="24"/>
        </w:rPr>
        <w:t xml:space="preserve">preserved until </w:t>
      </w:r>
      <w:r w:rsidR="00617113">
        <w:rPr>
          <w:rFonts w:asciiTheme="minorBidi" w:hAnsiTheme="minorBidi"/>
          <w:sz w:val="24"/>
          <w:szCs w:val="24"/>
        </w:rPr>
        <w:t>1967</w:t>
      </w:r>
      <w:r w:rsidR="00225EDA">
        <w:rPr>
          <w:rFonts w:asciiTheme="minorBidi" w:hAnsiTheme="minorBidi"/>
          <w:sz w:val="24"/>
          <w:szCs w:val="24"/>
        </w:rPr>
        <w:t>. In the scholarly literature, a different identification is very common, but this is only an error stemming from a lack of understanding. What is this mistaken identification? East of the eastern border of</w:t>
      </w:r>
      <w:r w:rsidR="00804154">
        <w:rPr>
          <w:rFonts w:asciiTheme="minorBidi" w:hAnsiTheme="minorBidi"/>
          <w:sz w:val="24"/>
          <w:szCs w:val="24"/>
        </w:rPr>
        <w:t xml:space="preserve"> Israel in</w:t>
      </w:r>
      <w:r w:rsidR="00225EDA">
        <w:rPr>
          <w:rFonts w:asciiTheme="minorBidi" w:hAnsiTheme="minorBidi"/>
          <w:sz w:val="24"/>
          <w:szCs w:val="24"/>
        </w:rPr>
        <w:t xml:space="preserve"> the Golan, about nine miles east of the moshav of Nov in the southern part of the Golan Height</w:t>
      </w:r>
      <w:r w:rsidR="001911BC">
        <w:rPr>
          <w:rFonts w:asciiTheme="minorBidi" w:hAnsiTheme="minorBidi"/>
          <w:sz w:val="24"/>
          <w:szCs w:val="24"/>
        </w:rPr>
        <w:t>s there is a village called Sahe</w:t>
      </w:r>
      <w:r w:rsidR="00225EDA">
        <w:rPr>
          <w:rFonts w:asciiTheme="minorBidi" w:hAnsiTheme="minorBidi"/>
          <w:sz w:val="24"/>
          <w:szCs w:val="24"/>
        </w:rPr>
        <w:t xml:space="preserve">m al-Jawlan. Gottlieb Schumacher, a scholar of the region during the 1880s, believed that the name of this village represented a preservation of the Biblical name </w:t>
      </w:r>
      <w:r w:rsidR="00225EDA">
        <w:rPr>
          <w:rFonts w:asciiTheme="minorBidi" w:hAnsiTheme="minorBidi"/>
          <w:b/>
          <w:bCs/>
          <w:i/>
          <w:iCs/>
          <w:sz w:val="24"/>
          <w:szCs w:val="24"/>
        </w:rPr>
        <w:t>Golan</w:t>
      </w:r>
      <w:r w:rsidR="00225EDA">
        <w:rPr>
          <w:rFonts w:asciiTheme="minorBidi" w:hAnsiTheme="minorBidi"/>
          <w:sz w:val="24"/>
          <w:szCs w:val="24"/>
        </w:rPr>
        <w:t xml:space="preserve">, and many other scholars </w:t>
      </w:r>
      <w:r w:rsidR="00E53B73">
        <w:rPr>
          <w:rFonts w:asciiTheme="minorBidi" w:hAnsiTheme="minorBidi"/>
          <w:sz w:val="24"/>
          <w:szCs w:val="24"/>
        </w:rPr>
        <w:t xml:space="preserve">followed in his footsteps from then until today. The truth, however, is that these scholars did not completely understand the nature of place names of this variety. The second component of two-word place names (with the exception of names of the form </w:t>
      </w:r>
      <w:r w:rsidR="00E53B73">
        <w:rPr>
          <w:rFonts w:asciiTheme="minorBidi" w:hAnsiTheme="minorBidi"/>
          <w:i/>
          <w:iCs/>
          <w:sz w:val="24"/>
          <w:szCs w:val="24"/>
        </w:rPr>
        <w:t>ain-X</w:t>
      </w:r>
      <w:r w:rsidR="00E53B73">
        <w:rPr>
          <w:rFonts w:asciiTheme="minorBidi" w:hAnsiTheme="minorBidi"/>
          <w:sz w:val="24"/>
          <w:szCs w:val="24"/>
        </w:rPr>
        <w:t xml:space="preserve">, </w:t>
      </w:r>
      <w:r w:rsidR="00E53B73">
        <w:rPr>
          <w:rFonts w:asciiTheme="minorBidi" w:hAnsiTheme="minorBidi"/>
          <w:i/>
          <w:iCs/>
          <w:sz w:val="24"/>
          <w:szCs w:val="24"/>
        </w:rPr>
        <w:t>bayt-X</w:t>
      </w:r>
      <w:r w:rsidR="00E53B73">
        <w:rPr>
          <w:rFonts w:asciiTheme="minorBidi" w:hAnsiTheme="minorBidi"/>
          <w:sz w:val="24"/>
          <w:szCs w:val="24"/>
        </w:rPr>
        <w:t xml:space="preserve">, </w:t>
      </w:r>
      <w:r w:rsidR="00E53B73">
        <w:rPr>
          <w:rFonts w:asciiTheme="minorBidi" w:hAnsiTheme="minorBidi"/>
          <w:i/>
          <w:iCs/>
          <w:sz w:val="24"/>
          <w:szCs w:val="24"/>
        </w:rPr>
        <w:t>deir-X</w:t>
      </w:r>
      <w:r w:rsidR="00E53B73">
        <w:rPr>
          <w:rFonts w:asciiTheme="minorBidi" w:hAnsiTheme="minorBidi"/>
          <w:sz w:val="24"/>
          <w:szCs w:val="24"/>
        </w:rPr>
        <w:t>, etc.) is almost never part of the actual place name. Rather, it serves as an epithet meant to distinguish the place from a different place that bears the same name. For example, Dura al-Qar’ (“</w:t>
      </w:r>
      <w:r w:rsidR="00D45C5F">
        <w:rPr>
          <w:rFonts w:asciiTheme="minorBidi" w:hAnsiTheme="minorBidi"/>
          <w:sz w:val="24"/>
          <w:szCs w:val="24"/>
        </w:rPr>
        <w:t xml:space="preserve">Dura </w:t>
      </w:r>
      <w:r w:rsidR="00E53B73">
        <w:rPr>
          <w:rFonts w:asciiTheme="minorBidi" w:hAnsiTheme="minorBidi"/>
          <w:sz w:val="24"/>
          <w:szCs w:val="24"/>
        </w:rPr>
        <w:t>of the gourds”) near Beit El bears this name to distinguish it from the town of Dura in the Mount Hebron region</w:t>
      </w:r>
      <w:r w:rsidR="001911BC">
        <w:rPr>
          <w:rFonts w:asciiTheme="minorBidi" w:hAnsiTheme="minorBidi"/>
          <w:sz w:val="24"/>
          <w:szCs w:val="24"/>
        </w:rPr>
        <w:t>. Similarly, al-Lubban ash-Sharqiy</w:t>
      </w:r>
      <w:r w:rsidR="00D45C5F">
        <w:rPr>
          <w:rFonts w:asciiTheme="minorBidi" w:hAnsiTheme="minorBidi"/>
          <w:sz w:val="24"/>
          <w:szCs w:val="24"/>
        </w:rPr>
        <w:t>y</w:t>
      </w:r>
      <w:r w:rsidR="001911BC">
        <w:rPr>
          <w:rFonts w:asciiTheme="minorBidi" w:hAnsiTheme="minorBidi"/>
          <w:sz w:val="24"/>
          <w:szCs w:val="24"/>
        </w:rPr>
        <w:t>a (“eastern”) bears this name to distinguish it from al-Lubban Rantis near Rantis and Beit Aryeh. The same is true of Sahem in this case. The ending “al-Jawlan” is meant to distinguish it from Saham al-Kafarat</w:t>
      </w:r>
      <w:r w:rsidR="00804B14">
        <w:rPr>
          <w:rFonts w:asciiTheme="minorBidi" w:hAnsiTheme="minorBidi"/>
          <w:sz w:val="24"/>
          <w:szCs w:val="24"/>
        </w:rPr>
        <w:t xml:space="preserve"> not far from there, in the northern Gilead region, south of the Yarmouk.</w:t>
      </w:r>
    </w:p>
    <w:p w:rsidR="00804B14" w:rsidRDefault="00804B14" w:rsidP="00E320D4">
      <w:pPr>
        <w:spacing w:after="0" w:line="240" w:lineRule="auto"/>
        <w:jc w:val="both"/>
        <w:outlineLvl w:val="0"/>
        <w:rPr>
          <w:rFonts w:asciiTheme="minorBidi" w:hAnsiTheme="minorBidi"/>
          <w:sz w:val="24"/>
          <w:szCs w:val="24"/>
        </w:rPr>
      </w:pPr>
    </w:p>
    <w:p w:rsidR="00804B14" w:rsidRDefault="00804B14" w:rsidP="00E320D4">
      <w:pPr>
        <w:spacing w:after="0" w:line="240" w:lineRule="auto"/>
        <w:jc w:val="both"/>
        <w:outlineLvl w:val="0"/>
        <w:rPr>
          <w:rFonts w:asciiTheme="minorBidi" w:hAnsiTheme="minorBidi"/>
          <w:sz w:val="24"/>
          <w:szCs w:val="24"/>
        </w:rPr>
      </w:pPr>
      <w:r>
        <w:rPr>
          <w:rFonts w:asciiTheme="minorBidi" w:hAnsiTheme="minorBidi"/>
          <w:b/>
          <w:bCs/>
          <w:sz w:val="24"/>
          <w:szCs w:val="24"/>
        </w:rPr>
        <w:t>The Golan and the Borders of the Land of Canaan</w:t>
      </w:r>
    </w:p>
    <w:p w:rsidR="00804B14" w:rsidRDefault="00804B14" w:rsidP="00E320D4">
      <w:pPr>
        <w:spacing w:after="0" w:line="240" w:lineRule="auto"/>
        <w:jc w:val="both"/>
        <w:outlineLvl w:val="0"/>
        <w:rPr>
          <w:rFonts w:asciiTheme="minorBidi" w:hAnsiTheme="minorBidi"/>
          <w:sz w:val="24"/>
          <w:szCs w:val="24"/>
        </w:rPr>
      </w:pPr>
    </w:p>
    <w:p w:rsidR="00804B14" w:rsidRDefault="00804B14" w:rsidP="00E320D4">
      <w:pPr>
        <w:spacing w:after="0" w:line="240" w:lineRule="auto"/>
        <w:jc w:val="both"/>
        <w:outlineLvl w:val="0"/>
        <w:rPr>
          <w:rFonts w:asciiTheme="minorBidi" w:hAnsiTheme="minorBidi"/>
          <w:sz w:val="24"/>
          <w:szCs w:val="24"/>
        </w:rPr>
      </w:pPr>
      <w:r>
        <w:rPr>
          <w:rFonts w:asciiTheme="minorBidi" w:hAnsiTheme="minorBidi"/>
          <w:sz w:val="24"/>
          <w:szCs w:val="24"/>
        </w:rPr>
        <w:tab/>
        <w:t>In Numbers 34, the borders of “the land of Canaan with its various boundaries” are outlined (34:2). These are the more limited borders compared with the vast predestined borders of the land that we encountered in other places in the Torah, which reach until the Euphrates River.</w:t>
      </w:r>
      <w:r>
        <w:rPr>
          <w:rStyle w:val="FootnoteReference"/>
          <w:rFonts w:asciiTheme="minorBidi" w:hAnsiTheme="minorBidi"/>
          <w:sz w:val="24"/>
          <w:szCs w:val="24"/>
        </w:rPr>
        <w:footnoteReference w:id="4"/>
      </w:r>
      <w:r>
        <w:rPr>
          <w:rFonts w:asciiTheme="minorBidi" w:hAnsiTheme="minorBidi"/>
          <w:sz w:val="24"/>
          <w:szCs w:val="24"/>
        </w:rPr>
        <w:t xml:space="preserve"> </w:t>
      </w:r>
    </w:p>
    <w:p w:rsidR="00804B14" w:rsidRDefault="00804B14" w:rsidP="00E320D4">
      <w:pPr>
        <w:spacing w:after="0" w:line="240" w:lineRule="auto"/>
        <w:jc w:val="both"/>
        <w:outlineLvl w:val="0"/>
        <w:rPr>
          <w:rFonts w:asciiTheme="minorBidi" w:hAnsiTheme="minorBidi"/>
          <w:sz w:val="24"/>
          <w:szCs w:val="24"/>
        </w:rPr>
      </w:pPr>
    </w:p>
    <w:p w:rsidR="00804B14" w:rsidRDefault="00804B14" w:rsidP="00E320D4">
      <w:pPr>
        <w:spacing w:after="0" w:line="240" w:lineRule="auto"/>
        <w:jc w:val="both"/>
        <w:outlineLvl w:val="0"/>
        <w:rPr>
          <w:rFonts w:asciiTheme="minorBidi" w:hAnsiTheme="minorBidi"/>
          <w:sz w:val="24"/>
          <w:szCs w:val="24"/>
        </w:rPr>
      </w:pPr>
      <w:r>
        <w:rPr>
          <w:rFonts w:asciiTheme="minorBidi" w:hAnsiTheme="minorBidi"/>
          <w:sz w:val="24"/>
          <w:szCs w:val="24"/>
        </w:rPr>
        <w:tab/>
        <w:t>The eastern border of “the land of Canaan with its various boundaries” begins in the northeast in a place called Hazar-enan. Its identification is unknown, but general borderline logic dictates that it must be located around the town of al-</w:t>
      </w:r>
      <w:r w:rsidRPr="009159E5">
        <w:rPr>
          <w:rFonts w:asciiTheme="minorBidi" w:hAnsiTheme="minorBidi"/>
          <w:sz w:val="24"/>
          <w:szCs w:val="24"/>
        </w:rPr>
        <w:t>Qaryat</w:t>
      </w:r>
      <w:r w:rsidRPr="009159E5">
        <w:rPr>
          <w:rFonts w:asciiTheme="minorBidi" w:eastAsia="Arial Unicode MS" w:hAnsiTheme="minorBidi"/>
          <w:sz w:val="24"/>
          <w:szCs w:val="24"/>
        </w:rPr>
        <w:t>ē</w:t>
      </w:r>
      <w:r w:rsidRPr="009159E5">
        <w:rPr>
          <w:rFonts w:asciiTheme="minorBidi" w:hAnsiTheme="minorBidi"/>
          <w:sz w:val="24"/>
          <w:szCs w:val="24"/>
        </w:rPr>
        <w:t>n</w:t>
      </w:r>
      <w:r>
        <w:rPr>
          <w:rFonts w:asciiTheme="minorBidi" w:hAnsiTheme="minorBidi"/>
          <w:sz w:val="24"/>
          <w:szCs w:val="24"/>
        </w:rPr>
        <w:t xml:space="preserve">, about 75 miles northeast of Damascus. From Hazar-enan, the border continues to Shepham and “Riblah on the east side of Ain,” </w:t>
      </w:r>
      <w:r w:rsidR="009159E5">
        <w:rPr>
          <w:rFonts w:asciiTheme="minorBidi" w:hAnsiTheme="minorBidi"/>
          <w:sz w:val="24"/>
          <w:szCs w:val="24"/>
        </w:rPr>
        <w:t xml:space="preserve">which also lack clear identifications. The passage continues: “From there the boundary shall continue downward and abut </w:t>
      </w:r>
      <w:r w:rsidR="009159E5" w:rsidRPr="009159E5">
        <w:rPr>
          <w:rFonts w:asciiTheme="minorBidi" w:hAnsiTheme="minorBidi"/>
          <w:b/>
          <w:bCs/>
          <w:sz w:val="24"/>
          <w:szCs w:val="24"/>
        </w:rPr>
        <w:t xml:space="preserve">on the </w:t>
      </w:r>
      <w:r w:rsidR="009159E5" w:rsidRPr="009159E5">
        <w:rPr>
          <w:rFonts w:asciiTheme="minorBidi" w:hAnsiTheme="minorBidi"/>
          <w:b/>
          <w:bCs/>
          <w:i/>
          <w:iCs/>
          <w:sz w:val="24"/>
          <w:szCs w:val="24"/>
        </w:rPr>
        <w:t>k</w:t>
      </w:r>
      <w:r w:rsidR="009159E5">
        <w:rPr>
          <w:rFonts w:asciiTheme="minorBidi" w:hAnsiTheme="minorBidi"/>
          <w:b/>
          <w:bCs/>
          <w:i/>
          <w:iCs/>
          <w:sz w:val="24"/>
          <w:szCs w:val="24"/>
        </w:rPr>
        <w:t>a</w:t>
      </w:r>
      <w:r w:rsidR="009159E5" w:rsidRPr="009159E5">
        <w:rPr>
          <w:rFonts w:asciiTheme="minorBidi" w:hAnsiTheme="minorBidi"/>
          <w:b/>
          <w:bCs/>
          <w:i/>
          <w:iCs/>
          <w:sz w:val="24"/>
          <w:szCs w:val="24"/>
        </w:rPr>
        <w:t xml:space="preserve">tef </w:t>
      </w:r>
      <w:r w:rsidR="009159E5" w:rsidRPr="009159E5">
        <w:rPr>
          <w:rFonts w:asciiTheme="minorBidi" w:hAnsiTheme="minorBidi"/>
          <w:b/>
          <w:bCs/>
          <w:sz w:val="24"/>
          <w:szCs w:val="24"/>
        </w:rPr>
        <w:t>of the Sea of Chinnereth</w:t>
      </w:r>
      <w:r w:rsidR="00FD24F0">
        <w:rPr>
          <w:rFonts w:asciiTheme="minorBidi" w:hAnsiTheme="minorBidi"/>
          <w:b/>
          <w:bCs/>
          <w:sz w:val="24"/>
          <w:szCs w:val="24"/>
        </w:rPr>
        <w:t xml:space="preserve"> to the east</w:t>
      </w:r>
      <w:r w:rsidR="009159E5">
        <w:rPr>
          <w:rFonts w:asciiTheme="minorBidi" w:hAnsiTheme="minorBidi"/>
          <w:sz w:val="24"/>
          <w:szCs w:val="24"/>
        </w:rPr>
        <w:t xml:space="preserve">. The boundary shall then descend along the Jordan </w:t>
      </w:r>
      <w:r w:rsidR="009159E5">
        <w:rPr>
          <w:rFonts w:asciiTheme="minorBidi" w:hAnsiTheme="minorBidi"/>
          <w:sz w:val="24"/>
          <w:szCs w:val="24"/>
        </w:rPr>
        <w:lastRenderedPageBreak/>
        <w:t xml:space="preserve">and terminate at the Dead Sea” (34:11-12). We all know the Jordan and the Dead Sea. We even recognize the Sea of Chinnereth (better known today as Lake Kinneret or the Sea of Galilee). But what is the meaning of the phrase “and abut on the </w:t>
      </w:r>
      <w:r w:rsidR="009159E5">
        <w:rPr>
          <w:rFonts w:asciiTheme="minorBidi" w:hAnsiTheme="minorBidi"/>
          <w:i/>
          <w:iCs/>
          <w:sz w:val="24"/>
          <w:szCs w:val="24"/>
        </w:rPr>
        <w:t>katef</w:t>
      </w:r>
      <w:r w:rsidR="009159E5">
        <w:rPr>
          <w:rFonts w:asciiTheme="minorBidi" w:hAnsiTheme="minorBidi"/>
          <w:sz w:val="24"/>
          <w:szCs w:val="24"/>
        </w:rPr>
        <w:t xml:space="preserve"> of the Sea of Chinnereth</w:t>
      </w:r>
      <w:r w:rsidR="00FD24F0">
        <w:rPr>
          <w:rFonts w:asciiTheme="minorBidi" w:hAnsiTheme="minorBidi"/>
          <w:sz w:val="24"/>
          <w:szCs w:val="24"/>
        </w:rPr>
        <w:t xml:space="preserve"> to the east</w:t>
      </w:r>
      <w:r w:rsidR="009159E5">
        <w:rPr>
          <w:rFonts w:asciiTheme="minorBidi" w:hAnsiTheme="minorBidi"/>
          <w:sz w:val="24"/>
          <w:szCs w:val="24"/>
        </w:rPr>
        <w:t>”?</w:t>
      </w:r>
    </w:p>
    <w:p w:rsidR="009159E5" w:rsidRDefault="009159E5" w:rsidP="00E320D4">
      <w:pPr>
        <w:spacing w:after="0" w:line="240" w:lineRule="auto"/>
        <w:jc w:val="both"/>
        <w:outlineLvl w:val="0"/>
        <w:rPr>
          <w:rFonts w:asciiTheme="minorBidi" w:hAnsiTheme="minorBidi"/>
          <w:sz w:val="24"/>
          <w:szCs w:val="24"/>
        </w:rPr>
      </w:pPr>
    </w:p>
    <w:p w:rsidR="009159E5" w:rsidRDefault="009159E5" w:rsidP="00E320D4">
      <w:pPr>
        <w:spacing w:after="0" w:line="240" w:lineRule="auto"/>
        <w:jc w:val="both"/>
        <w:outlineLvl w:val="0"/>
        <w:rPr>
          <w:rFonts w:asciiTheme="minorBidi" w:hAnsiTheme="minorBidi"/>
          <w:sz w:val="24"/>
          <w:szCs w:val="24"/>
        </w:rPr>
      </w:pPr>
      <w:r>
        <w:rPr>
          <w:rFonts w:asciiTheme="minorBidi" w:hAnsiTheme="minorBidi"/>
          <w:sz w:val="24"/>
          <w:szCs w:val="24"/>
        </w:rPr>
        <w:tab/>
        <w:t xml:space="preserve">Upon examination, I found that the word </w:t>
      </w:r>
      <w:r w:rsidRPr="0097695B">
        <w:rPr>
          <w:rFonts w:asciiTheme="minorBidi" w:hAnsiTheme="minorBidi"/>
          <w:b/>
          <w:bCs/>
          <w:i/>
          <w:iCs/>
          <w:sz w:val="24"/>
          <w:szCs w:val="24"/>
        </w:rPr>
        <w:t>katef</w:t>
      </w:r>
      <w:r>
        <w:rPr>
          <w:rFonts w:asciiTheme="minorBidi" w:hAnsiTheme="minorBidi"/>
          <w:i/>
          <w:iCs/>
          <w:sz w:val="24"/>
          <w:szCs w:val="24"/>
        </w:rPr>
        <w:t xml:space="preserve"> </w:t>
      </w:r>
      <w:r>
        <w:rPr>
          <w:rFonts w:asciiTheme="minorBidi" w:hAnsiTheme="minorBidi"/>
          <w:sz w:val="24"/>
          <w:szCs w:val="24"/>
        </w:rPr>
        <w:t xml:space="preserve">in the topographical sense appears in the </w:t>
      </w:r>
      <w:r>
        <w:rPr>
          <w:rFonts w:asciiTheme="minorBidi" w:hAnsiTheme="minorBidi"/>
          <w:i/>
          <w:iCs/>
          <w:sz w:val="24"/>
          <w:szCs w:val="24"/>
        </w:rPr>
        <w:t>Tanakh</w:t>
      </w:r>
      <w:r>
        <w:rPr>
          <w:rFonts w:asciiTheme="minorBidi" w:hAnsiTheme="minorBidi"/>
          <w:sz w:val="24"/>
          <w:szCs w:val="24"/>
        </w:rPr>
        <w:t xml:space="preserve"> nine times, eight of which in Joshua 15 and 18, in the descriptions of the borders of Judah and Benjamin. The ninth time is here in Numbers 34, in the description of the eastern border of the land of Canaan.</w:t>
      </w:r>
    </w:p>
    <w:p w:rsidR="009159E5" w:rsidRDefault="009159E5" w:rsidP="00E320D4">
      <w:pPr>
        <w:spacing w:after="0" w:line="240" w:lineRule="auto"/>
        <w:jc w:val="both"/>
        <w:outlineLvl w:val="0"/>
        <w:rPr>
          <w:rFonts w:asciiTheme="minorBidi" w:hAnsiTheme="minorBidi"/>
          <w:sz w:val="24"/>
          <w:szCs w:val="24"/>
        </w:rPr>
      </w:pPr>
    </w:p>
    <w:p w:rsidR="009159E5" w:rsidRDefault="009159E5" w:rsidP="00E320D4">
      <w:pPr>
        <w:spacing w:after="0" w:line="240" w:lineRule="auto"/>
        <w:jc w:val="both"/>
        <w:outlineLvl w:val="0"/>
        <w:rPr>
          <w:rFonts w:asciiTheme="minorBidi" w:hAnsiTheme="minorBidi"/>
          <w:sz w:val="24"/>
          <w:szCs w:val="24"/>
        </w:rPr>
      </w:pPr>
      <w:r>
        <w:rPr>
          <w:rFonts w:asciiTheme="minorBidi" w:hAnsiTheme="minorBidi"/>
          <w:sz w:val="24"/>
          <w:szCs w:val="24"/>
        </w:rPr>
        <w:tab/>
      </w:r>
      <w:r w:rsidR="0097695B">
        <w:rPr>
          <w:rFonts w:asciiTheme="minorBidi" w:hAnsiTheme="minorBidi"/>
          <w:sz w:val="24"/>
          <w:szCs w:val="24"/>
        </w:rPr>
        <w:t xml:space="preserve">When tracing the frequency of the word </w:t>
      </w:r>
      <w:r w:rsidR="0097695B" w:rsidRPr="0097695B">
        <w:rPr>
          <w:rFonts w:asciiTheme="minorBidi" w:hAnsiTheme="minorBidi"/>
          <w:b/>
          <w:bCs/>
          <w:i/>
          <w:iCs/>
          <w:sz w:val="24"/>
          <w:szCs w:val="24"/>
        </w:rPr>
        <w:t>katef</w:t>
      </w:r>
      <w:r w:rsidR="0097695B">
        <w:rPr>
          <w:rFonts w:asciiTheme="minorBidi" w:hAnsiTheme="minorBidi"/>
          <w:sz w:val="24"/>
          <w:szCs w:val="24"/>
        </w:rPr>
        <w:t xml:space="preserve">’s appearance in its topographical sense, it becomes clear that there is a certain defining element that accompanies the word every time it is used: </w:t>
      </w:r>
      <w:r w:rsidR="0097695B">
        <w:rPr>
          <w:rFonts w:asciiTheme="minorBidi" w:hAnsiTheme="minorBidi"/>
          <w:b/>
          <w:bCs/>
          <w:sz w:val="24"/>
          <w:szCs w:val="24"/>
        </w:rPr>
        <w:t>direction</w:t>
      </w:r>
      <w:r w:rsidR="0097695B">
        <w:rPr>
          <w:rFonts w:asciiTheme="minorBidi" w:hAnsiTheme="minorBidi"/>
          <w:sz w:val="24"/>
          <w:szCs w:val="24"/>
        </w:rPr>
        <w:t xml:space="preserve">. The word </w:t>
      </w:r>
      <w:r w:rsidR="0097695B" w:rsidRPr="0097695B">
        <w:rPr>
          <w:rFonts w:asciiTheme="minorBidi" w:hAnsiTheme="minorBidi"/>
          <w:b/>
          <w:bCs/>
          <w:i/>
          <w:iCs/>
          <w:sz w:val="24"/>
          <w:szCs w:val="24"/>
        </w:rPr>
        <w:t>katef</w:t>
      </w:r>
      <w:r w:rsidR="0097695B">
        <w:rPr>
          <w:rFonts w:asciiTheme="minorBidi" w:hAnsiTheme="minorBidi"/>
          <w:sz w:val="24"/>
          <w:szCs w:val="24"/>
        </w:rPr>
        <w:t xml:space="preserve"> never appears alone; it is always juxtaposed with a direction. The instances of </w:t>
      </w:r>
      <w:r w:rsidR="0097695B">
        <w:rPr>
          <w:rFonts w:asciiTheme="minorBidi" w:hAnsiTheme="minorBidi"/>
          <w:i/>
          <w:iCs/>
          <w:sz w:val="24"/>
          <w:szCs w:val="24"/>
        </w:rPr>
        <w:t>katef</w:t>
      </w:r>
      <w:r w:rsidR="0097695B">
        <w:rPr>
          <w:rFonts w:asciiTheme="minorBidi" w:hAnsiTheme="minorBidi"/>
          <w:sz w:val="24"/>
          <w:szCs w:val="24"/>
        </w:rPr>
        <w:t xml:space="preserve"> in Joshua come in the context of descriptions of east-west borderlines, and each time </w:t>
      </w:r>
      <w:r w:rsidR="0097695B" w:rsidRPr="0097695B">
        <w:rPr>
          <w:rFonts w:asciiTheme="minorBidi" w:hAnsiTheme="minorBidi"/>
          <w:b/>
          <w:bCs/>
          <w:i/>
          <w:iCs/>
          <w:sz w:val="24"/>
          <w:szCs w:val="24"/>
        </w:rPr>
        <w:t>katef</w:t>
      </w:r>
      <w:r w:rsidR="0097695B">
        <w:rPr>
          <w:rFonts w:asciiTheme="minorBidi" w:hAnsiTheme="minorBidi"/>
          <w:sz w:val="24"/>
          <w:szCs w:val="24"/>
        </w:rPr>
        <w:t xml:space="preserve"> appears there, it is accompanied by the word </w:t>
      </w:r>
      <w:r w:rsidR="0097695B">
        <w:rPr>
          <w:rFonts w:asciiTheme="minorBidi" w:hAnsiTheme="minorBidi"/>
          <w:i/>
          <w:iCs/>
          <w:sz w:val="24"/>
          <w:szCs w:val="24"/>
        </w:rPr>
        <w:t xml:space="preserve">negba </w:t>
      </w:r>
      <w:r w:rsidR="0097695B">
        <w:rPr>
          <w:rFonts w:asciiTheme="minorBidi" w:hAnsiTheme="minorBidi"/>
          <w:sz w:val="24"/>
          <w:szCs w:val="24"/>
        </w:rPr>
        <w:t xml:space="preserve">(“south”) or </w:t>
      </w:r>
      <w:r w:rsidR="0097695B">
        <w:rPr>
          <w:rFonts w:asciiTheme="minorBidi" w:hAnsiTheme="minorBidi"/>
          <w:i/>
          <w:iCs/>
          <w:sz w:val="24"/>
          <w:szCs w:val="24"/>
        </w:rPr>
        <w:t>tzafona</w:t>
      </w:r>
      <w:r w:rsidR="0097695B">
        <w:rPr>
          <w:rFonts w:asciiTheme="minorBidi" w:hAnsiTheme="minorBidi"/>
          <w:sz w:val="24"/>
          <w:szCs w:val="24"/>
        </w:rPr>
        <w:t xml:space="preserve"> (“north”). In our case, where the borderline runs north-south, </w:t>
      </w:r>
      <w:r w:rsidR="0097695B">
        <w:rPr>
          <w:rFonts w:asciiTheme="minorBidi" w:hAnsiTheme="minorBidi"/>
          <w:i/>
          <w:iCs/>
          <w:sz w:val="24"/>
          <w:szCs w:val="24"/>
        </w:rPr>
        <w:t>katef</w:t>
      </w:r>
      <w:r w:rsidR="0097695B">
        <w:rPr>
          <w:rFonts w:asciiTheme="minorBidi" w:hAnsiTheme="minorBidi"/>
          <w:sz w:val="24"/>
          <w:szCs w:val="24"/>
        </w:rPr>
        <w:t xml:space="preserve"> is accompanied by the word </w:t>
      </w:r>
      <w:r w:rsidR="0097695B">
        <w:rPr>
          <w:rFonts w:asciiTheme="minorBidi" w:hAnsiTheme="minorBidi"/>
          <w:i/>
          <w:iCs/>
          <w:sz w:val="24"/>
          <w:szCs w:val="24"/>
        </w:rPr>
        <w:t>kedma</w:t>
      </w:r>
      <w:r w:rsidR="0097695B">
        <w:rPr>
          <w:rFonts w:asciiTheme="minorBidi" w:hAnsiTheme="minorBidi"/>
          <w:sz w:val="24"/>
          <w:szCs w:val="24"/>
        </w:rPr>
        <w:t xml:space="preserve"> (“east”). It seems, then, that this reflects a systematic usage.</w:t>
      </w:r>
    </w:p>
    <w:p w:rsidR="0097695B" w:rsidRDefault="0097695B" w:rsidP="00E320D4">
      <w:pPr>
        <w:spacing w:after="0" w:line="240" w:lineRule="auto"/>
        <w:jc w:val="both"/>
        <w:outlineLvl w:val="0"/>
        <w:rPr>
          <w:rFonts w:asciiTheme="minorBidi" w:hAnsiTheme="minorBidi"/>
          <w:sz w:val="24"/>
          <w:szCs w:val="24"/>
        </w:rPr>
      </w:pPr>
    </w:p>
    <w:p w:rsidR="0097695B" w:rsidRDefault="0097695B" w:rsidP="00E320D4">
      <w:pPr>
        <w:spacing w:after="0" w:line="240" w:lineRule="auto"/>
        <w:jc w:val="both"/>
        <w:outlineLvl w:val="0"/>
        <w:rPr>
          <w:rFonts w:asciiTheme="minorBidi" w:hAnsiTheme="minorBidi"/>
          <w:sz w:val="24"/>
          <w:szCs w:val="24"/>
        </w:rPr>
      </w:pPr>
      <w:r>
        <w:rPr>
          <w:rFonts w:asciiTheme="minorBidi" w:hAnsiTheme="minorBidi"/>
          <w:sz w:val="24"/>
          <w:szCs w:val="24"/>
        </w:rPr>
        <w:tab/>
        <w:t xml:space="preserve">What is the mechanism of this usage? </w:t>
      </w:r>
      <w:r w:rsidR="007F19EB">
        <w:rPr>
          <w:rFonts w:asciiTheme="minorBidi" w:hAnsiTheme="minorBidi"/>
          <w:sz w:val="24"/>
          <w:szCs w:val="24"/>
        </w:rPr>
        <w:t xml:space="preserve">To begin, we must first explain that the use of the word </w:t>
      </w:r>
      <w:r w:rsidR="007F19EB">
        <w:rPr>
          <w:rFonts w:asciiTheme="minorBidi" w:hAnsiTheme="minorBidi"/>
          <w:b/>
          <w:bCs/>
          <w:i/>
          <w:iCs/>
          <w:sz w:val="24"/>
          <w:szCs w:val="24"/>
        </w:rPr>
        <w:t>katef</w:t>
      </w:r>
      <w:r w:rsidR="007F19EB">
        <w:rPr>
          <w:rFonts w:asciiTheme="minorBidi" w:hAnsiTheme="minorBidi"/>
          <w:sz w:val="24"/>
          <w:szCs w:val="24"/>
        </w:rPr>
        <w:t>, whose primary meaning is “shoulder,”</w:t>
      </w:r>
      <w:r w:rsidR="007F19EB">
        <w:rPr>
          <w:rFonts w:asciiTheme="minorBidi" w:hAnsiTheme="minorBidi"/>
          <w:b/>
          <w:bCs/>
          <w:sz w:val="24"/>
          <w:szCs w:val="24"/>
        </w:rPr>
        <w:t xml:space="preserve"> </w:t>
      </w:r>
      <w:r w:rsidR="007F19EB">
        <w:rPr>
          <w:rFonts w:asciiTheme="minorBidi" w:hAnsiTheme="minorBidi"/>
          <w:sz w:val="24"/>
          <w:szCs w:val="24"/>
        </w:rPr>
        <w:t>in the topographical sense at all is part of a semantic system that borrows topographical terminology from the human body.</w:t>
      </w:r>
      <w:r w:rsidR="008C7F69">
        <w:rPr>
          <w:rFonts w:asciiTheme="minorBidi" w:hAnsiTheme="minorBidi"/>
          <w:sz w:val="24"/>
          <w:szCs w:val="24"/>
        </w:rPr>
        <w:t xml:space="preserve"> Unlike modern Hebrew, which, under the influence of European languages, has also adopted topographical terms derived from animal terminology (e.g. “</w:t>
      </w:r>
      <w:r w:rsidR="00884B80">
        <w:rPr>
          <w:rFonts w:asciiTheme="minorBidi" w:hAnsiTheme="minorBidi"/>
          <w:sz w:val="24"/>
          <w:szCs w:val="24"/>
        </w:rPr>
        <w:t xml:space="preserve">back of the </w:t>
      </w:r>
      <w:r w:rsidR="008C7F69">
        <w:rPr>
          <w:rFonts w:asciiTheme="minorBidi" w:hAnsiTheme="minorBidi"/>
          <w:sz w:val="24"/>
          <w:szCs w:val="24"/>
        </w:rPr>
        <w:t>mountain” and “saddle”), biblical Hebrew favors topographical terms derived specifically from parts of the human body. Examples include</w:t>
      </w:r>
      <w:r w:rsidR="0040371A">
        <w:rPr>
          <w:rFonts w:asciiTheme="minorBidi" w:hAnsiTheme="minorBidi"/>
          <w:sz w:val="24"/>
          <w:szCs w:val="24"/>
        </w:rPr>
        <w:t xml:space="preserve"> parts of the face, including “lip”; “tooth of the rock”; “tongue”; “eye”; and </w:t>
      </w:r>
      <w:r w:rsidR="000E115F">
        <w:rPr>
          <w:rFonts w:asciiTheme="minorBidi" w:hAnsiTheme="minorBidi"/>
          <w:sz w:val="24"/>
          <w:szCs w:val="24"/>
        </w:rPr>
        <w:t xml:space="preserve">parts </w:t>
      </w:r>
      <w:r w:rsidR="0040371A">
        <w:rPr>
          <w:rFonts w:asciiTheme="minorBidi" w:hAnsiTheme="minorBidi"/>
          <w:sz w:val="24"/>
          <w:szCs w:val="24"/>
        </w:rPr>
        <w:t xml:space="preserve">of </w:t>
      </w:r>
      <w:r w:rsidR="000E115F">
        <w:rPr>
          <w:rFonts w:asciiTheme="minorBidi" w:hAnsiTheme="minorBidi"/>
          <w:sz w:val="24"/>
          <w:szCs w:val="24"/>
        </w:rPr>
        <w:t xml:space="preserve">the </w:t>
      </w:r>
      <w:r w:rsidR="0040371A">
        <w:rPr>
          <w:rFonts w:asciiTheme="minorBidi" w:hAnsiTheme="minorBidi"/>
          <w:sz w:val="24"/>
          <w:szCs w:val="24"/>
        </w:rPr>
        <w:t>whole body such as</w:t>
      </w:r>
      <w:r w:rsidR="008C7F69">
        <w:rPr>
          <w:rFonts w:asciiTheme="minorBidi" w:hAnsiTheme="minorBidi"/>
          <w:sz w:val="24"/>
          <w:szCs w:val="24"/>
        </w:rPr>
        <w:t xml:space="preserve"> </w:t>
      </w:r>
      <w:r w:rsidR="00884B80">
        <w:rPr>
          <w:rFonts w:asciiTheme="minorBidi" w:hAnsiTheme="minorBidi"/>
          <w:sz w:val="24"/>
          <w:szCs w:val="24"/>
        </w:rPr>
        <w:t>“head of the mountain”; “rib of the mountain”; “navel of the land”; and finally, “</w:t>
      </w:r>
      <w:r w:rsidR="00884B80" w:rsidRPr="00884B80">
        <w:rPr>
          <w:rFonts w:asciiTheme="minorBidi" w:hAnsiTheme="minorBidi"/>
          <w:b/>
          <w:bCs/>
          <w:sz w:val="24"/>
          <w:szCs w:val="24"/>
        </w:rPr>
        <w:t>shoulder</w:t>
      </w:r>
      <w:r w:rsidR="00884B80">
        <w:rPr>
          <w:rFonts w:asciiTheme="minorBidi" w:hAnsiTheme="minorBidi"/>
          <w:sz w:val="24"/>
          <w:szCs w:val="24"/>
        </w:rPr>
        <w:t xml:space="preserve">.” </w:t>
      </w:r>
    </w:p>
    <w:p w:rsidR="00884B80" w:rsidRDefault="00884B80" w:rsidP="00E320D4">
      <w:pPr>
        <w:spacing w:after="0" w:line="240" w:lineRule="auto"/>
        <w:jc w:val="both"/>
        <w:outlineLvl w:val="0"/>
        <w:rPr>
          <w:rFonts w:asciiTheme="minorBidi" w:hAnsiTheme="minorBidi"/>
          <w:sz w:val="24"/>
          <w:szCs w:val="24"/>
        </w:rPr>
      </w:pPr>
    </w:p>
    <w:p w:rsidR="00884B80" w:rsidRDefault="00884B80" w:rsidP="00E320D4">
      <w:pPr>
        <w:spacing w:after="0" w:line="240" w:lineRule="auto"/>
        <w:jc w:val="both"/>
        <w:outlineLvl w:val="0"/>
        <w:rPr>
          <w:rFonts w:asciiTheme="minorBidi" w:hAnsiTheme="minorBidi"/>
          <w:sz w:val="24"/>
          <w:szCs w:val="24"/>
        </w:rPr>
      </w:pPr>
      <w:r>
        <w:rPr>
          <w:rFonts w:asciiTheme="minorBidi" w:hAnsiTheme="minorBidi"/>
          <w:sz w:val="24"/>
          <w:szCs w:val="24"/>
        </w:rPr>
        <w:tab/>
        <w:t xml:space="preserve">It would be reasonable to assume, then, that the biblical </w:t>
      </w:r>
      <w:r w:rsidRPr="005D2E80">
        <w:rPr>
          <w:rFonts w:asciiTheme="minorBidi" w:hAnsiTheme="minorBidi"/>
          <w:b/>
          <w:bCs/>
          <w:i/>
          <w:iCs/>
          <w:sz w:val="24"/>
          <w:szCs w:val="24"/>
        </w:rPr>
        <w:t>katef</w:t>
      </w:r>
      <w:r>
        <w:rPr>
          <w:rFonts w:asciiTheme="minorBidi" w:hAnsiTheme="minorBidi"/>
          <w:sz w:val="24"/>
          <w:szCs w:val="24"/>
        </w:rPr>
        <w:t xml:space="preserve"> must be a topographical feature similar in appearance to a person’s shoulder. In other words, it should be a flat area of ground with a steep vertical slope on one side</w:t>
      </w:r>
      <w:r w:rsidR="000E115F">
        <w:rPr>
          <w:rFonts w:asciiTheme="minorBidi" w:hAnsiTheme="minorBidi"/>
          <w:sz w:val="24"/>
          <w:szCs w:val="24"/>
        </w:rPr>
        <w:t>.</w:t>
      </w:r>
      <w:r w:rsidR="0040371A">
        <w:rPr>
          <w:rFonts w:asciiTheme="minorBidi" w:hAnsiTheme="minorBidi"/>
          <w:sz w:val="24"/>
          <w:szCs w:val="24"/>
        </w:rPr>
        <w:t xml:space="preserve"> (</w:t>
      </w:r>
      <w:r w:rsidR="000E115F">
        <w:rPr>
          <w:rFonts w:asciiTheme="minorBidi" w:hAnsiTheme="minorBidi"/>
          <w:sz w:val="24"/>
          <w:szCs w:val="24"/>
        </w:rPr>
        <w:t>I</w:t>
      </w:r>
      <w:r w:rsidR="0040371A">
        <w:rPr>
          <w:rFonts w:asciiTheme="minorBidi" w:hAnsiTheme="minorBidi"/>
          <w:sz w:val="24"/>
          <w:szCs w:val="24"/>
        </w:rPr>
        <w:t>nterestingly, Modern Hebrew uses this term in the same way</w:t>
      </w:r>
      <w:r w:rsidR="000E115F">
        <w:rPr>
          <w:rFonts w:asciiTheme="minorBidi" w:hAnsiTheme="minorBidi"/>
          <w:sz w:val="24"/>
          <w:szCs w:val="24"/>
        </w:rPr>
        <w:t>.</w:t>
      </w:r>
      <w:r w:rsidR="0040371A">
        <w:rPr>
          <w:rFonts w:asciiTheme="minorBidi" w:hAnsiTheme="minorBidi"/>
          <w:sz w:val="24"/>
          <w:szCs w:val="24"/>
        </w:rPr>
        <w:t>)</w:t>
      </w:r>
    </w:p>
    <w:p w:rsidR="00884B80" w:rsidRDefault="00884B80" w:rsidP="00E320D4">
      <w:pPr>
        <w:spacing w:after="0" w:line="240" w:lineRule="auto"/>
        <w:jc w:val="both"/>
        <w:outlineLvl w:val="0"/>
        <w:rPr>
          <w:rFonts w:asciiTheme="minorBidi" w:hAnsiTheme="minorBidi"/>
          <w:sz w:val="24"/>
          <w:szCs w:val="24"/>
        </w:rPr>
      </w:pPr>
    </w:p>
    <w:p w:rsidR="00884B80" w:rsidRDefault="00884B80" w:rsidP="00E320D4">
      <w:pPr>
        <w:spacing w:after="0" w:line="240" w:lineRule="auto"/>
        <w:jc w:val="both"/>
        <w:outlineLvl w:val="0"/>
        <w:rPr>
          <w:rFonts w:asciiTheme="minorBidi" w:hAnsiTheme="minorBidi"/>
          <w:sz w:val="24"/>
          <w:szCs w:val="24"/>
        </w:rPr>
      </w:pPr>
      <w:r>
        <w:rPr>
          <w:rFonts w:asciiTheme="minorBidi" w:hAnsiTheme="minorBidi"/>
          <w:sz w:val="24"/>
          <w:szCs w:val="24"/>
        </w:rPr>
        <w:tab/>
        <w:t xml:space="preserve">Let us return to our findings. </w:t>
      </w:r>
      <w:r w:rsidR="005D2E80">
        <w:rPr>
          <w:rFonts w:asciiTheme="minorBidi" w:hAnsiTheme="minorBidi"/>
          <w:sz w:val="24"/>
          <w:szCs w:val="24"/>
        </w:rPr>
        <w:t xml:space="preserve">We saw that the topographical </w:t>
      </w:r>
      <w:r w:rsidR="005D2E80">
        <w:rPr>
          <w:rFonts w:asciiTheme="minorBidi" w:hAnsiTheme="minorBidi"/>
          <w:i/>
          <w:iCs/>
          <w:sz w:val="24"/>
          <w:szCs w:val="24"/>
        </w:rPr>
        <w:t>katef</w:t>
      </w:r>
      <w:r w:rsidR="005D2E80">
        <w:rPr>
          <w:rFonts w:asciiTheme="minorBidi" w:hAnsiTheme="minorBidi"/>
          <w:sz w:val="24"/>
          <w:szCs w:val="24"/>
        </w:rPr>
        <w:t xml:space="preserve"> is always accompanied by a direction, and that the direction is always perpendicular to the borderline described in the verse. This seems to indicate that the direction marks the point at which the </w:t>
      </w:r>
      <w:r w:rsidR="005D2E80">
        <w:rPr>
          <w:rFonts w:asciiTheme="minorBidi" w:hAnsiTheme="minorBidi"/>
          <w:i/>
          <w:iCs/>
          <w:sz w:val="24"/>
          <w:szCs w:val="24"/>
        </w:rPr>
        <w:t>katef</w:t>
      </w:r>
      <w:r w:rsidR="005D2E80">
        <w:rPr>
          <w:rFonts w:asciiTheme="minorBidi" w:hAnsiTheme="minorBidi"/>
          <w:sz w:val="24"/>
          <w:szCs w:val="24"/>
        </w:rPr>
        <w:t xml:space="preserve"> begins to break downward, allowing the </w:t>
      </w:r>
      <w:r w:rsidR="005D2E80">
        <w:rPr>
          <w:rFonts w:asciiTheme="minorBidi" w:hAnsiTheme="minorBidi"/>
          <w:i/>
          <w:iCs/>
          <w:sz w:val="24"/>
          <w:szCs w:val="24"/>
        </w:rPr>
        <w:t xml:space="preserve">katef </w:t>
      </w:r>
      <w:r w:rsidR="005D2E80">
        <w:rPr>
          <w:rFonts w:asciiTheme="minorBidi" w:hAnsiTheme="minorBidi"/>
          <w:sz w:val="24"/>
          <w:szCs w:val="24"/>
        </w:rPr>
        <w:t>to serve as a kind of waypoint. When the borderline runs east-west, the point at which the table-like mountain begins to break to the north or south is a significant piece of information for mapping out the line. When the line runs north-south, the break to the east is similarly significant.</w:t>
      </w:r>
    </w:p>
    <w:p w:rsidR="005D2E80" w:rsidRDefault="005D2E80" w:rsidP="00E320D4">
      <w:pPr>
        <w:spacing w:after="0" w:line="240" w:lineRule="auto"/>
        <w:jc w:val="both"/>
        <w:outlineLvl w:val="0"/>
        <w:rPr>
          <w:rFonts w:asciiTheme="minorBidi" w:hAnsiTheme="minorBidi"/>
          <w:sz w:val="24"/>
          <w:szCs w:val="24"/>
        </w:rPr>
      </w:pPr>
    </w:p>
    <w:p w:rsidR="005D2E80" w:rsidRDefault="005D2E80" w:rsidP="00E320D4">
      <w:pPr>
        <w:spacing w:after="0" w:line="240" w:lineRule="auto"/>
        <w:jc w:val="both"/>
        <w:outlineLvl w:val="0"/>
        <w:rPr>
          <w:rFonts w:asciiTheme="minorBidi" w:hAnsiTheme="minorBidi"/>
          <w:sz w:val="24"/>
          <w:szCs w:val="24"/>
        </w:rPr>
      </w:pPr>
      <w:r>
        <w:rPr>
          <w:rFonts w:asciiTheme="minorBidi" w:hAnsiTheme="minorBidi"/>
          <w:sz w:val="24"/>
          <w:szCs w:val="24"/>
        </w:rPr>
        <w:tab/>
      </w:r>
      <w:r w:rsidR="004A0CE1">
        <w:rPr>
          <w:rFonts w:asciiTheme="minorBidi" w:hAnsiTheme="minorBidi"/>
          <w:sz w:val="24"/>
          <w:szCs w:val="24"/>
        </w:rPr>
        <w:t xml:space="preserve">It is possible to trace </w:t>
      </w:r>
      <w:r w:rsidR="00FB712B">
        <w:rPr>
          <w:rFonts w:asciiTheme="minorBidi" w:hAnsiTheme="minorBidi"/>
          <w:sz w:val="24"/>
          <w:szCs w:val="24"/>
        </w:rPr>
        <w:t xml:space="preserve">the </w:t>
      </w:r>
      <w:r w:rsidR="004A0CE1">
        <w:rPr>
          <w:rFonts w:asciiTheme="minorBidi" w:hAnsiTheme="minorBidi"/>
          <w:i/>
          <w:iCs/>
          <w:sz w:val="24"/>
          <w:szCs w:val="24"/>
        </w:rPr>
        <w:t>katef</w:t>
      </w:r>
      <w:r w:rsidR="004A0CE1">
        <w:rPr>
          <w:rFonts w:asciiTheme="minorBidi" w:hAnsiTheme="minorBidi"/>
          <w:sz w:val="24"/>
          <w:szCs w:val="24"/>
        </w:rPr>
        <w:t>-containing</w:t>
      </w:r>
      <w:r w:rsidR="004A0CE1">
        <w:rPr>
          <w:rFonts w:asciiTheme="minorBidi" w:hAnsiTheme="minorBidi"/>
          <w:i/>
          <w:iCs/>
          <w:sz w:val="24"/>
          <w:szCs w:val="24"/>
        </w:rPr>
        <w:t xml:space="preserve"> </w:t>
      </w:r>
      <w:r w:rsidR="004A0CE1">
        <w:rPr>
          <w:rFonts w:asciiTheme="minorBidi" w:hAnsiTheme="minorBidi"/>
          <w:sz w:val="24"/>
          <w:szCs w:val="24"/>
        </w:rPr>
        <w:t>borderline</w:t>
      </w:r>
      <w:r w:rsidR="00FB712B">
        <w:rPr>
          <w:rFonts w:asciiTheme="minorBidi" w:hAnsiTheme="minorBidi"/>
          <w:sz w:val="24"/>
          <w:szCs w:val="24"/>
        </w:rPr>
        <w:t>s</w:t>
      </w:r>
      <w:r w:rsidR="004A0CE1">
        <w:rPr>
          <w:rFonts w:asciiTheme="minorBidi" w:hAnsiTheme="minorBidi"/>
          <w:sz w:val="24"/>
          <w:szCs w:val="24"/>
        </w:rPr>
        <w:t xml:space="preserve"> described in the apportionment chapters in the book of Joshua. </w:t>
      </w:r>
      <w:r w:rsidR="00FB712B">
        <w:rPr>
          <w:rFonts w:asciiTheme="minorBidi" w:hAnsiTheme="minorBidi"/>
          <w:sz w:val="24"/>
          <w:szCs w:val="24"/>
        </w:rPr>
        <w:t>Let us</w:t>
      </w:r>
      <w:r w:rsidR="004A0CE1">
        <w:rPr>
          <w:rFonts w:asciiTheme="minorBidi" w:hAnsiTheme="minorBidi"/>
          <w:sz w:val="24"/>
          <w:szCs w:val="24"/>
        </w:rPr>
        <w:t xml:space="preserve"> cite two examples here.</w:t>
      </w:r>
    </w:p>
    <w:p w:rsidR="004A0CE1" w:rsidRDefault="004A0CE1" w:rsidP="00E320D4">
      <w:pPr>
        <w:spacing w:after="0" w:line="240" w:lineRule="auto"/>
        <w:jc w:val="both"/>
        <w:outlineLvl w:val="0"/>
        <w:rPr>
          <w:rFonts w:asciiTheme="minorBidi" w:hAnsiTheme="minorBidi"/>
          <w:sz w:val="24"/>
          <w:szCs w:val="24"/>
        </w:rPr>
      </w:pPr>
    </w:p>
    <w:p w:rsidR="004A0CE1" w:rsidRDefault="004A0CE1" w:rsidP="00E320D4">
      <w:pPr>
        <w:spacing w:after="0" w:line="240" w:lineRule="auto"/>
        <w:jc w:val="both"/>
        <w:outlineLvl w:val="0"/>
        <w:rPr>
          <w:rFonts w:asciiTheme="minorBidi" w:hAnsiTheme="minorBidi"/>
          <w:sz w:val="24"/>
          <w:szCs w:val="24"/>
        </w:rPr>
      </w:pPr>
      <w:r>
        <w:rPr>
          <w:rFonts w:asciiTheme="minorBidi" w:hAnsiTheme="minorBidi"/>
          <w:sz w:val="24"/>
          <w:szCs w:val="24"/>
        </w:rPr>
        <w:tab/>
        <w:t xml:space="preserve">On the northern border of the territory of Judah, between Kiriath-jearim and Beth-shemesh, the borderline reaches </w:t>
      </w:r>
      <w:r w:rsidR="00F1609D">
        <w:rPr>
          <w:rFonts w:asciiTheme="minorBidi" w:hAnsiTheme="minorBidi"/>
          <w:sz w:val="24"/>
          <w:szCs w:val="24"/>
        </w:rPr>
        <w:t>“</w:t>
      </w:r>
      <w:r w:rsidR="00FB712B">
        <w:rPr>
          <w:rFonts w:asciiTheme="minorBidi" w:hAnsiTheme="minorBidi"/>
          <w:sz w:val="24"/>
          <w:szCs w:val="24"/>
        </w:rPr>
        <w:t>to</w:t>
      </w:r>
      <w:r w:rsidR="00F1609D">
        <w:rPr>
          <w:rFonts w:asciiTheme="minorBidi" w:hAnsiTheme="minorBidi"/>
          <w:sz w:val="24"/>
          <w:szCs w:val="24"/>
        </w:rPr>
        <w:t xml:space="preserve"> the </w:t>
      </w:r>
      <w:r w:rsidR="00F1609D">
        <w:rPr>
          <w:rFonts w:asciiTheme="minorBidi" w:hAnsiTheme="minorBidi"/>
          <w:i/>
          <w:iCs/>
          <w:sz w:val="24"/>
          <w:szCs w:val="24"/>
        </w:rPr>
        <w:t>katef</w:t>
      </w:r>
      <w:r w:rsidR="00F1609D">
        <w:rPr>
          <w:rFonts w:asciiTheme="minorBidi" w:hAnsiTheme="minorBidi"/>
          <w:sz w:val="24"/>
          <w:szCs w:val="24"/>
        </w:rPr>
        <w:t xml:space="preserve"> of Mount Jearim</w:t>
      </w:r>
      <w:r w:rsidR="00FB712B">
        <w:rPr>
          <w:rFonts w:asciiTheme="minorBidi" w:hAnsiTheme="minorBidi"/>
          <w:sz w:val="24"/>
          <w:szCs w:val="24"/>
        </w:rPr>
        <w:t xml:space="preserve"> on its northern side</w:t>
      </w:r>
      <w:r w:rsidR="00F1609D">
        <w:rPr>
          <w:rFonts w:asciiTheme="minorBidi" w:hAnsiTheme="minorBidi"/>
          <w:sz w:val="24"/>
          <w:szCs w:val="24"/>
        </w:rPr>
        <w:t xml:space="preserve"> – that is, Chesalon” (Joshua 15:10). The modern-day moshav of </w:t>
      </w:r>
      <w:r w:rsidR="00F1609D" w:rsidRPr="00F1609D">
        <w:rPr>
          <w:rFonts w:asciiTheme="minorBidi" w:hAnsiTheme="minorBidi"/>
          <w:b/>
          <w:bCs/>
          <w:sz w:val="24"/>
          <w:szCs w:val="24"/>
        </w:rPr>
        <w:t>Ksalon</w:t>
      </w:r>
      <w:r w:rsidR="00F1609D">
        <w:rPr>
          <w:rFonts w:asciiTheme="minorBidi" w:hAnsiTheme="minorBidi"/>
          <w:sz w:val="24"/>
          <w:szCs w:val="24"/>
        </w:rPr>
        <w:t xml:space="preserve"> is located several hundred feet south of ancient Chesalon, which was situated atop a tall hill. The ancient name was preserved until the War of Independence through the name of the village of </w:t>
      </w:r>
      <w:r w:rsidR="00F1609D" w:rsidRPr="00F1609D">
        <w:rPr>
          <w:rFonts w:asciiTheme="minorBidi" w:hAnsiTheme="minorBidi"/>
          <w:b/>
          <w:bCs/>
          <w:sz w:val="24"/>
          <w:szCs w:val="24"/>
        </w:rPr>
        <w:t>Kasla</w:t>
      </w:r>
      <w:r w:rsidR="00F1609D">
        <w:rPr>
          <w:rFonts w:asciiTheme="minorBidi" w:hAnsiTheme="minorBidi"/>
          <w:sz w:val="24"/>
          <w:szCs w:val="24"/>
        </w:rPr>
        <w:t>, which was situated on the ruins of the ancient city atop that same hill. This hill is located</w:t>
      </w:r>
      <w:r w:rsidR="00FB712B">
        <w:rPr>
          <w:rFonts w:asciiTheme="minorBidi" w:hAnsiTheme="minorBidi"/>
          <w:sz w:val="24"/>
          <w:szCs w:val="24"/>
        </w:rPr>
        <w:t xml:space="preserve"> in the</w:t>
      </w:r>
      <w:r w:rsidR="00F1609D">
        <w:rPr>
          <w:rFonts w:asciiTheme="minorBidi" w:hAnsiTheme="minorBidi"/>
          <w:sz w:val="24"/>
          <w:szCs w:val="24"/>
        </w:rPr>
        <w:t xml:space="preserve"> north</w:t>
      </w:r>
      <w:r w:rsidR="00FB712B">
        <w:rPr>
          <w:rFonts w:asciiTheme="minorBidi" w:hAnsiTheme="minorBidi"/>
          <w:sz w:val="24"/>
          <w:szCs w:val="24"/>
        </w:rPr>
        <w:t>ern part</w:t>
      </w:r>
      <w:r w:rsidR="00F1609D">
        <w:rPr>
          <w:rFonts w:asciiTheme="minorBidi" w:hAnsiTheme="minorBidi"/>
          <w:sz w:val="24"/>
          <w:szCs w:val="24"/>
        </w:rPr>
        <w:t xml:space="preserve"> of a large mountainous ridge, and it contains an extremely steep slope down into the stream we now call Nahal Ksalon. This large mountainous ridge is the “Mount Jearim” described in Joshua, which was certainly given this name due to its wooded scenery (then as now).</w:t>
      </w:r>
      <w:r w:rsidR="00F1609D">
        <w:rPr>
          <w:rStyle w:val="FootnoteReference"/>
          <w:rFonts w:asciiTheme="minorBidi" w:hAnsiTheme="minorBidi"/>
          <w:sz w:val="24"/>
          <w:szCs w:val="24"/>
        </w:rPr>
        <w:footnoteReference w:id="5"/>
      </w:r>
      <w:r w:rsidR="00F11C0C">
        <w:rPr>
          <w:rFonts w:asciiTheme="minorBidi" w:hAnsiTheme="minorBidi"/>
          <w:sz w:val="24"/>
          <w:szCs w:val="24"/>
        </w:rPr>
        <w:t xml:space="preserve"> The site of ancient Chesalon is the point where the mountain begins its steep slope into Nahal Ksalon, or as the </w:t>
      </w:r>
      <w:r w:rsidR="00F11C0C">
        <w:rPr>
          <w:rFonts w:asciiTheme="minorBidi" w:hAnsiTheme="minorBidi"/>
          <w:i/>
          <w:iCs/>
          <w:sz w:val="24"/>
          <w:szCs w:val="24"/>
        </w:rPr>
        <w:t>Tanakh</w:t>
      </w:r>
      <w:r w:rsidR="00F11C0C">
        <w:rPr>
          <w:rFonts w:asciiTheme="minorBidi" w:hAnsiTheme="minorBidi"/>
          <w:sz w:val="24"/>
          <w:szCs w:val="24"/>
        </w:rPr>
        <w:t xml:space="preserve"> describes it: “the </w:t>
      </w:r>
      <w:r w:rsidR="00F11C0C">
        <w:rPr>
          <w:rFonts w:asciiTheme="minorBidi" w:hAnsiTheme="minorBidi"/>
          <w:i/>
          <w:iCs/>
          <w:sz w:val="24"/>
          <w:szCs w:val="24"/>
        </w:rPr>
        <w:t>katef</w:t>
      </w:r>
      <w:r w:rsidR="00F11C0C">
        <w:rPr>
          <w:rFonts w:asciiTheme="minorBidi" w:hAnsiTheme="minorBidi"/>
          <w:sz w:val="24"/>
          <w:szCs w:val="24"/>
        </w:rPr>
        <w:t xml:space="preserve"> of Mount Jearim</w:t>
      </w:r>
      <w:r w:rsidR="00FB712B">
        <w:rPr>
          <w:rFonts w:asciiTheme="minorBidi" w:hAnsiTheme="minorBidi"/>
          <w:sz w:val="24"/>
          <w:szCs w:val="24"/>
        </w:rPr>
        <w:t xml:space="preserve"> on its northern side</w:t>
      </w:r>
      <w:r w:rsidR="00F11C0C">
        <w:rPr>
          <w:rFonts w:asciiTheme="minorBidi" w:hAnsiTheme="minorBidi"/>
          <w:sz w:val="24"/>
          <w:szCs w:val="24"/>
        </w:rPr>
        <w:t xml:space="preserve"> – that is, Chesalon.”</w:t>
      </w:r>
    </w:p>
    <w:p w:rsidR="000E115F" w:rsidRDefault="000E115F" w:rsidP="00E320D4">
      <w:pPr>
        <w:spacing w:after="0" w:line="240" w:lineRule="auto"/>
        <w:jc w:val="both"/>
        <w:outlineLvl w:val="0"/>
        <w:rPr>
          <w:rFonts w:asciiTheme="minorBidi" w:hAnsiTheme="minorBidi"/>
          <w:sz w:val="24"/>
          <w:szCs w:val="24"/>
        </w:rPr>
      </w:pPr>
    </w:p>
    <w:p w:rsidR="008E1427" w:rsidRDefault="000E115F" w:rsidP="00E320D4">
      <w:pPr>
        <w:keepNext/>
        <w:spacing w:after="0" w:line="240" w:lineRule="auto"/>
        <w:jc w:val="center"/>
        <w:outlineLvl w:val="0"/>
      </w:pPr>
      <w:r>
        <w:rPr>
          <w:rFonts w:asciiTheme="minorBidi" w:hAnsiTheme="minorBidi"/>
          <w:noProof/>
          <w:sz w:val="24"/>
          <w:szCs w:val="24"/>
        </w:rPr>
        <w:drawing>
          <wp:inline distT="0" distB="0" distL="0" distR="0" wp14:anchorId="0B6B189E" wp14:editId="269C1DAC">
            <wp:extent cx="4433978" cy="295474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כתף הר יערים - כסלון.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1331" cy="2952976"/>
                    </a:xfrm>
                    <a:prstGeom prst="rect">
                      <a:avLst/>
                    </a:prstGeom>
                  </pic:spPr>
                </pic:pic>
              </a:graphicData>
            </a:graphic>
          </wp:inline>
        </w:drawing>
      </w:r>
    </w:p>
    <w:p w:rsidR="000E115F" w:rsidRPr="00E320D4" w:rsidRDefault="0048347D" w:rsidP="00E320D4">
      <w:pPr>
        <w:pStyle w:val="Caption"/>
        <w:jc w:val="center"/>
        <w:rPr>
          <w:rFonts w:asciiTheme="minorBidi" w:hAnsiTheme="minorBidi"/>
          <w:sz w:val="20"/>
          <w:szCs w:val="20"/>
        </w:rPr>
      </w:pPr>
      <w:r>
        <w:rPr>
          <w:rFonts w:asciiTheme="minorBidi" w:hAnsiTheme="minorBidi"/>
          <w:b w:val="0"/>
          <w:bCs w:val="0"/>
          <w:color w:val="auto"/>
          <w:sz w:val="20"/>
          <w:szCs w:val="20"/>
        </w:rPr>
        <w:t>Nahal Ksalon with the tell of Kasla</w:t>
      </w:r>
      <w:r w:rsidR="00116D0A">
        <w:rPr>
          <w:rFonts w:asciiTheme="minorBidi" w:hAnsiTheme="minorBidi"/>
          <w:b w:val="0"/>
          <w:bCs w:val="0"/>
          <w:color w:val="auto"/>
          <w:sz w:val="20"/>
          <w:szCs w:val="20"/>
        </w:rPr>
        <w:t xml:space="preserve"> – ancient Chesalon (the bright area on the top of the central hill). The wooded slope below the tell is “the </w:t>
      </w:r>
      <w:r w:rsidR="00116D0A">
        <w:rPr>
          <w:rFonts w:asciiTheme="minorBidi" w:hAnsiTheme="minorBidi"/>
          <w:b w:val="0"/>
          <w:bCs w:val="0"/>
          <w:i/>
          <w:iCs/>
          <w:color w:val="auto"/>
          <w:sz w:val="20"/>
          <w:szCs w:val="20"/>
        </w:rPr>
        <w:t>katef</w:t>
      </w:r>
      <w:r w:rsidR="00116D0A">
        <w:rPr>
          <w:rFonts w:asciiTheme="minorBidi" w:hAnsiTheme="minorBidi"/>
          <w:b w:val="0"/>
          <w:bCs w:val="0"/>
          <w:color w:val="auto"/>
          <w:sz w:val="20"/>
          <w:szCs w:val="20"/>
        </w:rPr>
        <w:t xml:space="preserve"> of Mount Jearim to the north.” (Courtesy of Dr. Zev Rothkoff)</w:t>
      </w:r>
    </w:p>
    <w:p w:rsidR="00F11C0C" w:rsidRDefault="00F11C0C" w:rsidP="00E320D4">
      <w:pPr>
        <w:spacing w:after="0" w:line="240" w:lineRule="auto"/>
        <w:jc w:val="both"/>
        <w:outlineLvl w:val="0"/>
        <w:rPr>
          <w:rFonts w:asciiTheme="minorBidi" w:hAnsiTheme="minorBidi"/>
          <w:sz w:val="24"/>
          <w:szCs w:val="24"/>
        </w:rPr>
      </w:pPr>
    </w:p>
    <w:p w:rsidR="00F11C0C" w:rsidRDefault="00F11C0C" w:rsidP="00E320D4">
      <w:pPr>
        <w:spacing w:after="0" w:line="240" w:lineRule="auto"/>
        <w:jc w:val="both"/>
        <w:outlineLvl w:val="0"/>
        <w:rPr>
          <w:rFonts w:asciiTheme="minorBidi" w:hAnsiTheme="minorBidi"/>
          <w:sz w:val="24"/>
          <w:szCs w:val="24"/>
        </w:rPr>
      </w:pPr>
      <w:r>
        <w:rPr>
          <w:rFonts w:asciiTheme="minorBidi" w:hAnsiTheme="minorBidi"/>
          <w:sz w:val="24"/>
          <w:szCs w:val="24"/>
        </w:rPr>
        <w:tab/>
        <w:t xml:space="preserve">A second example can be found in Joshua 18. On the eastern part of the southern border of the territory of Benjamin, we find the description, “to the </w:t>
      </w:r>
      <w:r>
        <w:rPr>
          <w:rFonts w:asciiTheme="minorBidi" w:hAnsiTheme="minorBidi"/>
          <w:i/>
          <w:iCs/>
          <w:sz w:val="24"/>
          <w:szCs w:val="24"/>
        </w:rPr>
        <w:t>katef</w:t>
      </w:r>
      <w:r>
        <w:rPr>
          <w:rFonts w:asciiTheme="minorBidi" w:hAnsiTheme="minorBidi"/>
          <w:sz w:val="24"/>
          <w:szCs w:val="24"/>
        </w:rPr>
        <w:t xml:space="preserve"> </w:t>
      </w:r>
      <w:r w:rsidR="00FB712B">
        <w:rPr>
          <w:rFonts w:asciiTheme="minorBidi" w:hAnsiTheme="minorBidi"/>
          <w:sz w:val="24"/>
          <w:szCs w:val="24"/>
        </w:rPr>
        <w:t xml:space="preserve">adjacent to </w:t>
      </w:r>
      <w:r>
        <w:rPr>
          <w:rFonts w:asciiTheme="minorBidi" w:hAnsiTheme="minorBidi"/>
          <w:sz w:val="24"/>
          <w:szCs w:val="24"/>
        </w:rPr>
        <w:t>the Arabah</w:t>
      </w:r>
      <w:r w:rsidR="00FB712B">
        <w:rPr>
          <w:rFonts w:asciiTheme="minorBidi" w:hAnsiTheme="minorBidi"/>
          <w:sz w:val="24"/>
          <w:szCs w:val="24"/>
        </w:rPr>
        <w:t xml:space="preserve"> northward</w:t>
      </w:r>
      <w:r>
        <w:rPr>
          <w:rFonts w:asciiTheme="minorBidi" w:hAnsiTheme="minorBidi"/>
          <w:sz w:val="24"/>
          <w:szCs w:val="24"/>
        </w:rPr>
        <w:t xml:space="preserve">” (18:18). The </w:t>
      </w:r>
      <w:r>
        <w:rPr>
          <w:rFonts w:asciiTheme="minorBidi" w:hAnsiTheme="minorBidi"/>
          <w:b/>
          <w:bCs/>
          <w:sz w:val="24"/>
          <w:szCs w:val="24"/>
        </w:rPr>
        <w:t>Arabah</w:t>
      </w:r>
      <w:r w:rsidR="00FB712B">
        <w:rPr>
          <w:rFonts w:asciiTheme="minorBidi" w:hAnsiTheme="minorBidi"/>
          <w:sz w:val="24"/>
          <w:szCs w:val="24"/>
        </w:rPr>
        <w:t xml:space="preserve"> here</w:t>
      </w:r>
      <w:r>
        <w:rPr>
          <w:rFonts w:asciiTheme="minorBidi" w:hAnsiTheme="minorBidi"/>
          <w:sz w:val="24"/>
          <w:szCs w:val="24"/>
        </w:rPr>
        <w:t xml:space="preserve"> is the</w:t>
      </w:r>
      <w:r w:rsidR="0042792B">
        <w:rPr>
          <w:rFonts w:asciiTheme="minorBidi" w:hAnsiTheme="minorBidi"/>
          <w:sz w:val="24"/>
          <w:szCs w:val="24"/>
        </w:rPr>
        <w:t xml:space="preserve"> Jordan Valley and the Dead Sea and “the </w:t>
      </w:r>
      <w:r w:rsidR="0042792B">
        <w:rPr>
          <w:rFonts w:asciiTheme="minorBidi" w:hAnsiTheme="minorBidi"/>
          <w:i/>
          <w:iCs/>
          <w:sz w:val="24"/>
          <w:szCs w:val="24"/>
        </w:rPr>
        <w:t>katef</w:t>
      </w:r>
      <w:r w:rsidR="0042792B">
        <w:rPr>
          <w:rFonts w:asciiTheme="minorBidi" w:hAnsiTheme="minorBidi"/>
          <w:sz w:val="24"/>
          <w:szCs w:val="24"/>
        </w:rPr>
        <w:t xml:space="preserve"> </w:t>
      </w:r>
      <w:r w:rsidR="00FB712B">
        <w:rPr>
          <w:rFonts w:asciiTheme="minorBidi" w:hAnsiTheme="minorBidi"/>
          <w:sz w:val="24"/>
          <w:szCs w:val="24"/>
        </w:rPr>
        <w:t xml:space="preserve">adjacent to </w:t>
      </w:r>
      <w:r w:rsidR="0042792B">
        <w:rPr>
          <w:rFonts w:asciiTheme="minorBidi" w:hAnsiTheme="minorBidi"/>
          <w:sz w:val="24"/>
          <w:szCs w:val="24"/>
        </w:rPr>
        <w:t>the Arabah” is what is known today as the “Fault Cliff,” a</w:t>
      </w:r>
      <w:r w:rsidR="007F1BAC">
        <w:rPr>
          <w:rFonts w:asciiTheme="minorBidi" w:hAnsiTheme="minorBidi"/>
          <w:sz w:val="24"/>
          <w:szCs w:val="24"/>
        </w:rPr>
        <w:t>n intense,</w:t>
      </w:r>
      <w:r w:rsidR="0042792B">
        <w:rPr>
          <w:rFonts w:asciiTheme="minorBidi" w:hAnsiTheme="minorBidi"/>
          <w:sz w:val="24"/>
          <w:szCs w:val="24"/>
        </w:rPr>
        <w:t xml:space="preserve"> craggy </w:t>
      </w:r>
      <w:r w:rsidR="007F1BAC">
        <w:rPr>
          <w:rFonts w:asciiTheme="minorBidi" w:hAnsiTheme="minorBidi"/>
          <w:sz w:val="24"/>
          <w:szCs w:val="24"/>
        </w:rPr>
        <w:t xml:space="preserve">slope </w:t>
      </w:r>
      <w:r w:rsidR="0042792B">
        <w:rPr>
          <w:rFonts w:asciiTheme="minorBidi" w:hAnsiTheme="minorBidi"/>
          <w:sz w:val="24"/>
          <w:szCs w:val="24"/>
        </w:rPr>
        <w:t xml:space="preserve">that descends in the direction of the Dead Sea. The northernmost point of this </w:t>
      </w:r>
      <w:r w:rsidR="007F1BAC">
        <w:rPr>
          <w:rFonts w:asciiTheme="minorBidi" w:hAnsiTheme="minorBidi"/>
          <w:sz w:val="24"/>
          <w:szCs w:val="24"/>
        </w:rPr>
        <w:t>slope</w:t>
      </w:r>
      <w:r w:rsidR="001B0627">
        <w:rPr>
          <w:rFonts w:asciiTheme="minorBidi" w:hAnsiTheme="minorBidi"/>
          <w:sz w:val="24"/>
          <w:szCs w:val="24"/>
        </w:rPr>
        <w:t xml:space="preserve"> is Nahal Og in the northern Dead Sea region, near Kibbutz Almog; it serves as the southern border of the territory of Benjamin and the northern border of neighboring Judah.</w:t>
      </w:r>
    </w:p>
    <w:p w:rsidR="001B0627" w:rsidRDefault="001B0627" w:rsidP="00E320D4">
      <w:pPr>
        <w:spacing w:after="0" w:line="240" w:lineRule="auto"/>
        <w:jc w:val="both"/>
        <w:outlineLvl w:val="0"/>
        <w:rPr>
          <w:rFonts w:asciiTheme="minorBidi" w:hAnsiTheme="minorBidi"/>
          <w:sz w:val="24"/>
          <w:szCs w:val="24"/>
        </w:rPr>
      </w:pPr>
    </w:p>
    <w:p w:rsidR="001B0627" w:rsidRDefault="001B0627" w:rsidP="00E320D4">
      <w:pPr>
        <w:spacing w:after="0" w:line="240" w:lineRule="auto"/>
        <w:jc w:val="both"/>
        <w:outlineLvl w:val="0"/>
        <w:rPr>
          <w:rFonts w:asciiTheme="minorBidi" w:hAnsiTheme="minorBidi"/>
          <w:iCs/>
          <w:sz w:val="24"/>
          <w:szCs w:val="24"/>
        </w:rPr>
      </w:pPr>
      <w:r>
        <w:rPr>
          <w:rFonts w:asciiTheme="minorBidi" w:hAnsiTheme="minorBidi"/>
          <w:sz w:val="24"/>
          <w:szCs w:val="24"/>
        </w:rPr>
        <w:lastRenderedPageBreak/>
        <w:tab/>
        <w:t xml:space="preserve">Now we can return to the phrase “the </w:t>
      </w:r>
      <w:r>
        <w:rPr>
          <w:rFonts w:asciiTheme="minorBidi" w:hAnsiTheme="minorBidi"/>
          <w:i/>
          <w:sz w:val="24"/>
          <w:szCs w:val="24"/>
        </w:rPr>
        <w:t>katef</w:t>
      </w:r>
      <w:r>
        <w:rPr>
          <w:rFonts w:asciiTheme="minorBidi" w:hAnsiTheme="minorBidi"/>
          <w:iCs/>
          <w:sz w:val="24"/>
          <w:szCs w:val="24"/>
        </w:rPr>
        <w:t xml:space="preserve"> of the Sea of Chinnereth</w:t>
      </w:r>
      <w:r w:rsidR="00967717">
        <w:rPr>
          <w:rFonts w:asciiTheme="minorBidi" w:hAnsiTheme="minorBidi"/>
          <w:iCs/>
          <w:sz w:val="24"/>
          <w:szCs w:val="24"/>
        </w:rPr>
        <w:t xml:space="preserve"> to the east</w:t>
      </w:r>
      <w:r>
        <w:rPr>
          <w:rFonts w:asciiTheme="minorBidi" w:hAnsiTheme="minorBidi"/>
          <w:iCs/>
          <w:sz w:val="24"/>
          <w:szCs w:val="24"/>
        </w:rPr>
        <w:t xml:space="preserve">.” In light of the other instances of </w:t>
      </w:r>
      <w:r>
        <w:rPr>
          <w:rFonts w:asciiTheme="minorBidi" w:hAnsiTheme="minorBidi"/>
          <w:i/>
          <w:sz w:val="24"/>
          <w:szCs w:val="24"/>
        </w:rPr>
        <w:t>katef</w:t>
      </w:r>
      <w:r>
        <w:rPr>
          <w:rFonts w:asciiTheme="minorBidi" w:hAnsiTheme="minorBidi"/>
          <w:iCs/>
          <w:sz w:val="24"/>
          <w:szCs w:val="24"/>
        </w:rPr>
        <w:t xml:space="preserve"> in the </w:t>
      </w:r>
      <w:r>
        <w:rPr>
          <w:rFonts w:asciiTheme="minorBidi" w:hAnsiTheme="minorBidi"/>
          <w:i/>
          <w:sz w:val="24"/>
          <w:szCs w:val="24"/>
        </w:rPr>
        <w:t>Tanakh</w:t>
      </w:r>
      <w:r>
        <w:rPr>
          <w:rFonts w:asciiTheme="minorBidi" w:hAnsiTheme="minorBidi"/>
          <w:iCs/>
          <w:sz w:val="24"/>
          <w:szCs w:val="24"/>
        </w:rPr>
        <w:t xml:space="preserve">, we must immediately reject any interpretation that maintains that this is simply a neutral expression describing the eastern </w:t>
      </w:r>
      <w:r w:rsidR="00A442AD">
        <w:rPr>
          <w:rFonts w:asciiTheme="minorBidi" w:hAnsiTheme="minorBidi"/>
          <w:iCs/>
          <w:sz w:val="24"/>
          <w:szCs w:val="24"/>
        </w:rPr>
        <w:t xml:space="preserve">shore </w:t>
      </w:r>
      <w:r>
        <w:rPr>
          <w:rFonts w:asciiTheme="minorBidi" w:hAnsiTheme="minorBidi"/>
          <w:iCs/>
          <w:sz w:val="24"/>
          <w:szCs w:val="24"/>
        </w:rPr>
        <w:t xml:space="preserve">of the Sea of Galilee or a certain protrusion in the waterline (if indeed such a protrusion exists). </w:t>
      </w:r>
      <w:r w:rsidRPr="001B0627">
        <w:rPr>
          <w:rFonts w:asciiTheme="minorBidi" w:hAnsiTheme="minorBidi"/>
          <w:b/>
          <w:bCs/>
          <w:iCs/>
          <w:sz w:val="24"/>
          <w:szCs w:val="24"/>
        </w:rPr>
        <w:t xml:space="preserve">“The </w:t>
      </w:r>
      <w:r w:rsidRPr="001B0627">
        <w:rPr>
          <w:rFonts w:asciiTheme="minorBidi" w:hAnsiTheme="minorBidi"/>
          <w:b/>
          <w:bCs/>
          <w:i/>
          <w:sz w:val="24"/>
          <w:szCs w:val="24"/>
        </w:rPr>
        <w:t xml:space="preserve">katef </w:t>
      </w:r>
      <w:r w:rsidRPr="001B0627">
        <w:rPr>
          <w:rFonts w:asciiTheme="minorBidi" w:hAnsiTheme="minorBidi"/>
          <w:b/>
          <w:bCs/>
          <w:iCs/>
          <w:sz w:val="24"/>
          <w:szCs w:val="24"/>
        </w:rPr>
        <w:t>of the Sea of Chinnereth”</w:t>
      </w:r>
      <w:r>
        <w:rPr>
          <w:rFonts w:asciiTheme="minorBidi" w:hAnsiTheme="minorBidi"/>
          <w:b/>
          <w:bCs/>
          <w:iCs/>
          <w:sz w:val="24"/>
          <w:szCs w:val="24"/>
        </w:rPr>
        <w:t xml:space="preserve"> </w:t>
      </w:r>
      <w:r>
        <w:rPr>
          <w:rFonts w:asciiTheme="minorBidi" w:hAnsiTheme="minorBidi"/>
          <w:iCs/>
          <w:sz w:val="24"/>
          <w:szCs w:val="24"/>
        </w:rPr>
        <w:t xml:space="preserve">must be an elevated plain or a wide, </w:t>
      </w:r>
      <w:r w:rsidR="00727ECF">
        <w:rPr>
          <w:rFonts w:asciiTheme="minorBidi" w:hAnsiTheme="minorBidi"/>
          <w:iCs/>
          <w:sz w:val="24"/>
          <w:szCs w:val="24"/>
        </w:rPr>
        <w:t>horizontal</w:t>
      </w:r>
      <w:r>
        <w:rPr>
          <w:rFonts w:asciiTheme="minorBidi" w:hAnsiTheme="minorBidi"/>
          <w:iCs/>
          <w:sz w:val="24"/>
          <w:szCs w:val="24"/>
        </w:rPr>
        <w:t xml:space="preserve"> ridge</w:t>
      </w:r>
      <w:r w:rsidR="00727ECF">
        <w:rPr>
          <w:rFonts w:asciiTheme="minorBidi" w:hAnsiTheme="minorBidi"/>
          <w:iCs/>
          <w:sz w:val="24"/>
          <w:szCs w:val="24"/>
        </w:rPr>
        <w:t xml:space="preserve"> adjacent to the Sea of Galilee, </w:t>
      </w:r>
      <w:r w:rsidR="00A442AD">
        <w:rPr>
          <w:rFonts w:asciiTheme="minorBidi" w:hAnsiTheme="minorBidi"/>
          <w:iCs/>
          <w:sz w:val="24"/>
          <w:szCs w:val="24"/>
        </w:rPr>
        <w:t xml:space="preserve">and </w:t>
      </w:r>
      <w:r w:rsidR="00727ECF">
        <w:rPr>
          <w:rFonts w:asciiTheme="minorBidi" w:hAnsiTheme="minorBidi"/>
          <w:iCs/>
          <w:sz w:val="24"/>
          <w:szCs w:val="24"/>
        </w:rPr>
        <w:t xml:space="preserve">defined by </w:t>
      </w:r>
      <w:r w:rsidR="00A442AD">
        <w:rPr>
          <w:rFonts w:asciiTheme="minorBidi" w:hAnsiTheme="minorBidi"/>
          <w:iCs/>
          <w:sz w:val="24"/>
          <w:szCs w:val="24"/>
        </w:rPr>
        <w:t>i</w:t>
      </w:r>
      <w:r w:rsidR="00727ECF">
        <w:rPr>
          <w:rFonts w:asciiTheme="minorBidi" w:hAnsiTheme="minorBidi"/>
          <w:iCs/>
          <w:sz w:val="24"/>
          <w:szCs w:val="24"/>
        </w:rPr>
        <w:t xml:space="preserve">t. In theory, this </w:t>
      </w:r>
      <w:r w:rsidR="00727ECF">
        <w:rPr>
          <w:rFonts w:asciiTheme="minorBidi" w:hAnsiTheme="minorBidi"/>
          <w:i/>
          <w:sz w:val="24"/>
          <w:szCs w:val="24"/>
        </w:rPr>
        <w:t>katef</w:t>
      </w:r>
      <w:r w:rsidR="00727ECF">
        <w:rPr>
          <w:rFonts w:asciiTheme="minorBidi" w:hAnsiTheme="minorBidi"/>
          <w:iCs/>
          <w:sz w:val="24"/>
          <w:szCs w:val="24"/>
        </w:rPr>
        <w:t xml:space="preserve"> could be situated on either side of the sea, but in practice the ridges west of the sea do not come into the equation, for two reasons. First, the borderline described in the Torah originates in the northeast. Second, if we move the eastern borderline of the land of Canaan to the western side of the Sea of Galilee, this would mean that the western shore of the sea would not be included within the borders of the land of Canaan. This notion would conflict with the account in Joshua 19:35, which states that Hammath, Rakkath and Chinnereth – cities on the western </w:t>
      </w:r>
      <w:r w:rsidR="007F1BAC">
        <w:rPr>
          <w:rFonts w:asciiTheme="minorBidi" w:hAnsiTheme="minorBidi"/>
          <w:iCs/>
          <w:sz w:val="24"/>
          <w:szCs w:val="24"/>
        </w:rPr>
        <w:t xml:space="preserve">shore of the Sea of Galilee – are included in the territory of the tribe of Naphtali. Thus, it seems that “the </w:t>
      </w:r>
      <w:r w:rsidR="007F1BAC">
        <w:rPr>
          <w:rFonts w:asciiTheme="minorBidi" w:hAnsiTheme="minorBidi"/>
          <w:i/>
          <w:sz w:val="24"/>
          <w:szCs w:val="24"/>
        </w:rPr>
        <w:t>katef</w:t>
      </w:r>
      <w:r w:rsidR="007F1BAC">
        <w:rPr>
          <w:rFonts w:asciiTheme="minorBidi" w:hAnsiTheme="minorBidi"/>
          <w:iCs/>
          <w:sz w:val="24"/>
          <w:szCs w:val="24"/>
        </w:rPr>
        <w:t xml:space="preserve"> of the Sea of Chinnereth” is the Golan Heights, the large elevated plain that runs along the length of the Sea of Galilee (similar to “the </w:t>
      </w:r>
      <w:r w:rsidR="007F1BAC">
        <w:rPr>
          <w:rFonts w:asciiTheme="minorBidi" w:hAnsiTheme="minorBidi"/>
          <w:i/>
          <w:sz w:val="24"/>
          <w:szCs w:val="24"/>
        </w:rPr>
        <w:t>katef</w:t>
      </w:r>
      <w:r w:rsidR="007F1BAC">
        <w:rPr>
          <w:rFonts w:asciiTheme="minorBidi" w:hAnsiTheme="minorBidi"/>
          <w:iCs/>
          <w:sz w:val="24"/>
          <w:szCs w:val="24"/>
        </w:rPr>
        <w:t xml:space="preserve"> </w:t>
      </w:r>
      <w:r w:rsidR="00A442AD">
        <w:rPr>
          <w:rFonts w:asciiTheme="minorBidi" w:hAnsiTheme="minorBidi"/>
          <w:iCs/>
          <w:sz w:val="24"/>
          <w:szCs w:val="24"/>
        </w:rPr>
        <w:t xml:space="preserve">adjacent to </w:t>
      </w:r>
      <w:r w:rsidR="007F1BAC">
        <w:rPr>
          <w:rFonts w:asciiTheme="minorBidi" w:hAnsiTheme="minorBidi"/>
          <w:iCs/>
          <w:sz w:val="24"/>
          <w:szCs w:val="24"/>
        </w:rPr>
        <w:t>the Arabah,” which runs along the Arabah Sea, i.e., the Dead Sea).</w:t>
      </w:r>
    </w:p>
    <w:p w:rsidR="007F1BAC" w:rsidRDefault="007F1BAC" w:rsidP="00E320D4">
      <w:pPr>
        <w:spacing w:after="0" w:line="240" w:lineRule="auto"/>
        <w:jc w:val="both"/>
        <w:outlineLvl w:val="0"/>
        <w:rPr>
          <w:rFonts w:asciiTheme="minorBidi" w:hAnsiTheme="minorBidi"/>
          <w:iCs/>
          <w:sz w:val="24"/>
          <w:szCs w:val="24"/>
        </w:rPr>
      </w:pPr>
    </w:p>
    <w:p w:rsidR="007F1BAC" w:rsidRDefault="007F1BAC" w:rsidP="00E320D4">
      <w:pPr>
        <w:spacing w:after="0" w:line="240" w:lineRule="auto"/>
        <w:jc w:val="both"/>
        <w:outlineLvl w:val="0"/>
        <w:rPr>
          <w:rFonts w:asciiTheme="minorBidi" w:hAnsiTheme="minorBidi"/>
          <w:iCs/>
          <w:sz w:val="24"/>
          <w:szCs w:val="24"/>
        </w:rPr>
      </w:pPr>
      <w:r>
        <w:rPr>
          <w:rFonts w:asciiTheme="minorBidi" w:hAnsiTheme="minorBidi"/>
          <w:iCs/>
          <w:sz w:val="24"/>
          <w:szCs w:val="24"/>
        </w:rPr>
        <w:tab/>
        <w:t xml:space="preserve">What, then, is “the </w:t>
      </w:r>
      <w:r>
        <w:rPr>
          <w:rFonts w:asciiTheme="minorBidi" w:hAnsiTheme="minorBidi"/>
          <w:i/>
          <w:sz w:val="24"/>
          <w:szCs w:val="24"/>
        </w:rPr>
        <w:t>katef</w:t>
      </w:r>
      <w:r>
        <w:rPr>
          <w:rFonts w:asciiTheme="minorBidi" w:hAnsiTheme="minorBidi"/>
          <w:iCs/>
          <w:sz w:val="24"/>
          <w:szCs w:val="24"/>
        </w:rPr>
        <w:t xml:space="preserve"> of the Sea of Chinnereth</w:t>
      </w:r>
      <w:r w:rsidR="00A442AD">
        <w:rPr>
          <w:rFonts w:asciiTheme="minorBidi" w:hAnsiTheme="minorBidi"/>
          <w:iCs/>
          <w:sz w:val="24"/>
          <w:szCs w:val="24"/>
        </w:rPr>
        <w:t xml:space="preserve"> to the east</w:t>
      </w:r>
      <w:r>
        <w:rPr>
          <w:rFonts w:asciiTheme="minorBidi" w:hAnsiTheme="minorBidi"/>
          <w:iCs/>
          <w:sz w:val="24"/>
          <w:szCs w:val="24"/>
        </w:rPr>
        <w:t xml:space="preserve">”? Various scholars interpreted this to mean “the </w:t>
      </w:r>
      <w:r>
        <w:rPr>
          <w:rFonts w:asciiTheme="minorBidi" w:hAnsiTheme="minorBidi"/>
          <w:i/>
          <w:sz w:val="24"/>
          <w:szCs w:val="24"/>
        </w:rPr>
        <w:t>katef</w:t>
      </w:r>
      <w:r>
        <w:rPr>
          <w:rFonts w:asciiTheme="minorBidi" w:hAnsiTheme="minorBidi"/>
          <w:iCs/>
          <w:sz w:val="24"/>
          <w:szCs w:val="24"/>
        </w:rPr>
        <w:t xml:space="preserve"> that is east of the Sea of Chinnereth” – a general term for the Golan Heights – and moved the borderline to the </w:t>
      </w:r>
      <w:r w:rsidRPr="007F1BAC">
        <w:rPr>
          <w:rFonts w:asciiTheme="minorBidi" w:hAnsiTheme="minorBidi"/>
          <w:b/>
          <w:bCs/>
          <w:iCs/>
          <w:sz w:val="24"/>
          <w:szCs w:val="24"/>
        </w:rPr>
        <w:t>western</w:t>
      </w:r>
      <w:r>
        <w:rPr>
          <w:rFonts w:asciiTheme="minorBidi" w:hAnsiTheme="minorBidi"/>
          <w:iCs/>
          <w:sz w:val="24"/>
          <w:szCs w:val="24"/>
        </w:rPr>
        <w:t xml:space="preserve"> slope of the Golan Heights. </w:t>
      </w:r>
      <w:r w:rsidR="00A442AD">
        <w:rPr>
          <w:rFonts w:asciiTheme="minorBidi" w:hAnsiTheme="minorBidi"/>
          <w:iCs/>
          <w:sz w:val="24"/>
          <w:szCs w:val="24"/>
        </w:rPr>
        <w:t xml:space="preserve">But the </w:t>
      </w:r>
      <w:r>
        <w:rPr>
          <w:rFonts w:asciiTheme="minorBidi" w:hAnsiTheme="minorBidi"/>
          <w:iCs/>
          <w:sz w:val="24"/>
          <w:szCs w:val="24"/>
        </w:rPr>
        <w:t xml:space="preserve">parallel instances of </w:t>
      </w:r>
      <w:r>
        <w:rPr>
          <w:rFonts w:asciiTheme="minorBidi" w:hAnsiTheme="minorBidi"/>
          <w:i/>
          <w:sz w:val="24"/>
          <w:szCs w:val="24"/>
        </w:rPr>
        <w:t>katef</w:t>
      </w:r>
      <w:r>
        <w:rPr>
          <w:rFonts w:asciiTheme="minorBidi" w:hAnsiTheme="minorBidi"/>
          <w:iCs/>
          <w:sz w:val="24"/>
          <w:szCs w:val="24"/>
        </w:rPr>
        <w:t xml:space="preserve"> in the </w:t>
      </w:r>
      <w:r>
        <w:rPr>
          <w:rFonts w:asciiTheme="minorBidi" w:hAnsiTheme="minorBidi"/>
          <w:i/>
          <w:sz w:val="24"/>
          <w:szCs w:val="24"/>
        </w:rPr>
        <w:t>Tanakh</w:t>
      </w:r>
      <w:r>
        <w:rPr>
          <w:rFonts w:asciiTheme="minorBidi" w:hAnsiTheme="minorBidi"/>
          <w:iCs/>
          <w:sz w:val="24"/>
          <w:szCs w:val="24"/>
        </w:rPr>
        <w:t xml:space="preserve"> and the consistent role of the direction in each instance teach us that the opposite is true. In order to find the location described in the verse, we must search for the </w:t>
      </w:r>
      <w:r>
        <w:rPr>
          <w:rFonts w:asciiTheme="minorBidi" w:hAnsiTheme="minorBidi"/>
          <w:b/>
          <w:bCs/>
          <w:iCs/>
          <w:sz w:val="24"/>
          <w:szCs w:val="24"/>
        </w:rPr>
        <w:t xml:space="preserve">eastern </w:t>
      </w:r>
      <w:r w:rsidR="00885E4F">
        <w:rPr>
          <w:rFonts w:asciiTheme="minorBidi" w:hAnsiTheme="minorBidi"/>
          <w:iCs/>
          <w:sz w:val="24"/>
          <w:szCs w:val="24"/>
        </w:rPr>
        <w:t>slope</w:t>
      </w:r>
      <w:r>
        <w:rPr>
          <w:rFonts w:asciiTheme="minorBidi" w:hAnsiTheme="minorBidi"/>
          <w:iCs/>
          <w:sz w:val="24"/>
          <w:szCs w:val="24"/>
        </w:rPr>
        <w:t xml:space="preserve"> of the Golan Heights</w:t>
      </w:r>
      <w:r w:rsidR="00885E4F">
        <w:rPr>
          <w:rFonts w:asciiTheme="minorBidi" w:hAnsiTheme="minorBidi"/>
          <w:iCs/>
          <w:sz w:val="24"/>
          <w:szCs w:val="24"/>
        </w:rPr>
        <w:t>. The eastern slope of the Golan Heights consists of the cliffs that descend from the Golan Heights into Nahal Rukad, which is “coincidentally” the</w:t>
      </w:r>
      <w:r w:rsidR="00A442AD">
        <w:rPr>
          <w:rFonts w:asciiTheme="minorBidi" w:hAnsiTheme="minorBidi"/>
          <w:iCs/>
          <w:sz w:val="24"/>
          <w:szCs w:val="24"/>
        </w:rPr>
        <w:t xml:space="preserve"> contemporary</w:t>
      </w:r>
      <w:r w:rsidR="00885E4F">
        <w:rPr>
          <w:rFonts w:asciiTheme="minorBidi" w:hAnsiTheme="minorBidi"/>
          <w:iCs/>
          <w:sz w:val="24"/>
          <w:szCs w:val="24"/>
        </w:rPr>
        <w:t xml:space="preserve"> northern part of the eastern border of the State of Israel.</w:t>
      </w:r>
    </w:p>
    <w:p w:rsidR="00116D0A" w:rsidRDefault="00116D0A" w:rsidP="00E320D4">
      <w:pPr>
        <w:spacing w:after="0" w:line="240" w:lineRule="auto"/>
        <w:jc w:val="both"/>
        <w:outlineLvl w:val="0"/>
        <w:rPr>
          <w:rFonts w:asciiTheme="minorBidi" w:hAnsiTheme="minorBidi"/>
          <w:iCs/>
          <w:sz w:val="24"/>
          <w:szCs w:val="24"/>
        </w:rPr>
      </w:pPr>
    </w:p>
    <w:p w:rsidR="00116D0A" w:rsidRDefault="00116D0A" w:rsidP="00E320D4">
      <w:pPr>
        <w:keepNext/>
        <w:spacing w:after="0" w:line="240" w:lineRule="auto"/>
        <w:jc w:val="center"/>
        <w:outlineLvl w:val="0"/>
      </w:pPr>
      <w:r>
        <w:rPr>
          <w:rFonts w:asciiTheme="minorBidi" w:hAnsiTheme="minorBidi"/>
          <w:iCs/>
          <w:noProof/>
          <w:sz w:val="24"/>
          <w:szCs w:val="24"/>
        </w:rPr>
        <w:drawing>
          <wp:inline distT="0" distB="0" distL="0" distR="0" wp14:anchorId="4E2B12C5" wp14:editId="657BEDC0">
            <wp:extent cx="4192437" cy="270538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20.jpg"/>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4193817" cy="2706271"/>
                    </a:xfrm>
                    <a:prstGeom prst="rect">
                      <a:avLst/>
                    </a:prstGeom>
                    <a:ln>
                      <a:noFill/>
                    </a:ln>
                    <a:extLst>
                      <a:ext uri="{53640926-AAD7-44D8-BBD7-CCE9431645EC}">
                        <a14:shadowObscured xmlns:a14="http://schemas.microsoft.com/office/drawing/2010/main"/>
                      </a:ext>
                    </a:extLst>
                  </pic:spPr>
                </pic:pic>
              </a:graphicData>
            </a:graphic>
          </wp:inline>
        </w:drawing>
      </w:r>
    </w:p>
    <w:p w:rsidR="00116D0A" w:rsidRPr="00E320D4" w:rsidRDefault="00116D0A" w:rsidP="00E320D4">
      <w:pPr>
        <w:pStyle w:val="Caption"/>
        <w:jc w:val="center"/>
        <w:rPr>
          <w:rFonts w:asciiTheme="minorBidi" w:hAnsiTheme="minorBidi"/>
          <w:iCs/>
          <w:sz w:val="20"/>
          <w:szCs w:val="20"/>
        </w:rPr>
      </w:pPr>
      <w:r>
        <w:rPr>
          <w:rFonts w:asciiTheme="minorBidi" w:hAnsiTheme="minorBidi"/>
          <w:b w:val="0"/>
          <w:bCs w:val="0"/>
          <w:iCs/>
          <w:color w:val="auto"/>
          <w:sz w:val="20"/>
          <w:szCs w:val="20"/>
        </w:rPr>
        <w:t xml:space="preserve">Nahal Rukad. The white slope on the left is “the </w:t>
      </w:r>
      <w:r>
        <w:rPr>
          <w:rFonts w:asciiTheme="minorBidi" w:hAnsiTheme="minorBidi"/>
          <w:b w:val="0"/>
          <w:bCs w:val="0"/>
          <w:i/>
          <w:color w:val="auto"/>
          <w:sz w:val="20"/>
          <w:szCs w:val="20"/>
        </w:rPr>
        <w:t xml:space="preserve">katef </w:t>
      </w:r>
      <w:r>
        <w:rPr>
          <w:rFonts w:asciiTheme="minorBidi" w:hAnsiTheme="minorBidi"/>
          <w:b w:val="0"/>
          <w:bCs w:val="0"/>
          <w:iCs/>
          <w:color w:val="auto"/>
          <w:sz w:val="20"/>
          <w:szCs w:val="20"/>
        </w:rPr>
        <w:t>of the Sea of Chinnereth to the east.” (Courtesy of Samuel Klein)</w:t>
      </w:r>
    </w:p>
    <w:p w:rsidR="00885E4F" w:rsidRDefault="00885E4F" w:rsidP="00E320D4">
      <w:pPr>
        <w:spacing w:after="0" w:line="240" w:lineRule="auto"/>
        <w:jc w:val="both"/>
        <w:outlineLvl w:val="0"/>
        <w:rPr>
          <w:rFonts w:asciiTheme="minorBidi" w:hAnsiTheme="minorBidi"/>
          <w:iCs/>
          <w:sz w:val="24"/>
          <w:szCs w:val="24"/>
        </w:rPr>
      </w:pPr>
    </w:p>
    <w:p w:rsidR="00885E4F" w:rsidRDefault="00885E4F" w:rsidP="00E320D4">
      <w:pPr>
        <w:spacing w:after="0" w:line="240" w:lineRule="auto"/>
        <w:jc w:val="both"/>
        <w:outlineLvl w:val="0"/>
        <w:rPr>
          <w:rFonts w:asciiTheme="minorBidi" w:hAnsiTheme="minorBidi"/>
          <w:b/>
          <w:bCs/>
          <w:iCs/>
          <w:sz w:val="24"/>
          <w:szCs w:val="24"/>
        </w:rPr>
      </w:pPr>
      <w:r>
        <w:rPr>
          <w:rFonts w:asciiTheme="minorBidi" w:hAnsiTheme="minorBidi"/>
          <w:b/>
          <w:bCs/>
          <w:iCs/>
          <w:sz w:val="24"/>
          <w:szCs w:val="24"/>
        </w:rPr>
        <w:lastRenderedPageBreak/>
        <w:t xml:space="preserve">Did the Golan Belong to </w:t>
      </w:r>
      <w:r w:rsidR="00A442AD">
        <w:rPr>
          <w:rFonts w:asciiTheme="minorBidi" w:hAnsiTheme="minorBidi"/>
          <w:b/>
          <w:bCs/>
          <w:iCs/>
          <w:sz w:val="24"/>
          <w:szCs w:val="24"/>
        </w:rPr>
        <w:t xml:space="preserve">the Tribes of </w:t>
      </w:r>
      <w:r w:rsidR="000E115F">
        <w:rPr>
          <w:rFonts w:asciiTheme="minorBidi" w:hAnsiTheme="minorBidi"/>
          <w:b/>
          <w:bCs/>
          <w:iCs/>
          <w:sz w:val="24"/>
          <w:szCs w:val="24"/>
        </w:rPr>
        <w:t xml:space="preserve">the </w:t>
      </w:r>
      <w:r w:rsidR="00A442AD">
        <w:rPr>
          <w:rFonts w:asciiTheme="minorBidi" w:hAnsiTheme="minorBidi"/>
          <w:b/>
          <w:bCs/>
          <w:iCs/>
          <w:sz w:val="24"/>
          <w:szCs w:val="24"/>
        </w:rPr>
        <w:t xml:space="preserve">Transjordan or the Tribes of </w:t>
      </w:r>
      <w:r w:rsidR="000E115F">
        <w:rPr>
          <w:rFonts w:asciiTheme="minorBidi" w:hAnsiTheme="minorBidi"/>
          <w:b/>
          <w:bCs/>
          <w:iCs/>
          <w:sz w:val="24"/>
          <w:szCs w:val="24"/>
        </w:rPr>
        <w:t xml:space="preserve">the </w:t>
      </w:r>
      <w:r w:rsidR="00A442AD">
        <w:rPr>
          <w:rFonts w:asciiTheme="minorBidi" w:hAnsiTheme="minorBidi"/>
          <w:b/>
          <w:bCs/>
          <w:iCs/>
          <w:sz w:val="24"/>
          <w:szCs w:val="24"/>
        </w:rPr>
        <w:t>Cisjordan</w:t>
      </w:r>
      <w:r>
        <w:rPr>
          <w:rFonts w:asciiTheme="minorBidi" w:hAnsiTheme="minorBidi"/>
          <w:b/>
          <w:bCs/>
          <w:iCs/>
          <w:sz w:val="24"/>
          <w:szCs w:val="24"/>
        </w:rPr>
        <w:t>?</w:t>
      </w:r>
    </w:p>
    <w:p w:rsidR="00885E4F" w:rsidRDefault="00885E4F" w:rsidP="00E320D4">
      <w:pPr>
        <w:spacing w:after="0" w:line="240" w:lineRule="auto"/>
        <w:jc w:val="both"/>
        <w:outlineLvl w:val="0"/>
        <w:rPr>
          <w:rFonts w:asciiTheme="minorBidi" w:hAnsiTheme="minorBidi"/>
          <w:b/>
          <w:bCs/>
          <w:iCs/>
          <w:sz w:val="24"/>
          <w:szCs w:val="24"/>
        </w:rPr>
      </w:pPr>
    </w:p>
    <w:p w:rsidR="00885E4F" w:rsidRDefault="00885E4F" w:rsidP="00E320D4">
      <w:pPr>
        <w:spacing w:after="0" w:line="240" w:lineRule="auto"/>
        <w:jc w:val="both"/>
        <w:outlineLvl w:val="0"/>
        <w:rPr>
          <w:rFonts w:asciiTheme="minorBidi" w:hAnsiTheme="minorBidi"/>
          <w:iCs/>
          <w:sz w:val="24"/>
          <w:szCs w:val="24"/>
        </w:rPr>
      </w:pPr>
      <w:r>
        <w:rPr>
          <w:rFonts w:asciiTheme="minorBidi" w:hAnsiTheme="minorBidi"/>
          <w:iCs/>
          <w:sz w:val="24"/>
          <w:szCs w:val="24"/>
        </w:rPr>
        <w:tab/>
        <w:t>There is one more question that we must answer. Based on the ideas that we have developed here, it would seem that the Golan Heights were part of the Cisjordan</w:t>
      </w:r>
      <w:r w:rsidR="00E6766A">
        <w:rPr>
          <w:rFonts w:asciiTheme="minorBidi" w:hAnsiTheme="minorBidi"/>
          <w:iCs/>
          <w:sz w:val="24"/>
          <w:szCs w:val="24"/>
        </w:rPr>
        <w:t xml:space="preserve"> – the western side of the Jordan River. This </w:t>
      </w:r>
      <w:r w:rsidR="000E115F">
        <w:rPr>
          <w:rFonts w:asciiTheme="minorBidi" w:hAnsiTheme="minorBidi"/>
          <w:iCs/>
          <w:sz w:val="24"/>
          <w:szCs w:val="24"/>
        </w:rPr>
        <w:t xml:space="preserve">seems </w:t>
      </w:r>
      <w:r w:rsidR="00E6766A">
        <w:rPr>
          <w:rFonts w:asciiTheme="minorBidi" w:hAnsiTheme="minorBidi"/>
          <w:iCs/>
          <w:sz w:val="24"/>
          <w:szCs w:val="24"/>
        </w:rPr>
        <w:t>difficult to accept, as the Golan lies east of the Jordan and the Sea of Galilee. It is part of the Bashan, the land of Og, a region that was given to the half-tribe of Manasseh. This region contained Havvoth-jair, named for Jair son of Manasseh (Deuteronomy 3:13-14 and others), and “Golan, in Bashan, belonging to the Manassites” (4:43) – the northern city of refuge in the Transjordan! Can it truly be that this region was included in the “</w:t>
      </w:r>
      <w:r w:rsidR="00C26DDA">
        <w:rPr>
          <w:rFonts w:asciiTheme="minorBidi" w:hAnsiTheme="minorBidi"/>
          <w:iCs/>
          <w:sz w:val="24"/>
          <w:szCs w:val="24"/>
        </w:rPr>
        <w:t xml:space="preserve">land of the nine </w:t>
      </w:r>
      <w:r w:rsidR="00E6766A">
        <w:rPr>
          <w:rFonts w:asciiTheme="minorBidi" w:hAnsiTheme="minorBidi"/>
          <w:iCs/>
          <w:sz w:val="24"/>
          <w:szCs w:val="24"/>
        </w:rPr>
        <w:t>an</w:t>
      </w:r>
      <w:r w:rsidR="00C26DDA">
        <w:rPr>
          <w:rFonts w:asciiTheme="minorBidi" w:hAnsiTheme="minorBidi"/>
          <w:iCs/>
          <w:sz w:val="24"/>
          <w:szCs w:val="24"/>
        </w:rPr>
        <w:t>d one-</w:t>
      </w:r>
      <w:r w:rsidR="00E6766A">
        <w:rPr>
          <w:rFonts w:asciiTheme="minorBidi" w:hAnsiTheme="minorBidi"/>
          <w:iCs/>
          <w:sz w:val="24"/>
          <w:szCs w:val="24"/>
        </w:rPr>
        <w:t>half tribes”?</w:t>
      </w:r>
    </w:p>
    <w:p w:rsidR="00513E81" w:rsidRDefault="00513E81" w:rsidP="00E320D4">
      <w:pPr>
        <w:spacing w:after="0" w:line="240" w:lineRule="auto"/>
        <w:jc w:val="both"/>
        <w:outlineLvl w:val="0"/>
        <w:rPr>
          <w:rFonts w:asciiTheme="minorBidi" w:hAnsiTheme="minorBidi"/>
          <w:iCs/>
          <w:sz w:val="24"/>
          <w:szCs w:val="24"/>
        </w:rPr>
      </w:pPr>
    </w:p>
    <w:p w:rsidR="00513E81" w:rsidRDefault="00513E81" w:rsidP="00E320D4">
      <w:pPr>
        <w:spacing w:after="0" w:line="240" w:lineRule="auto"/>
        <w:jc w:val="both"/>
        <w:outlineLvl w:val="0"/>
        <w:rPr>
          <w:rFonts w:asciiTheme="minorBidi" w:hAnsiTheme="minorBidi"/>
          <w:iCs/>
          <w:sz w:val="24"/>
          <w:szCs w:val="24"/>
        </w:rPr>
      </w:pPr>
      <w:r>
        <w:rPr>
          <w:rFonts w:asciiTheme="minorBidi" w:hAnsiTheme="minorBidi"/>
          <w:iCs/>
          <w:sz w:val="24"/>
          <w:szCs w:val="24"/>
        </w:rPr>
        <w:tab/>
        <w:t xml:space="preserve">The genealogical list of the tribe of Judah in I Chronicles 2 provides the answer to this question. According to this list (2:21-23), the famous Jair son of Manasseh was actually from the tribe of </w:t>
      </w:r>
      <w:r w:rsidRPr="00513E81">
        <w:rPr>
          <w:rFonts w:asciiTheme="minorBidi" w:hAnsiTheme="minorBidi"/>
          <w:b/>
          <w:bCs/>
          <w:iCs/>
          <w:sz w:val="24"/>
          <w:szCs w:val="24"/>
        </w:rPr>
        <w:t>Judah</w:t>
      </w:r>
      <w:r>
        <w:rPr>
          <w:rFonts w:asciiTheme="minorBidi" w:hAnsiTheme="minorBidi"/>
          <w:iCs/>
          <w:sz w:val="24"/>
          <w:szCs w:val="24"/>
        </w:rPr>
        <w:t xml:space="preserve">, and his </w:t>
      </w:r>
      <w:r w:rsidR="00D41EA1">
        <w:rPr>
          <w:rFonts w:asciiTheme="minorBidi" w:hAnsiTheme="minorBidi"/>
          <w:iCs/>
          <w:sz w:val="24"/>
          <w:szCs w:val="24"/>
        </w:rPr>
        <w:t>affiliation</w:t>
      </w:r>
      <w:r>
        <w:rPr>
          <w:rFonts w:asciiTheme="minorBidi" w:hAnsiTheme="minorBidi"/>
          <w:iCs/>
          <w:sz w:val="24"/>
          <w:szCs w:val="24"/>
        </w:rPr>
        <w:t xml:space="preserve"> with the tribe of Manasseh stemmed from the fact that he was a grandson of</w:t>
      </w:r>
      <w:r w:rsidR="0078757A">
        <w:rPr>
          <w:rFonts w:asciiTheme="minorBidi" w:hAnsiTheme="minorBidi"/>
          <w:iCs/>
          <w:sz w:val="24"/>
          <w:szCs w:val="24"/>
        </w:rPr>
        <w:t xml:space="preserve"> the daughter of</w:t>
      </w:r>
      <w:r>
        <w:rPr>
          <w:rFonts w:asciiTheme="minorBidi" w:hAnsiTheme="minorBidi"/>
          <w:iCs/>
          <w:sz w:val="24"/>
          <w:szCs w:val="24"/>
        </w:rPr>
        <w:t xml:space="preserve"> Machir son of Manasseh.</w:t>
      </w:r>
      <w:r>
        <w:rPr>
          <w:rStyle w:val="FootnoteReference"/>
          <w:rFonts w:asciiTheme="minorBidi" w:hAnsiTheme="minorBidi"/>
          <w:iCs/>
          <w:sz w:val="24"/>
          <w:szCs w:val="24"/>
        </w:rPr>
        <w:footnoteReference w:id="6"/>
      </w:r>
      <w:r>
        <w:rPr>
          <w:rFonts w:asciiTheme="minorBidi" w:hAnsiTheme="minorBidi"/>
          <w:iCs/>
          <w:sz w:val="24"/>
          <w:szCs w:val="24"/>
        </w:rPr>
        <w:t xml:space="preserve"> In any case, the list in Chronicles teache</w:t>
      </w:r>
      <w:r w:rsidR="00D41EA1">
        <w:rPr>
          <w:rFonts w:asciiTheme="minorBidi" w:hAnsiTheme="minorBidi"/>
          <w:iCs/>
          <w:sz w:val="24"/>
          <w:szCs w:val="24"/>
        </w:rPr>
        <w:t>s</w:t>
      </w:r>
      <w:r>
        <w:rPr>
          <w:rFonts w:asciiTheme="minorBidi" w:hAnsiTheme="minorBidi"/>
          <w:iCs/>
          <w:sz w:val="24"/>
          <w:szCs w:val="24"/>
        </w:rPr>
        <w:t xml:space="preserve"> us that </w:t>
      </w:r>
      <w:r w:rsidR="00D41EA1">
        <w:rPr>
          <w:rFonts w:asciiTheme="minorBidi" w:hAnsiTheme="minorBidi"/>
          <w:iCs/>
          <w:sz w:val="24"/>
          <w:szCs w:val="24"/>
        </w:rPr>
        <w:t>from a certain perspective, the Golan was a kind of territorial addition for the tribe of Judah.</w:t>
      </w:r>
    </w:p>
    <w:p w:rsidR="00D41EA1" w:rsidRDefault="00D41EA1" w:rsidP="00E320D4">
      <w:pPr>
        <w:spacing w:after="0" w:line="240" w:lineRule="auto"/>
        <w:jc w:val="both"/>
        <w:outlineLvl w:val="0"/>
        <w:rPr>
          <w:rFonts w:asciiTheme="minorBidi" w:hAnsiTheme="minorBidi"/>
          <w:iCs/>
          <w:sz w:val="24"/>
          <w:szCs w:val="24"/>
        </w:rPr>
      </w:pPr>
    </w:p>
    <w:p w:rsidR="00D41EA1" w:rsidRDefault="00D41EA1" w:rsidP="00E320D4">
      <w:pPr>
        <w:spacing w:after="0" w:line="240" w:lineRule="auto"/>
        <w:jc w:val="both"/>
        <w:outlineLvl w:val="0"/>
        <w:rPr>
          <w:rFonts w:asciiTheme="minorBidi" w:hAnsiTheme="minorBidi"/>
          <w:iCs/>
          <w:sz w:val="24"/>
          <w:szCs w:val="24"/>
        </w:rPr>
      </w:pPr>
      <w:r>
        <w:rPr>
          <w:rFonts w:asciiTheme="minorBidi" w:hAnsiTheme="minorBidi"/>
          <w:iCs/>
          <w:sz w:val="24"/>
          <w:szCs w:val="24"/>
        </w:rPr>
        <w:tab/>
        <w:t xml:space="preserve">There are two other verses in the </w:t>
      </w:r>
      <w:r>
        <w:rPr>
          <w:rFonts w:asciiTheme="minorBidi" w:hAnsiTheme="minorBidi"/>
          <w:i/>
          <w:sz w:val="24"/>
          <w:szCs w:val="24"/>
        </w:rPr>
        <w:t>Tanakh</w:t>
      </w:r>
      <w:r>
        <w:rPr>
          <w:rFonts w:asciiTheme="minorBidi" w:hAnsiTheme="minorBidi"/>
          <w:iCs/>
          <w:sz w:val="24"/>
          <w:szCs w:val="24"/>
        </w:rPr>
        <w:t xml:space="preserve"> that only recognition of the association of the Golan Heights with the tribe of Judah can satisfactorily explain. The first is Joshua 19:34. The chapter describes in a general sense the territory of Naphtali in the eastern Galilee: “It touched Zebulun on the south, and it touched Asher on the west, </w:t>
      </w:r>
      <w:r w:rsidRPr="00D41EA1">
        <w:rPr>
          <w:rFonts w:asciiTheme="minorBidi" w:hAnsiTheme="minorBidi"/>
          <w:b/>
          <w:bCs/>
          <w:iCs/>
          <w:sz w:val="24"/>
          <w:szCs w:val="24"/>
        </w:rPr>
        <w:t>and Judah at the Jordan on the east</w:t>
      </w:r>
      <w:r>
        <w:rPr>
          <w:rFonts w:asciiTheme="minorBidi" w:hAnsiTheme="minorBidi"/>
          <w:iCs/>
          <w:sz w:val="24"/>
          <w:szCs w:val="24"/>
        </w:rPr>
        <w:t xml:space="preserve">.” At first glance, this statement is completely incomprehensible: The geographical distance between the outlet of the Jordan from the Sea of Galilee (the southeasternmost point of Naphtali) </w:t>
      </w:r>
      <w:r w:rsidR="009A241E">
        <w:rPr>
          <w:rFonts w:asciiTheme="minorBidi" w:hAnsiTheme="minorBidi"/>
          <w:iCs/>
          <w:sz w:val="24"/>
          <w:szCs w:val="24"/>
        </w:rPr>
        <w:t xml:space="preserve">and the Jordan estuary at the Dead Sea (the northeasternmost point of Judah) is almost seventy miles! How can the border of Naphtali touch the border of Judah? The classical commentators did not have a clear understanding of the geography involved, and thus were not overly troubled by this question. The </w:t>
      </w:r>
      <w:r w:rsidR="009A241E">
        <w:rPr>
          <w:rFonts w:asciiTheme="minorBidi" w:hAnsiTheme="minorBidi"/>
          <w:i/>
          <w:sz w:val="24"/>
          <w:szCs w:val="24"/>
        </w:rPr>
        <w:t>Metzudot</w:t>
      </w:r>
      <w:r w:rsidR="009A241E">
        <w:rPr>
          <w:rFonts w:asciiTheme="minorBidi" w:hAnsiTheme="minorBidi"/>
          <w:iCs/>
          <w:sz w:val="24"/>
          <w:szCs w:val="24"/>
        </w:rPr>
        <w:t xml:space="preserve"> and the Vilna Gaon explained that the entire Jordan River belonged, for some reason, to Naphtali, thus enabling its territory to stretch until Judah. On the other end of the spectrum, some modern commentators excised the tribe of Judah from the verse entirely. They</w:t>
      </w:r>
      <w:r w:rsidR="00482B05">
        <w:rPr>
          <w:rFonts w:asciiTheme="minorBidi" w:hAnsiTheme="minorBidi"/>
          <w:iCs/>
          <w:sz w:val="24"/>
          <w:szCs w:val="24"/>
        </w:rPr>
        <w:t xml:space="preserve"> either</w:t>
      </w:r>
      <w:r w:rsidR="009A241E">
        <w:rPr>
          <w:rFonts w:asciiTheme="minorBidi" w:hAnsiTheme="minorBidi"/>
          <w:iCs/>
          <w:sz w:val="24"/>
          <w:szCs w:val="24"/>
        </w:rPr>
        <w:t xml:space="preserve"> suggested fanciful interpretations for the word </w:t>
      </w:r>
      <w:r w:rsidR="009A241E">
        <w:rPr>
          <w:rFonts w:asciiTheme="minorBidi" w:hAnsiTheme="minorBidi"/>
          <w:i/>
          <w:sz w:val="24"/>
          <w:szCs w:val="24"/>
        </w:rPr>
        <w:t>yehuda</w:t>
      </w:r>
      <w:r w:rsidR="00482B05">
        <w:rPr>
          <w:rFonts w:asciiTheme="minorBidi" w:hAnsiTheme="minorBidi"/>
          <w:iCs/>
          <w:sz w:val="24"/>
          <w:szCs w:val="24"/>
        </w:rPr>
        <w:t xml:space="preserve"> or</w:t>
      </w:r>
      <w:r w:rsidR="00725EC8">
        <w:rPr>
          <w:rFonts w:asciiTheme="minorBidi" w:hAnsiTheme="minorBidi"/>
          <w:iCs/>
          <w:sz w:val="24"/>
          <w:szCs w:val="24"/>
        </w:rPr>
        <w:t xml:space="preserve"> searched</w:t>
      </w:r>
      <w:r w:rsidR="009A241E">
        <w:rPr>
          <w:rFonts w:asciiTheme="minorBidi" w:hAnsiTheme="minorBidi"/>
          <w:iCs/>
          <w:sz w:val="24"/>
          <w:szCs w:val="24"/>
        </w:rPr>
        <w:t xml:space="preserve"> for a site called </w:t>
      </w:r>
      <w:r w:rsidR="009A241E">
        <w:rPr>
          <w:rFonts w:asciiTheme="minorBidi" w:hAnsiTheme="minorBidi"/>
          <w:i/>
          <w:sz w:val="24"/>
          <w:szCs w:val="24"/>
        </w:rPr>
        <w:t>Yehuda</w:t>
      </w:r>
      <w:r w:rsidR="009A241E">
        <w:rPr>
          <w:rFonts w:asciiTheme="minorBidi" w:hAnsiTheme="minorBidi"/>
          <w:iCs/>
          <w:sz w:val="24"/>
          <w:szCs w:val="24"/>
        </w:rPr>
        <w:t xml:space="preserve"> near the Jordan</w:t>
      </w:r>
      <w:r w:rsidR="00482B05">
        <w:rPr>
          <w:rFonts w:asciiTheme="minorBidi" w:hAnsiTheme="minorBidi"/>
          <w:iCs/>
          <w:sz w:val="24"/>
          <w:szCs w:val="24"/>
        </w:rPr>
        <w:t>.</w:t>
      </w:r>
      <w:r w:rsidR="00725EC8">
        <w:rPr>
          <w:rFonts w:asciiTheme="minorBidi" w:hAnsiTheme="minorBidi"/>
          <w:iCs/>
          <w:sz w:val="24"/>
          <w:szCs w:val="24"/>
        </w:rPr>
        <w:t xml:space="preserve"> </w:t>
      </w:r>
      <w:r w:rsidR="00482B05">
        <w:rPr>
          <w:rFonts w:asciiTheme="minorBidi" w:hAnsiTheme="minorBidi"/>
          <w:iCs/>
          <w:sz w:val="24"/>
          <w:szCs w:val="24"/>
        </w:rPr>
        <w:t xml:space="preserve">Others </w:t>
      </w:r>
      <w:r w:rsidR="00725EC8">
        <w:rPr>
          <w:rFonts w:asciiTheme="minorBidi" w:hAnsiTheme="minorBidi"/>
          <w:iCs/>
          <w:sz w:val="24"/>
          <w:szCs w:val="24"/>
        </w:rPr>
        <w:t xml:space="preserve">edited and emended the Biblical text. Despite this, the verse as it stands states that the Golan Heights are part </w:t>
      </w:r>
      <w:bookmarkStart w:id="0" w:name="_GoBack"/>
      <w:bookmarkEnd w:id="0"/>
      <w:r w:rsidR="00725EC8">
        <w:rPr>
          <w:rFonts w:asciiTheme="minorBidi" w:hAnsiTheme="minorBidi"/>
          <w:iCs/>
          <w:sz w:val="24"/>
          <w:szCs w:val="24"/>
        </w:rPr>
        <w:t xml:space="preserve">of </w:t>
      </w:r>
      <w:r w:rsidR="00725EC8">
        <w:rPr>
          <w:rFonts w:asciiTheme="minorBidi" w:hAnsiTheme="minorBidi"/>
          <w:b/>
          <w:bCs/>
          <w:iCs/>
          <w:sz w:val="24"/>
          <w:szCs w:val="24"/>
        </w:rPr>
        <w:t>Judah</w:t>
      </w:r>
      <w:r w:rsidR="00725EC8">
        <w:rPr>
          <w:rFonts w:asciiTheme="minorBidi" w:hAnsiTheme="minorBidi"/>
          <w:iCs/>
          <w:sz w:val="24"/>
          <w:szCs w:val="24"/>
        </w:rPr>
        <w:t>.</w:t>
      </w:r>
    </w:p>
    <w:p w:rsidR="00725EC8" w:rsidRDefault="00725EC8" w:rsidP="00E320D4">
      <w:pPr>
        <w:spacing w:after="0" w:line="240" w:lineRule="auto"/>
        <w:jc w:val="both"/>
        <w:outlineLvl w:val="0"/>
        <w:rPr>
          <w:rFonts w:asciiTheme="minorBidi" w:hAnsiTheme="minorBidi"/>
          <w:iCs/>
          <w:sz w:val="24"/>
          <w:szCs w:val="24"/>
        </w:rPr>
      </w:pPr>
    </w:p>
    <w:p w:rsidR="00725EC8" w:rsidRDefault="00725EC8" w:rsidP="00E320D4">
      <w:pPr>
        <w:spacing w:after="0" w:line="240" w:lineRule="auto"/>
        <w:jc w:val="both"/>
        <w:outlineLvl w:val="0"/>
        <w:rPr>
          <w:rFonts w:asciiTheme="minorBidi" w:hAnsiTheme="minorBidi"/>
          <w:iCs/>
          <w:sz w:val="24"/>
          <w:szCs w:val="24"/>
        </w:rPr>
      </w:pPr>
      <w:r>
        <w:rPr>
          <w:rFonts w:asciiTheme="minorBidi" w:hAnsiTheme="minorBidi"/>
          <w:iCs/>
          <w:sz w:val="24"/>
          <w:szCs w:val="24"/>
        </w:rPr>
        <w:tab/>
        <w:t xml:space="preserve">The second verse is II Kings 14:28. This verse describes the extensive conquests of King Jeroboam son of Joash of Israel, who restored the border of the Kingdom of Israel to Lebo-hamath. The verse ends: “The other events of Jeroboam’s reign, and all his actions and exploits, how he fought and </w:t>
      </w:r>
      <w:r>
        <w:rPr>
          <w:rFonts w:asciiTheme="minorBidi" w:hAnsiTheme="minorBidi"/>
          <w:iCs/>
          <w:sz w:val="24"/>
          <w:szCs w:val="24"/>
        </w:rPr>
        <w:lastRenderedPageBreak/>
        <w:t xml:space="preserve">recovered Damascus and Hamath </w:t>
      </w:r>
      <w:r w:rsidRPr="00725EC8">
        <w:rPr>
          <w:rFonts w:asciiTheme="minorBidi" w:hAnsiTheme="minorBidi"/>
          <w:b/>
          <w:bCs/>
          <w:iCs/>
          <w:sz w:val="24"/>
          <w:szCs w:val="24"/>
        </w:rPr>
        <w:t>for Judah in Israel</w:t>
      </w:r>
      <w:r>
        <w:rPr>
          <w:rFonts w:asciiTheme="minorBidi" w:hAnsiTheme="minorBidi"/>
          <w:iCs/>
          <w:sz w:val="24"/>
          <w:szCs w:val="24"/>
        </w:rPr>
        <w:t>, are recorded in the Annals of the Kings of Israel.” Commentators both old and new suggested farfetched interpretations here. The simple understanding is that the northeast region of the Kingdom of Israel – the Golan and the Hermon – were known as “Judah in Israel.” Jeroboam added to this territory by annexing the regions of Damascus and Hamath to the north.</w:t>
      </w:r>
    </w:p>
    <w:p w:rsidR="00725EC8" w:rsidRDefault="00725EC8" w:rsidP="00E320D4">
      <w:pPr>
        <w:spacing w:after="0" w:line="240" w:lineRule="auto"/>
        <w:jc w:val="both"/>
        <w:outlineLvl w:val="0"/>
        <w:rPr>
          <w:rFonts w:asciiTheme="minorBidi" w:hAnsiTheme="minorBidi"/>
          <w:iCs/>
          <w:sz w:val="24"/>
          <w:szCs w:val="24"/>
        </w:rPr>
      </w:pPr>
    </w:p>
    <w:p w:rsidR="00725EC8" w:rsidRDefault="00725EC8" w:rsidP="00E320D4">
      <w:pPr>
        <w:spacing w:after="0" w:line="240" w:lineRule="auto"/>
        <w:jc w:val="both"/>
        <w:outlineLvl w:val="0"/>
        <w:rPr>
          <w:rFonts w:asciiTheme="minorBidi" w:hAnsiTheme="minorBidi"/>
          <w:iCs/>
          <w:sz w:val="24"/>
          <w:szCs w:val="24"/>
        </w:rPr>
      </w:pPr>
      <w:r>
        <w:rPr>
          <w:rFonts w:asciiTheme="minorBidi" w:hAnsiTheme="minorBidi"/>
          <w:iCs/>
          <w:sz w:val="24"/>
          <w:szCs w:val="24"/>
        </w:rPr>
        <w:tab/>
        <w:t xml:space="preserve">It should be added that in Rabbinic sources as well, the northern </w:t>
      </w:r>
      <w:r w:rsidR="005A748D">
        <w:rPr>
          <w:rFonts w:asciiTheme="minorBidi" w:hAnsiTheme="minorBidi"/>
          <w:iCs/>
          <w:sz w:val="24"/>
          <w:szCs w:val="24"/>
        </w:rPr>
        <w:t xml:space="preserve">section </w:t>
      </w:r>
      <w:r>
        <w:rPr>
          <w:rFonts w:asciiTheme="minorBidi" w:hAnsiTheme="minorBidi"/>
          <w:iCs/>
          <w:sz w:val="24"/>
          <w:szCs w:val="24"/>
        </w:rPr>
        <w:t xml:space="preserve">of the Jordan River, which lies north of the Sea of Galilee, </w:t>
      </w:r>
      <w:r w:rsidR="005A748D">
        <w:rPr>
          <w:rFonts w:asciiTheme="minorBidi" w:hAnsiTheme="minorBidi"/>
          <w:iCs/>
          <w:sz w:val="24"/>
          <w:szCs w:val="24"/>
        </w:rPr>
        <w:t xml:space="preserve">is viewed as “not really the Jordan” compared to the section that lies south of the Sea of Galilee. </w:t>
      </w:r>
      <w:r w:rsidR="005A748D">
        <w:rPr>
          <w:rFonts w:asciiTheme="minorBidi" w:hAnsiTheme="minorBidi"/>
          <w:i/>
          <w:sz w:val="24"/>
          <w:szCs w:val="24"/>
        </w:rPr>
        <w:t>Chazal</w:t>
      </w:r>
      <w:r w:rsidR="005A748D">
        <w:rPr>
          <w:rFonts w:asciiTheme="minorBidi" w:hAnsiTheme="minorBidi"/>
          <w:iCs/>
          <w:sz w:val="24"/>
          <w:szCs w:val="24"/>
        </w:rPr>
        <w:t xml:space="preserve"> stated: “The real Jordan is only from Beth-jericho</w:t>
      </w:r>
      <w:r w:rsidR="005A748D">
        <w:rPr>
          <w:rStyle w:val="FootnoteReference"/>
          <w:rFonts w:asciiTheme="minorBidi" w:hAnsiTheme="minorBidi"/>
          <w:iCs/>
          <w:sz w:val="24"/>
          <w:szCs w:val="24"/>
        </w:rPr>
        <w:footnoteReference w:id="7"/>
      </w:r>
      <w:r w:rsidR="005A748D">
        <w:rPr>
          <w:rFonts w:asciiTheme="minorBidi" w:hAnsiTheme="minorBidi"/>
          <w:iCs/>
          <w:sz w:val="24"/>
          <w:szCs w:val="24"/>
        </w:rPr>
        <w:t xml:space="preserve"> and below” (</w:t>
      </w:r>
      <w:r w:rsidR="005A748D">
        <w:rPr>
          <w:rFonts w:asciiTheme="minorBidi" w:hAnsiTheme="minorBidi"/>
          <w:i/>
          <w:sz w:val="24"/>
          <w:szCs w:val="24"/>
        </w:rPr>
        <w:t xml:space="preserve">Tosefta Bekhorot </w:t>
      </w:r>
      <w:r w:rsidR="005A748D">
        <w:rPr>
          <w:rFonts w:asciiTheme="minorBidi" w:hAnsiTheme="minorBidi"/>
          <w:iCs/>
          <w:sz w:val="24"/>
          <w:szCs w:val="24"/>
        </w:rPr>
        <w:t xml:space="preserve">7:4; </w:t>
      </w:r>
      <w:r w:rsidR="005A748D">
        <w:rPr>
          <w:rFonts w:asciiTheme="minorBidi" w:hAnsiTheme="minorBidi"/>
          <w:i/>
          <w:sz w:val="24"/>
          <w:szCs w:val="24"/>
        </w:rPr>
        <w:t>Bavli Bekhorot</w:t>
      </w:r>
      <w:r w:rsidR="00A674E0">
        <w:rPr>
          <w:rFonts w:asciiTheme="minorBidi" w:hAnsiTheme="minorBidi"/>
          <w:iCs/>
          <w:sz w:val="24"/>
          <w:szCs w:val="24"/>
        </w:rPr>
        <w:t xml:space="preserve"> 55a). They also regarded Gamla as part of the Galilee, and there is evidence that Josephus did so as well.</w:t>
      </w:r>
      <w:r w:rsidR="00A674E0">
        <w:rPr>
          <w:rStyle w:val="FootnoteReference"/>
          <w:rFonts w:asciiTheme="minorBidi" w:hAnsiTheme="minorBidi"/>
          <w:iCs/>
          <w:sz w:val="24"/>
          <w:szCs w:val="24"/>
        </w:rPr>
        <w:footnoteReference w:id="8"/>
      </w:r>
    </w:p>
    <w:p w:rsidR="00A674E0" w:rsidRDefault="00A674E0" w:rsidP="00E320D4">
      <w:pPr>
        <w:spacing w:after="0" w:line="240" w:lineRule="auto"/>
        <w:jc w:val="both"/>
        <w:outlineLvl w:val="0"/>
        <w:rPr>
          <w:rFonts w:asciiTheme="minorBidi" w:hAnsiTheme="minorBidi"/>
          <w:iCs/>
          <w:sz w:val="24"/>
          <w:szCs w:val="24"/>
        </w:rPr>
      </w:pPr>
    </w:p>
    <w:p w:rsidR="00A674E0" w:rsidRDefault="00A674E0" w:rsidP="00E320D4">
      <w:pPr>
        <w:spacing w:after="0" w:line="240" w:lineRule="auto"/>
        <w:jc w:val="both"/>
        <w:outlineLvl w:val="0"/>
        <w:rPr>
          <w:rFonts w:asciiTheme="minorBidi" w:hAnsiTheme="minorBidi"/>
          <w:iCs/>
          <w:sz w:val="24"/>
          <w:szCs w:val="24"/>
        </w:rPr>
      </w:pPr>
      <w:r>
        <w:rPr>
          <w:rFonts w:asciiTheme="minorBidi" w:hAnsiTheme="minorBidi"/>
          <w:iCs/>
          <w:sz w:val="24"/>
          <w:szCs w:val="24"/>
        </w:rPr>
        <w:tab/>
        <w:t>In the end, “the land of Canaan with its various boundaries” – the land of the nine and one-half tribes – included within it the Golan Heights until Nahal Rukad. Based on this, it turns out that – coincidentally or not – the new eastern border that Israel reached by the end of the Six-Day War, upon which Israeli law was conferred in 1982, lies precisely on the eastern borderline of “the land of Canaan with its various boundaries” according to the Torah.</w:t>
      </w:r>
    </w:p>
    <w:p w:rsidR="00116D0A" w:rsidRDefault="00116D0A" w:rsidP="00E320D4">
      <w:pPr>
        <w:spacing w:after="0" w:line="240" w:lineRule="auto"/>
        <w:jc w:val="both"/>
        <w:outlineLvl w:val="0"/>
        <w:rPr>
          <w:rFonts w:asciiTheme="minorBidi" w:hAnsiTheme="minorBidi"/>
          <w:iCs/>
          <w:sz w:val="24"/>
          <w:szCs w:val="24"/>
        </w:rPr>
      </w:pPr>
    </w:p>
    <w:p w:rsidR="00116D0A" w:rsidRDefault="00116D0A" w:rsidP="00E320D4">
      <w:pPr>
        <w:keepNext/>
        <w:spacing w:after="0" w:line="240" w:lineRule="auto"/>
        <w:jc w:val="center"/>
        <w:outlineLvl w:val="0"/>
      </w:pPr>
      <w:r>
        <w:rPr>
          <w:rFonts w:asciiTheme="minorBidi" w:hAnsiTheme="minorBidi"/>
          <w:iCs/>
          <w:noProof/>
          <w:sz w:val="24"/>
          <w:szCs w:val="24"/>
        </w:rPr>
        <w:lastRenderedPageBreak/>
        <w:drawing>
          <wp:inline distT="0" distB="0" distL="0" distR="0" wp14:anchorId="5E5CC4F3" wp14:editId="27FC9531">
            <wp:extent cx="3102991" cy="462517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יהודיה - רוטקוף.jpg"/>
                    <pic:cNvPicPr/>
                  </pic:nvPicPr>
                  <pic:blipFill>
                    <a:blip r:embed="rId13">
                      <a:extLst>
                        <a:ext uri="{28A0092B-C50C-407E-A947-70E740481C1C}">
                          <a14:useLocalDpi xmlns:a14="http://schemas.microsoft.com/office/drawing/2010/main" val="0"/>
                        </a:ext>
                      </a:extLst>
                    </a:blip>
                    <a:stretch>
                      <a:fillRect/>
                    </a:stretch>
                  </pic:blipFill>
                  <pic:spPr>
                    <a:xfrm>
                      <a:off x="0" y="0"/>
                      <a:ext cx="3100397" cy="4621304"/>
                    </a:xfrm>
                    <a:prstGeom prst="rect">
                      <a:avLst/>
                    </a:prstGeom>
                  </pic:spPr>
                </pic:pic>
              </a:graphicData>
            </a:graphic>
          </wp:inline>
        </w:drawing>
      </w:r>
    </w:p>
    <w:p w:rsidR="00116D0A" w:rsidRPr="00E320D4" w:rsidRDefault="00116D0A" w:rsidP="00E320D4">
      <w:pPr>
        <w:pStyle w:val="Caption"/>
        <w:jc w:val="center"/>
        <w:rPr>
          <w:rFonts w:asciiTheme="minorBidi" w:hAnsiTheme="minorBidi"/>
          <w:iCs/>
          <w:sz w:val="20"/>
          <w:szCs w:val="20"/>
        </w:rPr>
      </w:pPr>
      <w:r>
        <w:rPr>
          <w:rFonts w:asciiTheme="minorBidi" w:hAnsiTheme="minorBidi"/>
          <w:b w:val="0"/>
          <w:bCs w:val="0"/>
          <w:iCs/>
          <w:color w:val="auto"/>
          <w:sz w:val="20"/>
          <w:szCs w:val="20"/>
        </w:rPr>
        <w:t xml:space="preserve">Nahal Yahudiyya in the Golan. The Arabic name </w:t>
      </w:r>
      <w:r>
        <w:rPr>
          <w:rFonts w:asciiTheme="minorBidi" w:hAnsiTheme="minorBidi"/>
          <w:b w:val="0"/>
          <w:bCs w:val="0"/>
          <w:i/>
          <w:color w:val="auto"/>
          <w:sz w:val="20"/>
          <w:szCs w:val="20"/>
        </w:rPr>
        <w:t>Yahudiyya</w:t>
      </w:r>
      <w:r>
        <w:rPr>
          <w:rFonts w:asciiTheme="minorBidi" w:hAnsiTheme="minorBidi"/>
          <w:b w:val="0"/>
          <w:bCs w:val="0"/>
          <w:iCs/>
          <w:color w:val="auto"/>
          <w:sz w:val="20"/>
          <w:szCs w:val="20"/>
        </w:rPr>
        <w:t xml:space="preserve"> preserved the existence of Jews in this region in the past. (Courtesy of Dr. Zev Rothkoff)</w:t>
      </w:r>
    </w:p>
    <w:p w:rsidR="00961B1F" w:rsidRDefault="00961B1F" w:rsidP="00E320D4">
      <w:pPr>
        <w:spacing w:after="0" w:line="240" w:lineRule="auto"/>
        <w:jc w:val="both"/>
        <w:outlineLvl w:val="0"/>
        <w:rPr>
          <w:rFonts w:asciiTheme="minorBidi" w:hAnsiTheme="minorBidi"/>
          <w:sz w:val="24"/>
          <w:szCs w:val="24"/>
        </w:rPr>
      </w:pPr>
    </w:p>
    <w:p w:rsidR="00A674E0" w:rsidRPr="00961B1F" w:rsidRDefault="00A674E0" w:rsidP="00E320D4">
      <w:pPr>
        <w:spacing w:after="0" w:line="240" w:lineRule="auto"/>
        <w:jc w:val="both"/>
        <w:outlineLvl w:val="0"/>
        <w:rPr>
          <w:rFonts w:asciiTheme="minorBidi" w:hAnsiTheme="minorBidi"/>
          <w:sz w:val="24"/>
          <w:szCs w:val="24"/>
        </w:rPr>
      </w:pPr>
    </w:p>
    <w:p w:rsidR="002E5FA5" w:rsidRPr="000C1970" w:rsidRDefault="002E5FA5" w:rsidP="00E320D4">
      <w:pPr>
        <w:spacing w:after="0" w:line="240" w:lineRule="auto"/>
        <w:jc w:val="both"/>
        <w:outlineLvl w:val="0"/>
        <w:rPr>
          <w:rFonts w:asciiTheme="minorBidi" w:hAnsiTheme="minorBidi"/>
          <w:b/>
          <w:bCs/>
          <w:sz w:val="24"/>
          <w:szCs w:val="24"/>
        </w:rPr>
      </w:pPr>
      <w:r w:rsidRPr="000C1970">
        <w:rPr>
          <w:rFonts w:asciiTheme="minorBidi" w:hAnsiTheme="minorBidi"/>
          <w:b/>
          <w:bCs/>
          <w:sz w:val="24"/>
          <w:szCs w:val="24"/>
        </w:rPr>
        <w:t>For further study:</w:t>
      </w:r>
    </w:p>
    <w:p w:rsidR="002E5FA5" w:rsidRDefault="002E5FA5" w:rsidP="00E320D4">
      <w:pPr>
        <w:spacing w:after="0" w:line="240" w:lineRule="auto"/>
        <w:jc w:val="both"/>
        <w:rPr>
          <w:rFonts w:asciiTheme="minorBidi" w:hAnsiTheme="minorBidi"/>
          <w:sz w:val="24"/>
          <w:szCs w:val="24"/>
        </w:rPr>
      </w:pPr>
    </w:p>
    <w:p w:rsidR="00251E14" w:rsidRDefault="00251E14" w:rsidP="00E320D4">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w:t>
      </w:r>
      <w:r w:rsidR="00A674E0">
        <w:rPr>
          <w:rFonts w:asciiTheme="minorBidi" w:hAnsiTheme="minorBidi"/>
          <w:i/>
          <w:iCs/>
          <w:sz w:val="24"/>
          <w:szCs w:val="24"/>
        </w:rPr>
        <w:t xml:space="preserve">Prof. </w:t>
      </w:r>
      <w:r w:rsidR="00FD47AE">
        <w:rPr>
          <w:rFonts w:asciiTheme="minorBidi" w:hAnsiTheme="minorBidi"/>
          <w:i/>
          <w:iCs/>
          <w:sz w:val="24"/>
          <w:szCs w:val="24"/>
        </w:rPr>
        <w:t>Yehuda Elitzur U-beit Midrasho shel R. Eliezer Hakappar</w:t>
      </w:r>
      <w:r w:rsidR="00FD47AE">
        <w:rPr>
          <w:rFonts w:asciiTheme="minorBidi" w:hAnsiTheme="minorBidi"/>
          <w:sz w:val="24"/>
          <w:szCs w:val="24"/>
        </w:rPr>
        <w:t>,</w:t>
      </w:r>
      <w:r>
        <w:rPr>
          <w:rFonts w:asciiTheme="minorBidi" w:hAnsiTheme="minorBidi"/>
          <w:sz w:val="24"/>
          <w:szCs w:val="24"/>
        </w:rPr>
        <w:t>”</w:t>
      </w:r>
      <w:r w:rsidR="00FD47AE">
        <w:rPr>
          <w:rFonts w:asciiTheme="minorBidi" w:hAnsiTheme="minorBidi"/>
          <w:sz w:val="24"/>
          <w:szCs w:val="24"/>
        </w:rPr>
        <w:t xml:space="preserve"> from “Yehudah Elitzur” website: </w:t>
      </w:r>
      <w:hyperlink r:id="rId14" w:history="1">
        <w:r w:rsidR="00FD47AE" w:rsidRPr="003D228D">
          <w:rPr>
            <w:rStyle w:val="Hyperlink"/>
            <w:rFonts w:asciiTheme="minorBidi" w:hAnsiTheme="minorBidi"/>
            <w:sz w:val="24"/>
            <w:szCs w:val="24"/>
          </w:rPr>
          <w:t>http://www.daat.ac.il/elitzur/sipur.asp</w:t>
        </w:r>
      </w:hyperlink>
      <w:r w:rsidR="00FD47AE">
        <w:rPr>
          <w:rFonts w:asciiTheme="minorBidi" w:hAnsiTheme="minorBidi"/>
          <w:sz w:val="24"/>
          <w:szCs w:val="24"/>
        </w:rPr>
        <w:t xml:space="preserve"> [Hebrew].</w:t>
      </w:r>
    </w:p>
    <w:p w:rsidR="00251E14" w:rsidRDefault="00251E14" w:rsidP="00E320D4">
      <w:pPr>
        <w:autoSpaceDE w:val="0"/>
        <w:autoSpaceDN w:val="0"/>
        <w:adjustRightInd w:val="0"/>
        <w:spacing w:after="0" w:line="240" w:lineRule="auto"/>
        <w:ind w:left="720" w:hanging="720"/>
        <w:jc w:val="both"/>
        <w:rPr>
          <w:rFonts w:asciiTheme="minorBidi" w:hAnsiTheme="minorBidi"/>
          <w:sz w:val="24"/>
          <w:szCs w:val="24"/>
        </w:rPr>
      </w:pPr>
    </w:p>
    <w:p w:rsidR="007940BA" w:rsidRPr="00FD47AE" w:rsidRDefault="00785899" w:rsidP="00E320D4">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Yoel Elitzur, </w:t>
      </w:r>
      <w:r w:rsidR="00FD47AE">
        <w:rPr>
          <w:rFonts w:asciiTheme="minorBidi" w:hAnsiTheme="minorBidi"/>
          <w:sz w:val="24"/>
          <w:szCs w:val="24"/>
        </w:rPr>
        <w:t xml:space="preserve">“Toponyms in the Land of Israel: Two-word Place Names,” </w:t>
      </w:r>
      <w:r w:rsidR="00FD47AE">
        <w:rPr>
          <w:rFonts w:asciiTheme="minorBidi" w:hAnsiTheme="minorBidi"/>
          <w:i/>
          <w:iCs/>
          <w:sz w:val="24"/>
          <w:szCs w:val="24"/>
        </w:rPr>
        <w:t>Encyclopedia of Hebrew Language and Linguistics</w:t>
      </w:r>
      <w:r w:rsidR="00FD47AE">
        <w:rPr>
          <w:rFonts w:asciiTheme="minorBidi" w:hAnsiTheme="minorBidi"/>
          <w:sz w:val="24"/>
          <w:szCs w:val="24"/>
        </w:rPr>
        <w:t>, Leiden and Boston 2013, 3:783.</w:t>
      </w:r>
    </w:p>
    <w:p w:rsidR="000F3AF2" w:rsidRDefault="000F3AF2" w:rsidP="00E320D4">
      <w:pPr>
        <w:autoSpaceDE w:val="0"/>
        <w:autoSpaceDN w:val="0"/>
        <w:adjustRightInd w:val="0"/>
        <w:spacing w:after="0" w:line="240" w:lineRule="auto"/>
        <w:ind w:left="720" w:hanging="720"/>
        <w:jc w:val="both"/>
        <w:rPr>
          <w:rFonts w:asciiTheme="minorBidi" w:hAnsiTheme="minorBidi"/>
          <w:sz w:val="24"/>
          <w:szCs w:val="24"/>
        </w:rPr>
      </w:pPr>
    </w:p>
    <w:p w:rsidR="00251E14" w:rsidRDefault="00251E14" w:rsidP="00E320D4">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Yoel Elitzur, </w:t>
      </w:r>
      <w:r w:rsidR="00FD47AE">
        <w:rPr>
          <w:rFonts w:asciiTheme="minorBidi" w:hAnsiTheme="minorBidi"/>
          <w:sz w:val="24"/>
          <w:szCs w:val="24"/>
        </w:rPr>
        <w:t>“</w:t>
      </w:r>
      <w:r w:rsidR="00FD47AE">
        <w:rPr>
          <w:rFonts w:asciiTheme="minorBidi" w:hAnsiTheme="minorBidi"/>
          <w:i/>
          <w:iCs/>
          <w:sz w:val="24"/>
          <w:szCs w:val="24"/>
        </w:rPr>
        <w:t>Ma hu Katef Ve-heikhan Ketef Yam Kineret Kedma</w:t>
      </w:r>
      <w:r w:rsidR="00FD47AE">
        <w:rPr>
          <w:rFonts w:asciiTheme="minorBidi" w:hAnsiTheme="minorBidi"/>
          <w:sz w:val="24"/>
          <w:szCs w:val="24"/>
        </w:rPr>
        <w:t xml:space="preserve">,” </w:t>
      </w:r>
      <w:r w:rsidR="00FD47AE">
        <w:rPr>
          <w:rFonts w:asciiTheme="minorBidi" w:hAnsiTheme="minorBidi"/>
          <w:i/>
          <w:iCs/>
          <w:sz w:val="24"/>
          <w:szCs w:val="24"/>
        </w:rPr>
        <w:t xml:space="preserve">Al Atar </w:t>
      </w:r>
      <w:r w:rsidR="00FD47AE">
        <w:rPr>
          <w:rFonts w:asciiTheme="minorBidi" w:hAnsiTheme="minorBidi"/>
          <w:sz w:val="24"/>
          <w:szCs w:val="24"/>
        </w:rPr>
        <w:t>4-5 (1999), 41-50</w:t>
      </w:r>
      <w:r w:rsidR="00FD47AE">
        <w:rPr>
          <w:rFonts w:asciiTheme="minorBidi" w:hAnsiTheme="minorBidi"/>
          <w:i/>
          <w:iCs/>
          <w:sz w:val="24"/>
          <w:szCs w:val="24"/>
        </w:rPr>
        <w:t xml:space="preserve"> </w:t>
      </w:r>
      <w:r>
        <w:rPr>
          <w:rFonts w:asciiTheme="minorBidi" w:hAnsiTheme="minorBidi"/>
          <w:sz w:val="24"/>
          <w:szCs w:val="24"/>
        </w:rPr>
        <w:t>[Hebrew].</w:t>
      </w:r>
    </w:p>
    <w:p w:rsidR="00251E14" w:rsidRDefault="00251E14" w:rsidP="00E320D4">
      <w:pPr>
        <w:autoSpaceDE w:val="0"/>
        <w:autoSpaceDN w:val="0"/>
        <w:adjustRightInd w:val="0"/>
        <w:spacing w:after="0" w:line="240" w:lineRule="auto"/>
        <w:ind w:left="720" w:hanging="720"/>
        <w:jc w:val="both"/>
        <w:rPr>
          <w:rFonts w:asciiTheme="minorBidi" w:hAnsiTheme="minorBidi"/>
          <w:sz w:val="24"/>
          <w:szCs w:val="24"/>
        </w:rPr>
      </w:pPr>
    </w:p>
    <w:p w:rsidR="000F3AF2" w:rsidRPr="00251E14" w:rsidRDefault="000F3AF2" w:rsidP="00E320D4">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Yoel Elitzur,</w:t>
      </w:r>
      <w:r w:rsidR="00251E14">
        <w:rPr>
          <w:rFonts w:asciiTheme="minorBidi" w:hAnsiTheme="minorBidi"/>
          <w:sz w:val="24"/>
          <w:szCs w:val="24"/>
        </w:rPr>
        <w:t xml:space="preserve"> “‘</w:t>
      </w:r>
      <w:r w:rsidR="00251E14" w:rsidRPr="00FD47AE">
        <w:rPr>
          <w:rFonts w:asciiTheme="minorBidi" w:hAnsiTheme="minorBidi"/>
          <w:i/>
          <w:iCs/>
          <w:sz w:val="24"/>
          <w:szCs w:val="24"/>
        </w:rPr>
        <w:t>Katef</w:t>
      </w:r>
      <w:r w:rsidR="00251E14">
        <w:rPr>
          <w:rFonts w:asciiTheme="minorBidi" w:hAnsiTheme="minorBidi"/>
          <w:sz w:val="24"/>
          <w:szCs w:val="24"/>
        </w:rPr>
        <w:t xml:space="preserve">,’ A Topographical Term in the Benjaminite Dialect,” </w:t>
      </w:r>
      <w:r w:rsidR="00251E14">
        <w:rPr>
          <w:rFonts w:asciiTheme="minorBidi" w:hAnsiTheme="minorBidi"/>
          <w:i/>
          <w:iCs/>
          <w:sz w:val="24"/>
          <w:szCs w:val="24"/>
        </w:rPr>
        <w:t xml:space="preserve">HUCA </w:t>
      </w:r>
      <w:r w:rsidR="00251E14">
        <w:rPr>
          <w:rFonts w:asciiTheme="minorBidi" w:hAnsiTheme="minorBidi"/>
          <w:sz w:val="24"/>
          <w:szCs w:val="24"/>
        </w:rPr>
        <w:t>70-71 (1999-2000), 27-38.</w:t>
      </w:r>
    </w:p>
    <w:p w:rsidR="00251E14" w:rsidRDefault="00251E14" w:rsidP="00E320D4">
      <w:pPr>
        <w:autoSpaceDE w:val="0"/>
        <w:autoSpaceDN w:val="0"/>
        <w:adjustRightInd w:val="0"/>
        <w:spacing w:after="0" w:line="240" w:lineRule="auto"/>
        <w:ind w:left="720" w:hanging="720"/>
        <w:jc w:val="both"/>
        <w:rPr>
          <w:rFonts w:asciiTheme="minorBidi" w:hAnsiTheme="minorBidi"/>
          <w:sz w:val="24"/>
          <w:szCs w:val="24"/>
        </w:rPr>
      </w:pPr>
    </w:p>
    <w:p w:rsidR="00251E14" w:rsidRPr="00251E14" w:rsidRDefault="00251E14" w:rsidP="00E320D4">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Z. Kallai, “Kateph – </w:t>
      </w:r>
      <w:r>
        <w:rPr>
          <w:rFonts w:asciiTheme="minorBidi" w:hAnsiTheme="minorBidi" w:hint="cs"/>
          <w:sz w:val="24"/>
          <w:szCs w:val="24"/>
          <w:rtl/>
        </w:rPr>
        <w:t>כתף</w:t>
      </w:r>
      <w:r>
        <w:rPr>
          <w:rFonts w:asciiTheme="minorBidi" w:hAnsiTheme="minorBidi"/>
          <w:sz w:val="24"/>
          <w:szCs w:val="24"/>
        </w:rPr>
        <w:t xml:space="preserve">,” </w:t>
      </w:r>
      <w:r>
        <w:rPr>
          <w:rFonts w:asciiTheme="minorBidi" w:hAnsiTheme="minorBidi"/>
          <w:i/>
          <w:iCs/>
          <w:sz w:val="24"/>
          <w:szCs w:val="24"/>
        </w:rPr>
        <w:t>Israel Exploration Journal</w:t>
      </w:r>
      <w:r>
        <w:rPr>
          <w:rFonts w:asciiTheme="minorBidi" w:hAnsiTheme="minorBidi"/>
          <w:sz w:val="24"/>
          <w:szCs w:val="24"/>
        </w:rPr>
        <w:t xml:space="preserve"> 15 (1965), 177-179.</w:t>
      </w:r>
    </w:p>
    <w:p w:rsidR="00251E14" w:rsidRDefault="00251E14" w:rsidP="00E320D4">
      <w:pPr>
        <w:autoSpaceDE w:val="0"/>
        <w:autoSpaceDN w:val="0"/>
        <w:adjustRightInd w:val="0"/>
        <w:spacing w:after="0" w:line="240" w:lineRule="auto"/>
        <w:ind w:left="720" w:hanging="720"/>
        <w:jc w:val="both"/>
        <w:rPr>
          <w:rFonts w:asciiTheme="minorBidi" w:hAnsiTheme="minorBidi"/>
          <w:sz w:val="24"/>
          <w:szCs w:val="24"/>
        </w:rPr>
      </w:pPr>
    </w:p>
    <w:p w:rsidR="00251E14" w:rsidRPr="00251E14" w:rsidRDefault="00251E14" w:rsidP="00E320D4">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Z. Maoz, “Golan Heights,” </w:t>
      </w:r>
      <w:r>
        <w:rPr>
          <w:rFonts w:asciiTheme="minorBidi" w:hAnsiTheme="minorBidi"/>
          <w:i/>
          <w:iCs/>
          <w:sz w:val="24"/>
          <w:szCs w:val="24"/>
        </w:rPr>
        <w:t>Anchor Bible Dictionary</w:t>
      </w:r>
      <w:r w:rsidRPr="00251E14">
        <w:rPr>
          <w:rFonts w:asciiTheme="minorBidi" w:hAnsiTheme="minorBidi"/>
          <w:sz w:val="24"/>
          <w:szCs w:val="24"/>
        </w:rPr>
        <w:t xml:space="preserve">, </w:t>
      </w:r>
      <w:r>
        <w:rPr>
          <w:rFonts w:asciiTheme="minorBidi" w:hAnsiTheme="minorBidi"/>
          <w:sz w:val="24"/>
          <w:szCs w:val="24"/>
        </w:rPr>
        <w:t>2, 1058-1065.</w:t>
      </w:r>
    </w:p>
    <w:p w:rsidR="000F3AF2" w:rsidRDefault="000F3AF2" w:rsidP="00E320D4">
      <w:pPr>
        <w:autoSpaceDE w:val="0"/>
        <w:autoSpaceDN w:val="0"/>
        <w:adjustRightInd w:val="0"/>
        <w:spacing w:after="0" w:line="240" w:lineRule="auto"/>
        <w:ind w:left="720" w:hanging="720"/>
        <w:jc w:val="both"/>
        <w:rPr>
          <w:rFonts w:asciiTheme="minorBidi" w:hAnsiTheme="minorBidi"/>
          <w:sz w:val="24"/>
          <w:szCs w:val="24"/>
        </w:rPr>
      </w:pPr>
    </w:p>
    <w:p w:rsidR="000F3AF2" w:rsidRPr="000F3AF2" w:rsidRDefault="000F3AF2" w:rsidP="00E320D4">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D. Syon, “The Identification of Gamla – Through the Sources and by the Results of the Excavations,” </w:t>
      </w:r>
      <w:r>
        <w:rPr>
          <w:rFonts w:asciiTheme="minorBidi" w:hAnsiTheme="minorBidi"/>
          <w:i/>
          <w:iCs/>
          <w:sz w:val="24"/>
          <w:szCs w:val="24"/>
        </w:rPr>
        <w:t>Cathedra</w:t>
      </w:r>
      <w:r>
        <w:rPr>
          <w:rFonts w:asciiTheme="minorBidi" w:hAnsiTheme="minorBidi"/>
          <w:sz w:val="24"/>
          <w:szCs w:val="24"/>
        </w:rPr>
        <w:t xml:space="preserve"> 78, 3-24 [Hebrew].</w:t>
      </w:r>
    </w:p>
    <w:p w:rsidR="007940BA" w:rsidRPr="007940BA" w:rsidRDefault="007940BA" w:rsidP="00E320D4">
      <w:pPr>
        <w:autoSpaceDE w:val="0"/>
        <w:autoSpaceDN w:val="0"/>
        <w:adjustRightInd w:val="0"/>
        <w:spacing w:after="0" w:line="240" w:lineRule="auto"/>
        <w:ind w:left="720" w:hanging="720"/>
        <w:jc w:val="both"/>
        <w:rPr>
          <w:rFonts w:asciiTheme="minorBidi" w:hAnsiTheme="minorBidi"/>
          <w:sz w:val="24"/>
          <w:szCs w:val="24"/>
        </w:rPr>
      </w:pPr>
    </w:p>
    <w:p w:rsidR="00BD2257" w:rsidRPr="00BD2257" w:rsidRDefault="00BD2257" w:rsidP="00E320D4">
      <w:pPr>
        <w:autoSpaceDE w:val="0"/>
        <w:autoSpaceDN w:val="0"/>
        <w:adjustRightInd w:val="0"/>
        <w:spacing w:after="0" w:line="240" w:lineRule="auto"/>
        <w:ind w:left="720" w:hanging="720"/>
        <w:jc w:val="both"/>
        <w:rPr>
          <w:rFonts w:asciiTheme="minorBidi" w:hAnsiTheme="minorBidi"/>
          <w:sz w:val="24"/>
          <w:szCs w:val="24"/>
        </w:rPr>
      </w:pPr>
    </w:p>
    <w:p w:rsidR="00C53D8E" w:rsidRPr="000C1970" w:rsidRDefault="00C53D8E" w:rsidP="00E320D4">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67" w:rsidRDefault="00144867" w:rsidP="00F94FA1">
      <w:pPr>
        <w:spacing w:after="0" w:line="240" w:lineRule="auto"/>
      </w:pPr>
      <w:r>
        <w:separator/>
      </w:r>
    </w:p>
  </w:endnote>
  <w:endnote w:type="continuationSeparator" w:id="0">
    <w:p w:rsidR="00144867" w:rsidRDefault="00144867"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67" w:rsidRDefault="00144867" w:rsidP="00F94FA1">
      <w:pPr>
        <w:spacing w:after="0" w:line="240" w:lineRule="auto"/>
      </w:pPr>
      <w:r>
        <w:separator/>
      </w:r>
    </w:p>
  </w:footnote>
  <w:footnote w:type="continuationSeparator" w:id="0">
    <w:p w:rsidR="00144867" w:rsidRDefault="00144867" w:rsidP="00F94FA1">
      <w:pPr>
        <w:spacing w:after="0" w:line="240" w:lineRule="auto"/>
      </w:pPr>
      <w:r>
        <w:continuationSeparator/>
      </w:r>
    </w:p>
  </w:footnote>
  <w:footnote w:id="1">
    <w:p w:rsidR="00B92D0B" w:rsidRPr="00B92D0B" w:rsidRDefault="00B92D0B" w:rsidP="00085ECB">
      <w:pPr>
        <w:pStyle w:val="FootnoteText"/>
        <w:spacing w:line="240" w:lineRule="auto"/>
        <w:rPr>
          <w:rFonts w:cstheme="minorBidi"/>
        </w:rPr>
      </w:pPr>
      <w:r w:rsidRPr="00B92D0B">
        <w:rPr>
          <w:rStyle w:val="FootnoteReference"/>
          <w:rFonts w:cstheme="minorBidi"/>
        </w:rPr>
        <w:footnoteRef/>
      </w:r>
      <w:r w:rsidRPr="00B92D0B">
        <w:rPr>
          <w:rFonts w:cstheme="minorBidi"/>
        </w:rPr>
        <w:t xml:space="preserve"> Incidentally, my father, </w:t>
      </w:r>
      <w:r w:rsidRPr="00B92D0B">
        <w:rPr>
          <w:rFonts w:cstheme="minorBidi"/>
          <w:i/>
          <w:iCs/>
        </w:rPr>
        <w:t>z”l</w:t>
      </w:r>
      <w:r w:rsidRPr="00B92D0B">
        <w:rPr>
          <w:rFonts w:cstheme="minorBidi"/>
        </w:rPr>
        <w:t xml:space="preserve">, was the first to decipher the inscription reading “This is the </w:t>
      </w:r>
      <w:r w:rsidRPr="00B92D0B">
        <w:rPr>
          <w:rFonts w:cstheme="minorBidi"/>
          <w:i/>
          <w:iCs/>
        </w:rPr>
        <w:t xml:space="preserve">beit midrash </w:t>
      </w:r>
      <w:r w:rsidRPr="00B92D0B">
        <w:rPr>
          <w:rFonts w:cstheme="minorBidi"/>
        </w:rPr>
        <w:t>of Rabbi Eliezer Ha-Kappar in the summer of 1968.</w:t>
      </w:r>
    </w:p>
  </w:footnote>
  <w:footnote w:id="2">
    <w:p w:rsidR="00116D0A" w:rsidRDefault="00116D0A" w:rsidP="00085ECB">
      <w:pPr>
        <w:pStyle w:val="FootnoteText"/>
        <w:spacing w:line="240" w:lineRule="auto"/>
      </w:pPr>
      <w:r>
        <w:rPr>
          <w:rStyle w:val="FootnoteReference"/>
        </w:rPr>
        <w:footnoteRef/>
      </w:r>
      <w:r>
        <w:t xml:space="preserve"> </w:t>
      </w:r>
      <w:r w:rsidR="00B828A9">
        <w:t xml:space="preserve">See below </w:t>
      </w:r>
      <w:r w:rsidR="00E13939" w:rsidRPr="00B828A9">
        <w:t>Map 3</w:t>
      </w:r>
      <w:r w:rsidR="00B828A9">
        <w:t>5.</w:t>
      </w:r>
    </w:p>
  </w:footnote>
  <w:footnote w:id="3">
    <w:p w:rsidR="00BF46FF" w:rsidRPr="00BF46FF" w:rsidRDefault="00BF46FF" w:rsidP="00085ECB">
      <w:pPr>
        <w:pStyle w:val="FootnoteText"/>
        <w:spacing w:line="240" w:lineRule="auto"/>
      </w:pPr>
      <w:r>
        <w:rPr>
          <w:rStyle w:val="FootnoteReference"/>
        </w:rPr>
        <w:footnoteRef/>
      </w:r>
      <w:r>
        <w:t xml:space="preserve"> In a case of </w:t>
      </w:r>
      <w:r>
        <w:rPr>
          <w:i/>
          <w:iCs/>
        </w:rPr>
        <w:t>ketiv u-kerei</w:t>
      </w:r>
      <w:r>
        <w:t>,</w:t>
      </w:r>
      <w:r>
        <w:rPr>
          <w:i/>
          <w:iCs/>
        </w:rPr>
        <w:t xml:space="preserve"> </w:t>
      </w:r>
      <w:r>
        <w:t xml:space="preserve">the Masoretic text of the book of Joshua twice renders the name </w:t>
      </w:r>
      <w:r>
        <w:rPr>
          <w:i/>
          <w:iCs/>
        </w:rPr>
        <w:t>Galon</w:t>
      </w:r>
      <w:r>
        <w:t xml:space="preserve">, with the traditional pronunciation </w:t>
      </w:r>
      <w:r>
        <w:rPr>
          <w:i/>
          <w:iCs/>
        </w:rPr>
        <w:t>Golan</w:t>
      </w:r>
      <w:r>
        <w:t xml:space="preserve">. The Septuagint generally </w:t>
      </w:r>
      <w:r w:rsidR="00EA38FD">
        <w:t xml:space="preserve">refers to the city </w:t>
      </w:r>
      <w:r w:rsidR="00EA38FD" w:rsidRPr="00EA38FD">
        <w:rPr>
          <w:rFonts w:cstheme="minorBidi"/>
        </w:rPr>
        <w:t xml:space="preserve">as </w:t>
      </w:r>
      <w:r w:rsidR="00EA38FD" w:rsidRPr="00EA38FD">
        <w:rPr>
          <w:rFonts w:eastAsia="TimesNewRomanPSMT" w:cstheme="minorBidi"/>
        </w:rPr>
        <w:t>Gaulōn.</w:t>
      </w:r>
    </w:p>
  </w:footnote>
  <w:footnote w:id="4">
    <w:p w:rsidR="00804B14" w:rsidRPr="00804B14" w:rsidRDefault="00804B14" w:rsidP="00085ECB">
      <w:pPr>
        <w:pStyle w:val="FootnoteText"/>
        <w:spacing w:line="240" w:lineRule="auto"/>
      </w:pPr>
      <w:r>
        <w:rPr>
          <w:rStyle w:val="FootnoteReference"/>
        </w:rPr>
        <w:footnoteRef/>
      </w:r>
      <w:r>
        <w:t xml:space="preserve"> See our discussion on </w:t>
      </w:r>
      <w:r>
        <w:rPr>
          <w:i/>
          <w:iCs/>
        </w:rPr>
        <w:t>Parashat Mishpatim</w:t>
      </w:r>
      <w:r>
        <w:t>.</w:t>
      </w:r>
    </w:p>
  </w:footnote>
  <w:footnote w:id="5">
    <w:p w:rsidR="00F1609D" w:rsidRPr="00F1609D" w:rsidRDefault="00F1609D" w:rsidP="00085ECB">
      <w:pPr>
        <w:pStyle w:val="FootnoteText"/>
        <w:spacing w:line="240" w:lineRule="auto"/>
      </w:pPr>
      <w:r>
        <w:rPr>
          <w:rStyle w:val="FootnoteReference"/>
        </w:rPr>
        <w:footnoteRef/>
      </w:r>
      <w:r>
        <w:t xml:space="preserve"> The literal meaning of </w:t>
      </w:r>
      <w:r>
        <w:rPr>
          <w:i/>
          <w:iCs/>
        </w:rPr>
        <w:t>ye’arim</w:t>
      </w:r>
      <w:r>
        <w:t xml:space="preserve"> is “forests.”</w:t>
      </w:r>
    </w:p>
  </w:footnote>
  <w:footnote w:id="6">
    <w:p w:rsidR="00513E81" w:rsidRPr="00513E81" w:rsidRDefault="00513E81" w:rsidP="00085ECB">
      <w:pPr>
        <w:spacing w:after="0" w:line="240" w:lineRule="auto"/>
        <w:jc w:val="both"/>
        <w:outlineLvl w:val="0"/>
        <w:rPr>
          <w:rFonts w:asciiTheme="minorBidi" w:hAnsiTheme="minorBidi"/>
          <w:iCs/>
          <w:sz w:val="20"/>
          <w:szCs w:val="20"/>
        </w:rPr>
      </w:pPr>
      <w:r w:rsidRPr="00513E81">
        <w:rPr>
          <w:rStyle w:val="FootnoteReference"/>
          <w:sz w:val="20"/>
          <w:szCs w:val="20"/>
        </w:rPr>
        <w:footnoteRef/>
      </w:r>
      <w:r w:rsidRPr="00513E81">
        <w:rPr>
          <w:sz w:val="20"/>
          <w:szCs w:val="20"/>
        </w:rPr>
        <w:t xml:space="preserve"> </w:t>
      </w:r>
      <w:r>
        <w:rPr>
          <w:rFonts w:asciiTheme="minorBidi" w:hAnsiTheme="minorBidi"/>
          <w:sz w:val="20"/>
          <w:szCs w:val="20"/>
        </w:rPr>
        <w:t xml:space="preserve">We will deal with </w:t>
      </w:r>
      <w:r w:rsidRPr="00513E81">
        <w:rPr>
          <w:rFonts w:asciiTheme="minorBidi" w:hAnsiTheme="minorBidi"/>
          <w:iCs/>
          <w:sz w:val="20"/>
          <w:szCs w:val="20"/>
        </w:rPr>
        <w:t xml:space="preserve">the question of when Jair lived and, more importantly, what brought him to conquer the cities of the Bashan and settle that region along with Manassite families, </w:t>
      </w:r>
      <w:r>
        <w:rPr>
          <w:rFonts w:asciiTheme="minorBidi" w:hAnsiTheme="minorBidi"/>
          <w:iCs/>
          <w:sz w:val="20"/>
          <w:szCs w:val="20"/>
        </w:rPr>
        <w:t xml:space="preserve">in our discussion on </w:t>
      </w:r>
      <w:r>
        <w:rPr>
          <w:rFonts w:asciiTheme="minorBidi" w:hAnsiTheme="minorBidi"/>
          <w:i/>
          <w:sz w:val="20"/>
          <w:szCs w:val="20"/>
        </w:rPr>
        <w:t>Parashat Matot</w:t>
      </w:r>
      <w:r>
        <w:rPr>
          <w:rFonts w:asciiTheme="minorBidi" w:hAnsiTheme="minorBidi"/>
          <w:iCs/>
          <w:sz w:val="20"/>
          <w:szCs w:val="20"/>
        </w:rPr>
        <w:t xml:space="preserve">. </w:t>
      </w:r>
    </w:p>
    <w:p w:rsidR="00513E81" w:rsidRDefault="00513E81" w:rsidP="00085ECB">
      <w:pPr>
        <w:pStyle w:val="FootnoteText"/>
        <w:spacing w:line="240" w:lineRule="auto"/>
      </w:pPr>
    </w:p>
  </w:footnote>
  <w:footnote w:id="7">
    <w:p w:rsidR="005A748D" w:rsidRDefault="005A748D" w:rsidP="00085ECB">
      <w:pPr>
        <w:pStyle w:val="FootnoteText"/>
        <w:spacing w:line="240" w:lineRule="auto"/>
      </w:pPr>
      <w:r>
        <w:rPr>
          <w:rStyle w:val="FootnoteReference"/>
        </w:rPr>
        <w:footnoteRef/>
      </w:r>
      <w:r>
        <w:t xml:space="preserve"> “Beth-jericho” is Bet Yerah at the outlet of the Jordan from the Sea of Galilee.</w:t>
      </w:r>
    </w:p>
  </w:footnote>
  <w:footnote w:id="8">
    <w:p w:rsidR="00A674E0" w:rsidRPr="00A674E0" w:rsidRDefault="00A674E0" w:rsidP="00085ECB">
      <w:pPr>
        <w:pStyle w:val="FootnoteText"/>
        <w:spacing w:line="240" w:lineRule="auto"/>
      </w:pPr>
      <w:r>
        <w:rPr>
          <w:rStyle w:val="FootnoteReference"/>
        </w:rPr>
        <w:footnoteRef/>
      </w:r>
      <w:r>
        <w:t xml:space="preserve"> According to most modern scholars, the Gamla that appears in the Talmud is located in the Golan; see our discussion on </w:t>
      </w:r>
      <w:r>
        <w:rPr>
          <w:i/>
          <w:iCs/>
        </w:rPr>
        <w:t>Parashat Behar</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E5D"/>
    <w:multiLevelType w:val="hybridMultilevel"/>
    <w:tmpl w:val="556A5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F6CF0"/>
    <w:multiLevelType w:val="hybridMultilevel"/>
    <w:tmpl w:val="9AAE9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3189E"/>
    <w:multiLevelType w:val="hybridMultilevel"/>
    <w:tmpl w:val="CAC0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20ABB"/>
    <w:multiLevelType w:val="hybridMultilevel"/>
    <w:tmpl w:val="6B5C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D096D"/>
    <w:multiLevelType w:val="hybridMultilevel"/>
    <w:tmpl w:val="9B82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2"/>
  </w:num>
  <w:num w:numId="5">
    <w:abstractNumId w:val="1"/>
  </w:num>
  <w:num w:numId="6">
    <w:abstractNumId w:val="15"/>
  </w:num>
  <w:num w:numId="7">
    <w:abstractNumId w:val="9"/>
  </w:num>
  <w:num w:numId="8">
    <w:abstractNumId w:val="10"/>
  </w:num>
  <w:num w:numId="9">
    <w:abstractNumId w:val="7"/>
  </w:num>
  <w:num w:numId="10">
    <w:abstractNumId w:val="5"/>
  </w:num>
  <w:num w:numId="11">
    <w:abstractNumId w:val="8"/>
  </w:num>
  <w:num w:numId="12">
    <w:abstractNumId w:val="11"/>
  </w:num>
  <w:num w:numId="13">
    <w:abstractNumId w:val="13"/>
  </w:num>
  <w:num w:numId="14">
    <w:abstractNumId w:val="0"/>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1524"/>
    <w:rsid w:val="0000322D"/>
    <w:rsid w:val="0000401F"/>
    <w:rsid w:val="000040AA"/>
    <w:rsid w:val="0000560D"/>
    <w:rsid w:val="00006883"/>
    <w:rsid w:val="000071A3"/>
    <w:rsid w:val="000075D7"/>
    <w:rsid w:val="00007D01"/>
    <w:rsid w:val="00011F3F"/>
    <w:rsid w:val="00013EC3"/>
    <w:rsid w:val="00014C2D"/>
    <w:rsid w:val="0001628B"/>
    <w:rsid w:val="0001665C"/>
    <w:rsid w:val="00021669"/>
    <w:rsid w:val="000219D2"/>
    <w:rsid w:val="00023538"/>
    <w:rsid w:val="00024ED0"/>
    <w:rsid w:val="000254B3"/>
    <w:rsid w:val="00027BEF"/>
    <w:rsid w:val="00030106"/>
    <w:rsid w:val="00033FC8"/>
    <w:rsid w:val="00033FDF"/>
    <w:rsid w:val="00034052"/>
    <w:rsid w:val="000340FC"/>
    <w:rsid w:val="000349A0"/>
    <w:rsid w:val="00035B20"/>
    <w:rsid w:val="000378B4"/>
    <w:rsid w:val="00044018"/>
    <w:rsid w:val="00047D94"/>
    <w:rsid w:val="000520BC"/>
    <w:rsid w:val="0006348A"/>
    <w:rsid w:val="000657AD"/>
    <w:rsid w:val="000667A0"/>
    <w:rsid w:val="00067381"/>
    <w:rsid w:val="000728F0"/>
    <w:rsid w:val="0007379D"/>
    <w:rsid w:val="00073B5C"/>
    <w:rsid w:val="0007561D"/>
    <w:rsid w:val="000771F0"/>
    <w:rsid w:val="00080AE6"/>
    <w:rsid w:val="00082125"/>
    <w:rsid w:val="00084782"/>
    <w:rsid w:val="00085ECB"/>
    <w:rsid w:val="00086C79"/>
    <w:rsid w:val="00090BF6"/>
    <w:rsid w:val="00091E9C"/>
    <w:rsid w:val="0009552A"/>
    <w:rsid w:val="00096619"/>
    <w:rsid w:val="00097F5B"/>
    <w:rsid w:val="000A1C6A"/>
    <w:rsid w:val="000A1ECE"/>
    <w:rsid w:val="000A271A"/>
    <w:rsid w:val="000A773A"/>
    <w:rsid w:val="000B551A"/>
    <w:rsid w:val="000B7EF0"/>
    <w:rsid w:val="000C1970"/>
    <w:rsid w:val="000C2808"/>
    <w:rsid w:val="000C34BD"/>
    <w:rsid w:val="000C3793"/>
    <w:rsid w:val="000C7A56"/>
    <w:rsid w:val="000D0B26"/>
    <w:rsid w:val="000D1B3E"/>
    <w:rsid w:val="000D1CA3"/>
    <w:rsid w:val="000D1D50"/>
    <w:rsid w:val="000D42D9"/>
    <w:rsid w:val="000D60B8"/>
    <w:rsid w:val="000D77D0"/>
    <w:rsid w:val="000D7EB4"/>
    <w:rsid w:val="000E03B4"/>
    <w:rsid w:val="000E0708"/>
    <w:rsid w:val="000E1026"/>
    <w:rsid w:val="000E115F"/>
    <w:rsid w:val="000E15E0"/>
    <w:rsid w:val="000E494E"/>
    <w:rsid w:val="000E77A1"/>
    <w:rsid w:val="000E7874"/>
    <w:rsid w:val="000F1918"/>
    <w:rsid w:val="000F37E7"/>
    <w:rsid w:val="000F3AF2"/>
    <w:rsid w:val="000F757B"/>
    <w:rsid w:val="00102C26"/>
    <w:rsid w:val="00103ED6"/>
    <w:rsid w:val="00104496"/>
    <w:rsid w:val="00104FBD"/>
    <w:rsid w:val="0010561F"/>
    <w:rsid w:val="001069FF"/>
    <w:rsid w:val="00107B29"/>
    <w:rsid w:val="00110506"/>
    <w:rsid w:val="0011115B"/>
    <w:rsid w:val="00111331"/>
    <w:rsid w:val="001143BA"/>
    <w:rsid w:val="00115055"/>
    <w:rsid w:val="00116587"/>
    <w:rsid w:val="00116D0A"/>
    <w:rsid w:val="00117BBF"/>
    <w:rsid w:val="00121B12"/>
    <w:rsid w:val="00122E2A"/>
    <w:rsid w:val="00123D94"/>
    <w:rsid w:val="001256E8"/>
    <w:rsid w:val="00130137"/>
    <w:rsid w:val="00133773"/>
    <w:rsid w:val="00136448"/>
    <w:rsid w:val="00137A0F"/>
    <w:rsid w:val="00140E8E"/>
    <w:rsid w:val="0014188A"/>
    <w:rsid w:val="00141C7B"/>
    <w:rsid w:val="001420BC"/>
    <w:rsid w:val="00143823"/>
    <w:rsid w:val="00143BEC"/>
    <w:rsid w:val="001440D1"/>
    <w:rsid w:val="00144867"/>
    <w:rsid w:val="00144A2A"/>
    <w:rsid w:val="00145E8E"/>
    <w:rsid w:val="00146E64"/>
    <w:rsid w:val="00150AE2"/>
    <w:rsid w:val="001542A6"/>
    <w:rsid w:val="00154D4B"/>
    <w:rsid w:val="00160DD4"/>
    <w:rsid w:val="0016148C"/>
    <w:rsid w:val="00161987"/>
    <w:rsid w:val="001620BE"/>
    <w:rsid w:val="001628B6"/>
    <w:rsid w:val="00162F11"/>
    <w:rsid w:val="0016481B"/>
    <w:rsid w:val="00167A05"/>
    <w:rsid w:val="00172568"/>
    <w:rsid w:val="001727E6"/>
    <w:rsid w:val="0017412F"/>
    <w:rsid w:val="00175E69"/>
    <w:rsid w:val="001760BB"/>
    <w:rsid w:val="00176212"/>
    <w:rsid w:val="001778F1"/>
    <w:rsid w:val="00180102"/>
    <w:rsid w:val="00180FDB"/>
    <w:rsid w:val="00183206"/>
    <w:rsid w:val="00183D39"/>
    <w:rsid w:val="00183E32"/>
    <w:rsid w:val="001846E3"/>
    <w:rsid w:val="00187110"/>
    <w:rsid w:val="001875CC"/>
    <w:rsid w:val="001911BC"/>
    <w:rsid w:val="001A1A82"/>
    <w:rsid w:val="001A2C85"/>
    <w:rsid w:val="001A2F72"/>
    <w:rsid w:val="001A3025"/>
    <w:rsid w:val="001A4355"/>
    <w:rsid w:val="001A4A4A"/>
    <w:rsid w:val="001A4FB4"/>
    <w:rsid w:val="001A531A"/>
    <w:rsid w:val="001A5F24"/>
    <w:rsid w:val="001B0627"/>
    <w:rsid w:val="001B085E"/>
    <w:rsid w:val="001B13F9"/>
    <w:rsid w:val="001B3833"/>
    <w:rsid w:val="001C06DC"/>
    <w:rsid w:val="001C085E"/>
    <w:rsid w:val="001C09BE"/>
    <w:rsid w:val="001C1A7B"/>
    <w:rsid w:val="001C1B40"/>
    <w:rsid w:val="001C5046"/>
    <w:rsid w:val="001C55A1"/>
    <w:rsid w:val="001C5FB6"/>
    <w:rsid w:val="001D164E"/>
    <w:rsid w:val="001D3C3F"/>
    <w:rsid w:val="001D561B"/>
    <w:rsid w:val="001E0B0E"/>
    <w:rsid w:val="001E1B36"/>
    <w:rsid w:val="001E410E"/>
    <w:rsid w:val="001E43CA"/>
    <w:rsid w:val="001E61AE"/>
    <w:rsid w:val="001F1753"/>
    <w:rsid w:val="001F2AB0"/>
    <w:rsid w:val="00202E5B"/>
    <w:rsid w:val="002031A5"/>
    <w:rsid w:val="00203E77"/>
    <w:rsid w:val="00204C4D"/>
    <w:rsid w:val="00204FDD"/>
    <w:rsid w:val="00205B97"/>
    <w:rsid w:val="00210932"/>
    <w:rsid w:val="002160CB"/>
    <w:rsid w:val="00216FF6"/>
    <w:rsid w:val="0022119B"/>
    <w:rsid w:val="00221A0A"/>
    <w:rsid w:val="00221EA0"/>
    <w:rsid w:val="002247EF"/>
    <w:rsid w:val="00224E5C"/>
    <w:rsid w:val="00225EDA"/>
    <w:rsid w:val="00226A12"/>
    <w:rsid w:val="00226A83"/>
    <w:rsid w:val="00230FC2"/>
    <w:rsid w:val="002313D5"/>
    <w:rsid w:val="002319A6"/>
    <w:rsid w:val="00231EFF"/>
    <w:rsid w:val="002332F7"/>
    <w:rsid w:val="002345B7"/>
    <w:rsid w:val="00234BE2"/>
    <w:rsid w:val="002402D6"/>
    <w:rsid w:val="002409E1"/>
    <w:rsid w:val="00242022"/>
    <w:rsid w:val="0024258F"/>
    <w:rsid w:val="002432F4"/>
    <w:rsid w:val="00243C69"/>
    <w:rsid w:val="00243CCA"/>
    <w:rsid w:val="00244B14"/>
    <w:rsid w:val="00245299"/>
    <w:rsid w:val="002460AB"/>
    <w:rsid w:val="00251631"/>
    <w:rsid w:val="00251E14"/>
    <w:rsid w:val="0025322D"/>
    <w:rsid w:val="002545CE"/>
    <w:rsid w:val="0025659F"/>
    <w:rsid w:val="00257D5D"/>
    <w:rsid w:val="00257FEE"/>
    <w:rsid w:val="00261B5C"/>
    <w:rsid w:val="002629B5"/>
    <w:rsid w:val="00265BA3"/>
    <w:rsid w:val="00265E44"/>
    <w:rsid w:val="00270509"/>
    <w:rsid w:val="002724A9"/>
    <w:rsid w:val="0027357C"/>
    <w:rsid w:val="002841E0"/>
    <w:rsid w:val="002911EB"/>
    <w:rsid w:val="00291289"/>
    <w:rsid w:val="002915A4"/>
    <w:rsid w:val="0029214A"/>
    <w:rsid w:val="00293294"/>
    <w:rsid w:val="002939C7"/>
    <w:rsid w:val="00296C62"/>
    <w:rsid w:val="002972DA"/>
    <w:rsid w:val="00297EFE"/>
    <w:rsid w:val="002A12C0"/>
    <w:rsid w:val="002A1D5B"/>
    <w:rsid w:val="002A41EE"/>
    <w:rsid w:val="002B0457"/>
    <w:rsid w:val="002B3A32"/>
    <w:rsid w:val="002B60B2"/>
    <w:rsid w:val="002B6985"/>
    <w:rsid w:val="002C1FD4"/>
    <w:rsid w:val="002C390F"/>
    <w:rsid w:val="002C3E2A"/>
    <w:rsid w:val="002C400D"/>
    <w:rsid w:val="002C5B92"/>
    <w:rsid w:val="002C7336"/>
    <w:rsid w:val="002C7DE1"/>
    <w:rsid w:val="002C7F83"/>
    <w:rsid w:val="002D06CE"/>
    <w:rsid w:val="002D0CA4"/>
    <w:rsid w:val="002D3816"/>
    <w:rsid w:val="002D3A89"/>
    <w:rsid w:val="002D400C"/>
    <w:rsid w:val="002D4CD1"/>
    <w:rsid w:val="002D5215"/>
    <w:rsid w:val="002D57B3"/>
    <w:rsid w:val="002E121A"/>
    <w:rsid w:val="002E1826"/>
    <w:rsid w:val="002E4C8C"/>
    <w:rsid w:val="002E4F38"/>
    <w:rsid w:val="002E5C09"/>
    <w:rsid w:val="002E5FA5"/>
    <w:rsid w:val="002E6B1F"/>
    <w:rsid w:val="002F3EE0"/>
    <w:rsid w:val="002F680A"/>
    <w:rsid w:val="002F6823"/>
    <w:rsid w:val="002F77B3"/>
    <w:rsid w:val="00304A9B"/>
    <w:rsid w:val="00305262"/>
    <w:rsid w:val="003121E8"/>
    <w:rsid w:val="00315608"/>
    <w:rsid w:val="00322FC2"/>
    <w:rsid w:val="003232FD"/>
    <w:rsid w:val="00323B98"/>
    <w:rsid w:val="003241CE"/>
    <w:rsid w:val="00325661"/>
    <w:rsid w:val="003258E5"/>
    <w:rsid w:val="00325B43"/>
    <w:rsid w:val="00326D27"/>
    <w:rsid w:val="0032701E"/>
    <w:rsid w:val="00327EC1"/>
    <w:rsid w:val="003302F1"/>
    <w:rsid w:val="00334F05"/>
    <w:rsid w:val="00337754"/>
    <w:rsid w:val="003407F5"/>
    <w:rsid w:val="003436F9"/>
    <w:rsid w:val="00344392"/>
    <w:rsid w:val="00344A6D"/>
    <w:rsid w:val="00346C1D"/>
    <w:rsid w:val="00347C41"/>
    <w:rsid w:val="0035085C"/>
    <w:rsid w:val="00353F40"/>
    <w:rsid w:val="00354986"/>
    <w:rsid w:val="003569BC"/>
    <w:rsid w:val="00356DC9"/>
    <w:rsid w:val="0036102D"/>
    <w:rsid w:val="003634D0"/>
    <w:rsid w:val="00365387"/>
    <w:rsid w:val="00370762"/>
    <w:rsid w:val="00370D1F"/>
    <w:rsid w:val="00373790"/>
    <w:rsid w:val="00373BDF"/>
    <w:rsid w:val="00373E98"/>
    <w:rsid w:val="00377252"/>
    <w:rsid w:val="00377260"/>
    <w:rsid w:val="003777F8"/>
    <w:rsid w:val="00377A56"/>
    <w:rsid w:val="00380C59"/>
    <w:rsid w:val="00380E31"/>
    <w:rsid w:val="003819A7"/>
    <w:rsid w:val="00384016"/>
    <w:rsid w:val="0038444A"/>
    <w:rsid w:val="00385415"/>
    <w:rsid w:val="00386882"/>
    <w:rsid w:val="00386CCD"/>
    <w:rsid w:val="003902FC"/>
    <w:rsid w:val="00390950"/>
    <w:rsid w:val="00392200"/>
    <w:rsid w:val="00392FD5"/>
    <w:rsid w:val="00393BA0"/>
    <w:rsid w:val="0039514A"/>
    <w:rsid w:val="0039612A"/>
    <w:rsid w:val="003A67DE"/>
    <w:rsid w:val="003B00D9"/>
    <w:rsid w:val="003B313D"/>
    <w:rsid w:val="003B5A41"/>
    <w:rsid w:val="003B7786"/>
    <w:rsid w:val="003B7A1C"/>
    <w:rsid w:val="003C0439"/>
    <w:rsid w:val="003C0BC5"/>
    <w:rsid w:val="003C0FD4"/>
    <w:rsid w:val="003C2BB2"/>
    <w:rsid w:val="003C2FA9"/>
    <w:rsid w:val="003C5C90"/>
    <w:rsid w:val="003C5F80"/>
    <w:rsid w:val="003C68D8"/>
    <w:rsid w:val="003C68FA"/>
    <w:rsid w:val="003C6D51"/>
    <w:rsid w:val="003C7ECE"/>
    <w:rsid w:val="003D0226"/>
    <w:rsid w:val="003D341D"/>
    <w:rsid w:val="003D408E"/>
    <w:rsid w:val="003D65D8"/>
    <w:rsid w:val="003D6D2D"/>
    <w:rsid w:val="003D701F"/>
    <w:rsid w:val="003D7E1F"/>
    <w:rsid w:val="003E0CD1"/>
    <w:rsid w:val="003E1951"/>
    <w:rsid w:val="003F0C45"/>
    <w:rsid w:val="003F0EA3"/>
    <w:rsid w:val="003F20C2"/>
    <w:rsid w:val="003F50C7"/>
    <w:rsid w:val="00401308"/>
    <w:rsid w:val="004027BB"/>
    <w:rsid w:val="0040371A"/>
    <w:rsid w:val="0040492A"/>
    <w:rsid w:val="0040533B"/>
    <w:rsid w:val="00405E14"/>
    <w:rsid w:val="00406CD4"/>
    <w:rsid w:val="00410800"/>
    <w:rsid w:val="004118C2"/>
    <w:rsid w:val="00412776"/>
    <w:rsid w:val="00412838"/>
    <w:rsid w:val="004133E7"/>
    <w:rsid w:val="0041532B"/>
    <w:rsid w:val="00420146"/>
    <w:rsid w:val="004213EA"/>
    <w:rsid w:val="0042792B"/>
    <w:rsid w:val="004302EB"/>
    <w:rsid w:val="004309C7"/>
    <w:rsid w:val="00431248"/>
    <w:rsid w:val="00437119"/>
    <w:rsid w:val="004429E2"/>
    <w:rsid w:val="0044461F"/>
    <w:rsid w:val="00447F02"/>
    <w:rsid w:val="004508BD"/>
    <w:rsid w:val="004516FD"/>
    <w:rsid w:val="00451BDD"/>
    <w:rsid w:val="004525CE"/>
    <w:rsid w:val="00452B00"/>
    <w:rsid w:val="00453150"/>
    <w:rsid w:val="004539B9"/>
    <w:rsid w:val="00461C3B"/>
    <w:rsid w:val="00463B9B"/>
    <w:rsid w:val="0046625E"/>
    <w:rsid w:val="00472B66"/>
    <w:rsid w:val="004743DA"/>
    <w:rsid w:val="00475B0B"/>
    <w:rsid w:val="00475DC1"/>
    <w:rsid w:val="0048207C"/>
    <w:rsid w:val="00482532"/>
    <w:rsid w:val="00482B05"/>
    <w:rsid w:val="0048347D"/>
    <w:rsid w:val="00486860"/>
    <w:rsid w:val="00493081"/>
    <w:rsid w:val="00493ABD"/>
    <w:rsid w:val="00494A65"/>
    <w:rsid w:val="00496478"/>
    <w:rsid w:val="00496FC1"/>
    <w:rsid w:val="00497C7A"/>
    <w:rsid w:val="00497E30"/>
    <w:rsid w:val="004A0CE1"/>
    <w:rsid w:val="004A10B6"/>
    <w:rsid w:val="004A1C5A"/>
    <w:rsid w:val="004A201E"/>
    <w:rsid w:val="004A3B56"/>
    <w:rsid w:val="004A6EF7"/>
    <w:rsid w:val="004A745A"/>
    <w:rsid w:val="004B13A1"/>
    <w:rsid w:val="004B1483"/>
    <w:rsid w:val="004B19BA"/>
    <w:rsid w:val="004B3A61"/>
    <w:rsid w:val="004B40F0"/>
    <w:rsid w:val="004B42CC"/>
    <w:rsid w:val="004B58D6"/>
    <w:rsid w:val="004B64E7"/>
    <w:rsid w:val="004B6C38"/>
    <w:rsid w:val="004B6DB3"/>
    <w:rsid w:val="004C35EA"/>
    <w:rsid w:val="004C6C14"/>
    <w:rsid w:val="004C7D12"/>
    <w:rsid w:val="004D1487"/>
    <w:rsid w:val="004D4335"/>
    <w:rsid w:val="004D5E38"/>
    <w:rsid w:val="004D764E"/>
    <w:rsid w:val="004E045F"/>
    <w:rsid w:val="004E04BE"/>
    <w:rsid w:val="004E0854"/>
    <w:rsid w:val="004E282E"/>
    <w:rsid w:val="004E3BB7"/>
    <w:rsid w:val="004E5CC1"/>
    <w:rsid w:val="004E635F"/>
    <w:rsid w:val="004E67BB"/>
    <w:rsid w:val="004F0F02"/>
    <w:rsid w:val="004F1154"/>
    <w:rsid w:val="004F36C0"/>
    <w:rsid w:val="004F507D"/>
    <w:rsid w:val="004F56F3"/>
    <w:rsid w:val="004F5B18"/>
    <w:rsid w:val="004F68FC"/>
    <w:rsid w:val="004F6CCA"/>
    <w:rsid w:val="00500326"/>
    <w:rsid w:val="005027CD"/>
    <w:rsid w:val="0050313E"/>
    <w:rsid w:val="00507890"/>
    <w:rsid w:val="0051073C"/>
    <w:rsid w:val="00512D65"/>
    <w:rsid w:val="00513E81"/>
    <w:rsid w:val="005156CE"/>
    <w:rsid w:val="0051681A"/>
    <w:rsid w:val="00524061"/>
    <w:rsid w:val="00525633"/>
    <w:rsid w:val="005257E0"/>
    <w:rsid w:val="0053035E"/>
    <w:rsid w:val="00530E10"/>
    <w:rsid w:val="00532396"/>
    <w:rsid w:val="0053474D"/>
    <w:rsid w:val="005356BA"/>
    <w:rsid w:val="0054013E"/>
    <w:rsid w:val="0054065F"/>
    <w:rsid w:val="00540DCC"/>
    <w:rsid w:val="0054149E"/>
    <w:rsid w:val="005417F5"/>
    <w:rsid w:val="0054291D"/>
    <w:rsid w:val="0054404B"/>
    <w:rsid w:val="005446B0"/>
    <w:rsid w:val="00544837"/>
    <w:rsid w:val="00546F22"/>
    <w:rsid w:val="00550BF0"/>
    <w:rsid w:val="00551F9E"/>
    <w:rsid w:val="005523E6"/>
    <w:rsid w:val="0055289C"/>
    <w:rsid w:val="00552E02"/>
    <w:rsid w:val="0056085C"/>
    <w:rsid w:val="00561662"/>
    <w:rsid w:val="00563022"/>
    <w:rsid w:val="00563EBE"/>
    <w:rsid w:val="00567560"/>
    <w:rsid w:val="00571144"/>
    <w:rsid w:val="005755D3"/>
    <w:rsid w:val="00576914"/>
    <w:rsid w:val="00577FFC"/>
    <w:rsid w:val="0058079D"/>
    <w:rsid w:val="00585E7D"/>
    <w:rsid w:val="00591011"/>
    <w:rsid w:val="0059291C"/>
    <w:rsid w:val="00595DFD"/>
    <w:rsid w:val="00595EE0"/>
    <w:rsid w:val="005A0252"/>
    <w:rsid w:val="005A0717"/>
    <w:rsid w:val="005A1CF2"/>
    <w:rsid w:val="005A1DB0"/>
    <w:rsid w:val="005A3CFE"/>
    <w:rsid w:val="005A6DE6"/>
    <w:rsid w:val="005A748D"/>
    <w:rsid w:val="005B2E1E"/>
    <w:rsid w:val="005B335C"/>
    <w:rsid w:val="005B41C7"/>
    <w:rsid w:val="005B4FAB"/>
    <w:rsid w:val="005C2A4E"/>
    <w:rsid w:val="005C2C23"/>
    <w:rsid w:val="005C4888"/>
    <w:rsid w:val="005C4907"/>
    <w:rsid w:val="005C7FBE"/>
    <w:rsid w:val="005D269F"/>
    <w:rsid w:val="005D2E80"/>
    <w:rsid w:val="005D4B63"/>
    <w:rsid w:val="005D6489"/>
    <w:rsid w:val="005E38C6"/>
    <w:rsid w:val="005E45B7"/>
    <w:rsid w:val="005E49C1"/>
    <w:rsid w:val="005E4D04"/>
    <w:rsid w:val="005E52E7"/>
    <w:rsid w:val="005E5705"/>
    <w:rsid w:val="005F1C77"/>
    <w:rsid w:val="005F2583"/>
    <w:rsid w:val="005F2D5D"/>
    <w:rsid w:val="005F4536"/>
    <w:rsid w:val="005F6924"/>
    <w:rsid w:val="005F6AC1"/>
    <w:rsid w:val="005F77C8"/>
    <w:rsid w:val="00602696"/>
    <w:rsid w:val="00602C20"/>
    <w:rsid w:val="006044B4"/>
    <w:rsid w:val="00606BE9"/>
    <w:rsid w:val="00606F75"/>
    <w:rsid w:val="00607973"/>
    <w:rsid w:val="00611629"/>
    <w:rsid w:val="00612333"/>
    <w:rsid w:val="00612420"/>
    <w:rsid w:val="0061368E"/>
    <w:rsid w:val="006140A3"/>
    <w:rsid w:val="006149FD"/>
    <w:rsid w:val="006156C3"/>
    <w:rsid w:val="00617113"/>
    <w:rsid w:val="006174F6"/>
    <w:rsid w:val="00621737"/>
    <w:rsid w:val="0062249B"/>
    <w:rsid w:val="006322D4"/>
    <w:rsid w:val="006336F0"/>
    <w:rsid w:val="00637BD3"/>
    <w:rsid w:val="00637BE9"/>
    <w:rsid w:val="00640521"/>
    <w:rsid w:val="0064217A"/>
    <w:rsid w:val="0064344D"/>
    <w:rsid w:val="0064547D"/>
    <w:rsid w:val="00650F60"/>
    <w:rsid w:val="0065123A"/>
    <w:rsid w:val="00652A3D"/>
    <w:rsid w:val="00655040"/>
    <w:rsid w:val="00656A4D"/>
    <w:rsid w:val="0065760C"/>
    <w:rsid w:val="00663BB0"/>
    <w:rsid w:val="00663F28"/>
    <w:rsid w:val="006737CD"/>
    <w:rsid w:val="0067659B"/>
    <w:rsid w:val="00677777"/>
    <w:rsid w:val="00684374"/>
    <w:rsid w:val="0068551E"/>
    <w:rsid w:val="00687DD2"/>
    <w:rsid w:val="006904EB"/>
    <w:rsid w:val="00690C14"/>
    <w:rsid w:val="0069210E"/>
    <w:rsid w:val="00693ACA"/>
    <w:rsid w:val="006946FF"/>
    <w:rsid w:val="006967A2"/>
    <w:rsid w:val="00696C18"/>
    <w:rsid w:val="006A07DA"/>
    <w:rsid w:val="006A2141"/>
    <w:rsid w:val="006A2400"/>
    <w:rsid w:val="006A414F"/>
    <w:rsid w:val="006A7334"/>
    <w:rsid w:val="006B4943"/>
    <w:rsid w:val="006C02F3"/>
    <w:rsid w:val="006C0805"/>
    <w:rsid w:val="006C09BC"/>
    <w:rsid w:val="006C1443"/>
    <w:rsid w:val="006C30AC"/>
    <w:rsid w:val="006C48A0"/>
    <w:rsid w:val="006C4F0F"/>
    <w:rsid w:val="006C571D"/>
    <w:rsid w:val="006C5F2A"/>
    <w:rsid w:val="006C5FAD"/>
    <w:rsid w:val="006C70F6"/>
    <w:rsid w:val="006C778F"/>
    <w:rsid w:val="006D13E4"/>
    <w:rsid w:val="006D26DA"/>
    <w:rsid w:val="006D2B95"/>
    <w:rsid w:val="006D2DB6"/>
    <w:rsid w:val="006D38EC"/>
    <w:rsid w:val="006D3DA0"/>
    <w:rsid w:val="006D3DA7"/>
    <w:rsid w:val="006D5108"/>
    <w:rsid w:val="006D7A90"/>
    <w:rsid w:val="006E192B"/>
    <w:rsid w:val="006E3860"/>
    <w:rsid w:val="006E3A89"/>
    <w:rsid w:val="006E52DE"/>
    <w:rsid w:val="006E5367"/>
    <w:rsid w:val="006E7851"/>
    <w:rsid w:val="006F02C7"/>
    <w:rsid w:val="006F2A6A"/>
    <w:rsid w:val="006F2B04"/>
    <w:rsid w:val="006F32D9"/>
    <w:rsid w:val="006F4E72"/>
    <w:rsid w:val="006F635D"/>
    <w:rsid w:val="006F7786"/>
    <w:rsid w:val="006F79CC"/>
    <w:rsid w:val="007016BB"/>
    <w:rsid w:val="00701C64"/>
    <w:rsid w:val="007035A2"/>
    <w:rsid w:val="0070473D"/>
    <w:rsid w:val="0070582D"/>
    <w:rsid w:val="00706770"/>
    <w:rsid w:val="00710C84"/>
    <w:rsid w:val="00714EC6"/>
    <w:rsid w:val="007173E1"/>
    <w:rsid w:val="00717AFC"/>
    <w:rsid w:val="00720052"/>
    <w:rsid w:val="00724896"/>
    <w:rsid w:val="007256A1"/>
    <w:rsid w:val="00725EC8"/>
    <w:rsid w:val="00726B0F"/>
    <w:rsid w:val="00727640"/>
    <w:rsid w:val="00727ECF"/>
    <w:rsid w:val="00731D97"/>
    <w:rsid w:val="0073378D"/>
    <w:rsid w:val="007344F0"/>
    <w:rsid w:val="007412AE"/>
    <w:rsid w:val="00741D66"/>
    <w:rsid w:val="0074313D"/>
    <w:rsid w:val="007439F4"/>
    <w:rsid w:val="00745719"/>
    <w:rsid w:val="00746369"/>
    <w:rsid w:val="00746A11"/>
    <w:rsid w:val="007511F9"/>
    <w:rsid w:val="007558B2"/>
    <w:rsid w:val="007561CD"/>
    <w:rsid w:val="00757472"/>
    <w:rsid w:val="00757874"/>
    <w:rsid w:val="0076110C"/>
    <w:rsid w:val="0076124D"/>
    <w:rsid w:val="00761513"/>
    <w:rsid w:val="00761B53"/>
    <w:rsid w:val="00762A79"/>
    <w:rsid w:val="00766D37"/>
    <w:rsid w:val="00770A4B"/>
    <w:rsid w:val="00770A85"/>
    <w:rsid w:val="0077133E"/>
    <w:rsid w:val="00772414"/>
    <w:rsid w:val="0077340D"/>
    <w:rsid w:val="00773707"/>
    <w:rsid w:val="00775FA4"/>
    <w:rsid w:val="00777035"/>
    <w:rsid w:val="00777342"/>
    <w:rsid w:val="00777C08"/>
    <w:rsid w:val="00782D07"/>
    <w:rsid w:val="00782F8B"/>
    <w:rsid w:val="00784381"/>
    <w:rsid w:val="007850BE"/>
    <w:rsid w:val="00785532"/>
    <w:rsid w:val="00785899"/>
    <w:rsid w:val="0078757A"/>
    <w:rsid w:val="00791945"/>
    <w:rsid w:val="0079392E"/>
    <w:rsid w:val="007940BA"/>
    <w:rsid w:val="0079439B"/>
    <w:rsid w:val="00796D0A"/>
    <w:rsid w:val="00797D4E"/>
    <w:rsid w:val="007A1622"/>
    <w:rsid w:val="007A30F9"/>
    <w:rsid w:val="007A3B6A"/>
    <w:rsid w:val="007A3D96"/>
    <w:rsid w:val="007A510B"/>
    <w:rsid w:val="007A5476"/>
    <w:rsid w:val="007A61B9"/>
    <w:rsid w:val="007A676B"/>
    <w:rsid w:val="007A6CF3"/>
    <w:rsid w:val="007B26BB"/>
    <w:rsid w:val="007B415A"/>
    <w:rsid w:val="007B5797"/>
    <w:rsid w:val="007B68A4"/>
    <w:rsid w:val="007B6ED5"/>
    <w:rsid w:val="007B71E9"/>
    <w:rsid w:val="007B7994"/>
    <w:rsid w:val="007D1786"/>
    <w:rsid w:val="007D17F4"/>
    <w:rsid w:val="007D1B4F"/>
    <w:rsid w:val="007D50C7"/>
    <w:rsid w:val="007D5AA4"/>
    <w:rsid w:val="007E1398"/>
    <w:rsid w:val="007E2128"/>
    <w:rsid w:val="007E699A"/>
    <w:rsid w:val="007E76F5"/>
    <w:rsid w:val="007F1254"/>
    <w:rsid w:val="007F19EB"/>
    <w:rsid w:val="007F1BAC"/>
    <w:rsid w:val="007F2D2C"/>
    <w:rsid w:val="007F2F02"/>
    <w:rsid w:val="007F339B"/>
    <w:rsid w:val="007F3A6A"/>
    <w:rsid w:val="007F440D"/>
    <w:rsid w:val="007F4C83"/>
    <w:rsid w:val="007F5049"/>
    <w:rsid w:val="008017EF"/>
    <w:rsid w:val="008019CB"/>
    <w:rsid w:val="00803309"/>
    <w:rsid w:val="00803E82"/>
    <w:rsid w:val="00804154"/>
    <w:rsid w:val="00804B14"/>
    <w:rsid w:val="00804C23"/>
    <w:rsid w:val="00804CCE"/>
    <w:rsid w:val="00805B6B"/>
    <w:rsid w:val="00806D24"/>
    <w:rsid w:val="00810630"/>
    <w:rsid w:val="00810B1E"/>
    <w:rsid w:val="00810BB8"/>
    <w:rsid w:val="00814956"/>
    <w:rsid w:val="00816772"/>
    <w:rsid w:val="00817634"/>
    <w:rsid w:val="0082047B"/>
    <w:rsid w:val="00820ABA"/>
    <w:rsid w:val="008242E6"/>
    <w:rsid w:val="00824EFA"/>
    <w:rsid w:val="0082547A"/>
    <w:rsid w:val="008311BB"/>
    <w:rsid w:val="00831E31"/>
    <w:rsid w:val="00832EC2"/>
    <w:rsid w:val="00832F08"/>
    <w:rsid w:val="00833B2E"/>
    <w:rsid w:val="00833B6C"/>
    <w:rsid w:val="00833C2B"/>
    <w:rsid w:val="00833EB5"/>
    <w:rsid w:val="00837746"/>
    <w:rsid w:val="00840BCF"/>
    <w:rsid w:val="00841785"/>
    <w:rsid w:val="00844366"/>
    <w:rsid w:val="00844414"/>
    <w:rsid w:val="008444EE"/>
    <w:rsid w:val="008451EB"/>
    <w:rsid w:val="00851066"/>
    <w:rsid w:val="00851223"/>
    <w:rsid w:val="008517BE"/>
    <w:rsid w:val="0085239C"/>
    <w:rsid w:val="00852CD4"/>
    <w:rsid w:val="00853209"/>
    <w:rsid w:val="00853BC2"/>
    <w:rsid w:val="00854FE0"/>
    <w:rsid w:val="0085631A"/>
    <w:rsid w:val="00856D77"/>
    <w:rsid w:val="00860B79"/>
    <w:rsid w:val="00862243"/>
    <w:rsid w:val="008637E3"/>
    <w:rsid w:val="00864B74"/>
    <w:rsid w:val="0086662F"/>
    <w:rsid w:val="00874735"/>
    <w:rsid w:val="00875834"/>
    <w:rsid w:val="008762F4"/>
    <w:rsid w:val="00877A8D"/>
    <w:rsid w:val="008802DF"/>
    <w:rsid w:val="00880BD0"/>
    <w:rsid w:val="00881769"/>
    <w:rsid w:val="008830C6"/>
    <w:rsid w:val="00884498"/>
    <w:rsid w:val="00884B80"/>
    <w:rsid w:val="00885E4F"/>
    <w:rsid w:val="008907D1"/>
    <w:rsid w:val="00892254"/>
    <w:rsid w:val="00892A6C"/>
    <w:rsid w:val="00893059"/>
    <w:rsid w:val="0089348A"/>
    <w:rsid w:val="0089446B"/>
    <w:rsid w:val="00894F80"/>
    <w:rsid w:val="00895873"/>
    <w:rsid w:val="008A1E52"/>
    <w:rsid w:val="008A3DD1"/>
    <w:rsid w:val="008A576E"/>
    <w:rsid w:val="008B120A"/>
    <w:rsid w:val="008B1623"/>
    <w:rsid w:val="008B1B83"/>
    <w:rsid w:val="008B278A"/>
    <w:rsid w:val="008B2F9B"/>
    <w:rsid w:val="008B36F4"/>
    <w:rsid w:val="008C05DA"/>
    <w:rsid w:val="008C233C"/>
    <w:rsid w:val="008C2CB2"/>
    <w:rsid w:val="008C3B05"/>
    <w:rsid w:val="008C5321"/>
    <w:rsid w:val="008C7F69"/>
    <w:rsid w:val="008D0F66"/>
    <w:rsid w:val="008D1E8D"/>
    <w:rsid w:val="008D22E7"/>
    <w:rsid w:val="008D4104"/>
    <w:rsid w:val="008D4DDC"/>
    <w:rsid w:val="008D541E"/>
    <w:rsid w:val="008D7C4B"/>
    <w:rsid w:val="008E0480"/>
    <w:rsid w:val="008E0640"/>
    <w:rsid w:val="008E1427"/>
    <w:rsid w:val="008E1EFF"/>
    <w:rsid w:val="008E2C43"/>
    <w:rsid w:val="008E55C7"/>
    <w:rsid w:val="008E5E47"/>
    <w:rsid w:val="008E64F5"/>
    <w:rsid w:val="008E7541"/>
    <w:rsid w:val="008F0873"/>
    <w:rsid w:val="008F1D68"/>
    <w:rsid w:val="008F4AD4"/>
    <w:rsid w:val="008F50B8"/>
    <w:rsid w:val="008F71EA"/>
    <w:rsid w:val="008F7208"/>
    <w:rsid w:val="009011D6"/>
    <w:rsid w:val="009018C8"/>
    <w:rsid w:val="0090354F"/>
    <w:rsid w:val="00903657"/>
    <w:rsid w:val="00910EBB"/>
    <w:rsid w:val="0091266D"/>
    <w:rsid w:val="00913AF2"/>
    <w:rsid w:val="00913C91"/>
    <w:rsid w:val="009141D6"/>
    <w:rsid w:val="009142EE"/>
    <w:rsid w:val="00915199"/>
    <w:rsid w:val="009159E5"/>
    <w:rsid w:val="0091612E"/>
    <w:rsid w:val="0091696C"/>
    <w:rsid w:val="009310A7"/>
    <w:rsid w:val="009321AB"/>
    <w:rsid w:val="00933EF3"/>
    <w:rsid w:val="00934983"/>
    <w:rsid w:val="00934ACC"/>
    <w:rsid w:val="009359B3"/>
    <w:rsid w:val="009375F4"/>
    <w:rsid w:val="0094063E"/>
    <w:rsid w:val="00940D8B"/>
    <w:rsid w:val="00942A69"/>
    <w:rsid w:val="009431D2"/>
    <w:rsid w:val="00944C18"/>
    <w:rsid w:val="00944D52"/>
    <w:rsid w:val="00945362"/>
    <w:rsid w:val="00945905"/>
    <w:rsid w:val="00950A89"/>
    <w:rsid w:val="0095366A"/>
    <w:rsid w:val="00954C15"/>
    <w:rsid w:val="00957DD9"/>
    <w:rsid w:val="00957DEB"/>
    <w:rsid w:val="00961B1F"/>
    <w:rsid w:val="00962F7C"/>
    <w:rsid w:val="00965435"/>
    <w:rsid w:val="009656D5"/>
    <w:rsid w:val="0096756C"/>
    <w:rsid w:val="00967570"/>
    <w:rsid w:val="00967717"/>
    <w:rsid w:val="009700B9"/>
    <w:rsid w:val="00972740"/>
    <w:rsid w:val="00972E78"/>
    <w:rsid w:val="00974AD7"/>
    <w:rsid w:val="00976868"/>
    <w:rsid w:val="0097695B"/>
    <w:rsid w:val="00977EF3"/>
    <w:rsid w:val="00980571"/>
    <w:rsid w:val="00982145"/>
    <w:rsid w:val="00984F76"/>
    <w:rsid w:val="009850AA"/>
    <w:rsid w:val="009854AA"/>
    <w:rsid w:val="00985A74"/>
    <w:rsid w:val="0098721F"/>
    <w:rsid w:val="00987672"/>
    <w:rsid w:val="00990B4B"/>
    <w:rsid w:val="00993286"/>
    <w:rsid w:val="00995EA9"/>
    <w:rsid w:val="009A241E"/>
    <w:rsid w:val="009A26ED"/>
    <w:rsid w:val="009A2BF3"/>
    <w:rsid w:val="009A3703"/>
    <w:rsid w:val="009A4FD1"/>
    <w:rsid w:val="009A68AF"/>
    <w:rsid w:val="009A76DD"/>
    <w:rsid w:val="009B497A"/>
    <w:rsid w:val="009B71E7"/>
    <w:rsid w:val="009B77BF"/>
    <w:rsid w:val="009C1259"/>
    <w:rsid w:val="009C16CF"/>
    <w:rsid w:val="009C1780"/>
    <w:rsid w:val="009C4AB7"/>
    <w:rsid w:val="009D394F"/>
    <w:rsid w:val="009D53DA"/>
    <w:rsid w:val="009D6181"/>
    <w:rsid w:val="009D64D4"/>
    <w:rsid w:val="009D7CDA"/>
    <w:rsid w:val="009E16C1"/>
    <w:rsid w:val="009E1A77"/>
    <w:rsid w:val="009E32F8"/>
    <w:rsid w:val="009E4D40"/>
    <w:rsid w:val="009E501F"/>
    <w:rsid w:val="009E5BDF"/>
    <w:rsid w:val="009E6695"/>
    <w:rsid w:val="009E798B"/>
    <w:rsid w:val="009F0970"/>
    <w:rsid w:val="009F3CF4"/>
    <w:rsid w:val="009F523E"/>
    <w:rsid w:val="009F6B1F"/>
    <w:rsid w:val="00A00196"/>
    <w:rsid w:val="00A01573"/>
    <w:rsid w:val="00A0173F"/>
    <w:rsid w:val="00A04BBD"/>
    <w:rsid w:val="00A06DD9"/>
    <w:rsid w:val="00A14456"/>
    <w:rsid w:val="00A151EF"/>
    <w:rsid w:val="00A15F8E"/>
    <w:rsid w:val="00A16154"/>
    <w:rsid w:val="00A16756"/>
    <w:rsid w:val="00A20BCB"/>
    <w:rsid w:val="00A264E3"/>
    <w:rsid w:val="00A30DE8"/>
    <w:rsid w:val="00A334BD"/>
    <w:rsid w:val="00A33E47"/>
    <w:rsid w:val="00A34FB4"/>
    <w:rsid w:val="00A35DD0"/>
    <w:rsid w:val="00A36222"/>
    <w:rsid w:val="00A3726E"/>
    <w:rsid w:val="00A40C0C"/>
    <w:rsid w:val="00A4121D"/>
    <w:rsid w:val="00A442AD"/>
    <w:rsid w:val="00A460C5"/>
    <w:rsid w:val="00A468EE"/>
    <w:rsid w:val="00A52EBB"/>
    <w:rsid w:val="00A53DD7"/>
    <w:rsid w:val="00A54EF6"/>
    <w:rsid w:val="00A56E71"/>
    <w:rsid w:val="00A57AFA"/>
    <w:rsid w:val="00A60C18"/>
    <w:rsid w:val="00A62370"/>
    <w:rsid w:val="00A62C8C"/>
    <w:rsid w:val="00A6399F"/>
    <w:rsid w:val="00A65A28"/>
    <w:rsid w:val="00A65FB9"/>
    <w:rsid w:val="00A66ED9"/>
    <w:rsid w:val="00A674E0"/>
    <w:rsid w:val="00A67BBC"/>
    <w:rsid w:val="00A67C52"/>
    <w:rsid w:val="00A73825"/>
    <w:rsid w:val="00A7477E"/>
    <w:rsid w:val="00A7628A"/>
    <w:rsid w:val="00A76DD9"/>
    <w:rsid w:val="00A775C7"/>
    <w:rsid w:val="00A777D1"/>
    <w:rsid w:val="00A80893"/>
    <w:rsid w:val="00A831EA"/>
    <w:rsid w:val="00A83CEC"/>
    <w:rsid w:val="00A84632"/>
    <w:rsid w:val="00A852B2"/>
    <w:rsid w:val="00A85567"/>
    <w:rsid w:val="00A87725"/>
    <w:rsid w:val="00A87997"/>
    <w:rsid w:val="00A87BA0"/>
    <w:rsid w:val="00A91D74"/>
    <w:rsid w:val="00A927A5"/>
    <w:rsid w:val="00A92F4B"/>
    <w:rsid w:val="00A950AB"/>
    <w:rsid w:val="00AA562B"/>
    <w:rsid w:val="00AA5E8A"/>
    <w:rsid w:val="00AA664F"/>
    <w:rsid w:val="00AA723F"/>
    <w:rsid w:val="00AB0833"/>
    <w:rsid w:val="00AB10B2"/>
    <w:rsid w:val="00AB4F13"/>
    <w:rsid w:val="00AB61B8"/>
    <w:rsid w:val="00AC148D"/>
    <w:rsid w:val="00AC5C74"/>
    <w:rsid w:val="00AD2101"/>
    <w:rsid w:val="00AD285E"/>
    <w:rsid w:val="00AD2D82"/>
    <w:rsid w:val="00AD2D98"/>
    <w:rsid w:val="00AD2FDB"/>
    <w:rsid w:val="00AD549C"/>
    <w:rsid w:val="00AE063E"/>
    <w:rsid w:val="00AE0F50"/>
    <w:rsid w:val="00AE1CFD"/>
    <w:rsid w:val="00AE295C"/>
    <w:rsid w:val="00AE3569"/>
    <w:rsid w:val="00AE3D64"/>
    <w:rsid w:val="00AE45FD"/>
    <w:rsid w:val="00AF33CF"/>
    <w:rsid w:val="00AF512C"/>
    <w:rsid w:val="00B00F30"/>
    <w:rsid w:val="00B0757F"/>
    <w:rsid w:val="00B10A64"/>
    <w:rsid w:val="00B119B4"/>
    <w:rsid w:val="00B121AD"/>
    <w:rsid w:val="00B2102D"/>
    <w:rsid w:val="00B240FB"/>
    <w:rsid w:val="00B25F0A"/>
    <w:rsid w:val="00B31446"/>
    <w:rsid w:val="00B315E9"/>
    <w:rsid w:val="00B32DB6"/>
    <w:rsid w:val="00B35CD1"/>
    <w:rsid w:val="00B378D6"/>
    <w:rsid w:val="00B403B6"/>
    <w:rsid w:val="00B40FB9"/>
    <w:rsid w:val="00B412EE"/>
    <w:rsid w:val="00B41F90"/>
    <w:rsid w:val="00B42FB5"/>
    <w:rsid w:val="00B45546"/>
    <w:rsid w:val="00B519C2"/>
    <w:rsid w:val="00B519C9"/>
    <w:rsid w:val="00B51A93"/>
    <w:rsid w:val="00B538A2"/>
    <w:rsid w:val="00B53D15"/>
    <w:rsid w:val="00B54638"/>
    <w:rsid w:val="00B60C15"/>
    <w:rsid w:val="00B60EC7"/>
    <w:rsid w:val="00B61623"/>
    <w:rsid w:val="00B6292C"/>
    <w:rsid w:val="00B629C5"/>
    <w:rsid w:val="00B64296"/>
    <w:rsid w:val="00B71596"/>
    <w:rsid w:val="00B737E3"/>
    <w:rsid w:val="00B77457"/>
    <w:rsid w:val="00B80E12"/>
    <w:rsid w:val="00B8165A"/>
    <w:rsid w:val="00B81661"/>
    <w:rsid w:val="00B824AE"/>
    <w:rsid w:val="00B828A9"/>
    <w:rsid w:val="00B82D4D"/>
    <w:rsid w:val="00B8351F"/>
    <w:rsid w:val="00B84F87"/>
    <w:rsid w:val="00B86E3F"/>
    <w:rsid w:val="00B92D0B"/>
    <w:rsid w:val="00B95260"/>
    <w:rsid w:val="00B97737"/>
    <w:rsid w:val="00B97CAE"/>
    <w:rsid w:val="00BA1621"/>
    <w:rsid w:val="00BA2722"/>
    <w:rsid w:val="00BB1121"/>
    <w:rsid w:val="00BB1686"/>
    <w:rsid w:val="00BB3455"/>
    <w:rsid w:val="00BB4244"/>
    <w:rsid w:val="00BB492A"/>
    <w:rsid w:val="00BB5E21"/>
    <w:rsid w:val="00BB5F38"/>
    <w:rsid w:val="00BC3922"/>
    <w:rsid w:val="00BC71DC"/>
    <w:rsid w:val="00BC7EB9"/>
    <w:rsid w:val="00BD2257"/>
    <w:rsid w:val="00BD283D"/>
    <w:rsid w:val="00BD4AA4"/>
    <w:rsid w:val="00BD4E46"/>
    <w:rsid w:val="00BD55C1"/>
    <w:rsid w:val="00BD5795"/>
    <w:rsid w:val="00BD7946"/>
    <w:rsid w:val="00BD7989"/>
    <w:rsid w:val="00BE08A6"/>
    <w:rsid w:val="00BE118C"/>
    <w:rsid w:val="00BE150A"/>
    <w:rsid w:val="00BE43CF"/>
    <w:rsid w:val="00BE4CE0"/>
    <w:rsid w:val="00BE646C"/>
    <w:rsid w:val="00BE780C"/>
    <w:rsid w:val="00BE7B22"/>
    <w:rsid w:val="00BF1E16"/>
    <w:rsid w:val="00BF31D9"/>
    <w:rsid w:val="00BF46FF"/>
    <w:rsid w:val="00BF51C5"/>
    <w:rsid w:val="00BF5B65"/>
    <w:rsid w:val="00BF7DCA"/>
    <w:rsid w:val="00C016C3"/>
    <w:rsid w:val="00C027D9"/>
    <w:rsid w:val="00C02E86"/>
    <w:rsid w:val="00C048E5"/>
    <w:rsid w:val="00C06A69"/>
    <w:rsid w:val="00C12B3D"/>
    <w:rsid w:val="00C1375E"/>
    <w:rsid w:val="00C1397E"/>
    <w:rsid w:val="00C15713"/>
    <w:rsid w:val="00C16161"/>
    <w:rsid w:val="00C1692B"/>
    <w:rsid w:val="00C169EB"/>
    <w:rsid w:val="00C213DD"/>
    <w:rsid w:val="00C22BD2"/>
    <w:rsid w:val="00C22BE6"/>
    <w:rsid w:val="00C2400A"/>
    <w:rsid w:val="00C2415D"/>
    <w:rsid w:val="00C2696F"/>
    <w:rsid w:val="00C26DDA"/>
    <w:rsid w:val="00C27DD9"/>
    <w:rsid w:val="00C32B63"/>
    <w:rsid w:val="00C333DE"/>
    <w:rsid w:val="00C336FC"/>
    <w:rsid w:val="00C34AD3"/>
    <w:rsid w:val="00C34DE1"/>
    <w:rsid w:val="00C35509"/>
    <w:rsid w:val="00C37D96"/>
    <w:rsid w:val="00C43842"/>
    <w:rsid w:val="00C44235"/>
    <w:rsid w:val="00C44A1A"/>
    <w:rsid w:val="00C46607"/>
    <w:rsid w:val="00C47D68"/>
    <w:rsid w:val="00C5015C"/>
    <w:rsid w:val="00C50897"/>
    <w:rsid w:val="00C50A68"/>
    <w:rsid w:val="00C510D6"/>
    <w:rsid w:val="00C520BB"/>
    <w:rsid w:val="00C53D8E"/>
    <w:rsid w:val="00C54E7C"/>
    <w:rsid w:val="00C55CD3"/>
    <w:rsid w:val="00C5653E"/>
    <w:rsid w:val="00C62D24"/>
    <w:rsid w:val="00C62EEA"/>
    <w:rsid w:val="00C67181"/>
    <w:rsid w:val="00C679DC"/>
    <w:rsid w:val="00C70A12"/>
    <w:rsid w:val="00C71126"/>
    <w:rsid w:val="00C734EE"/>
    <w:rsid w:val="00C73FBD"/>
    <w:rsid w:val="00C748A1"/>
    <w:rsid w:val="00C75610"/>
    <w:rsid w:val="00C75A85"/>
    <w:rsid w:val="00C77EB9"/>
    <w:rsid w:val="00C80D04"/>
    <w:rsid w:val="00C822B6"/>
    <w:rsid w:val="00C829C7"/>
    <w:rsid w:val="00C82AE2"/>
    <w:rsid w:val="00C82B87"/>
    <w:rsid w:val="00C843E4"/>
    <w:rsid w:val="00C91494"/>
    <w:rsid w:val="00C91788"/>
    <w:rsid w:val="00C93912"/>
    <w:rsid w:val="00C944B2"/>
    <w:rsid w:val="00C95904"/>
    <w:rsid w:val="00C95B86"/>
    <w:rsid w:val="00C96438"/>
    <w:rsid w:val="00CA1711"/>
    <w:rsid w:val="00CA2D9F"/>
    <w:rsid w:val="00CA4B13"/>
    <w:rsid w:val="00CA7822"/>
    <w:rsid w:val="00CA7E99"/>
    <w:rsid w:val="00CB0B5C"/>
    <w:rsid w:val="00CB0DAC"/>
    <w:rsid w:val="00CB0ED0"/>
    <w:rsid w:val="00CB13C0"/>
    <w:rsid w:val="00CB281C"/>
    <w:rsid w:val="00CB4628"/>
    <w:rsid w:val="00CB49F3"/>
    <w:rsid w:val="00CB5704"/>
    <w:rsid w:val="00CB5C9C"/>
    <w:rsid w:val="00CC07FC"/>
    <w:rsid w:val="00CC09AE"/>
    <w:rsid w:val="00CC0BAE"/>
    <w:rsid w:val="00CC0D5D"/>
    <w:rsid w:val="00CC1431"/>
    <w:rsid w:val="00CC279A"/>
    <w:rsid w:val="00CC647E"/>
    <w:rsid w:val="00CC73F0"/>
    <w:rsid w:val="00CC7E2B"/>
    <w:rsid w:val="00CD0AA1"/>
    <w:rsid w:val="00CD2D3F"/>
    <w:rsid w:val="00CD5932"/>
    <w:rsid w:val="00CD5D29"/>
    <w:rsid w:val="00CD6FD0"/>
    <w:rsid w:val="00CE198E"/>
    <w:rsid w:val="00CE278A"/>
    <w:rsid w:val="00CE2C75"/>
    <w:rsid w:val="00CE32FF"/>
    <w:rsid w:val="00CE3FD1"/>
    <w:rsid w:val="00CF29A8"/>
    <w:rsid w:val="00CF393B"/>
    <w:rsid w:val="00D01C96"/>
    <w:rsid w:val="00D02A06"/>
    <w:rsid w:val="00D0501A"/>
    <w:rsid w:val="00D10283"/>
    <w:rsid w:val="00D10D38"/>
    <w:rsid w:val="00D1326D"/>
    <w:rsid w:val="00D145F4"/>
    <w:rsid w:val="00D14B05"/>
    <w:rsid w:val="00D173F3"/>
    <w:rsid w:val="00D2278F"/>
    <w:rsid w:val="00D22AE3"/>
    <w:rsid w:val="00D2655B"/>
    <w:rsid w:val="00D30852"/>
    <w:rsid w:val="00D31FD5"/>
    <w:rsid w:val="00D33827"/>
    <w:rsid w:val="00D33AB2"/>
    <w:rsid w:val="00D350DC"/>
    <w:rsid w:val="00D35567"/>
    <w:rsid w:val="00D4099C"/>
    <w:rsid w:val="00D41EA1"/>
    <w:rsid w:val="00D42AD1"/>
    <w:rsid w:val="00D4339B"/>
    <w:rsid w:val="00D443AE"/>
    <w:rsid w:val="00D45C5F"/>
    <w:rsid w:val="00D465BF"/>
    <w:rsid w:val="00D47EDD"/>
    <w:rsid w:val="00D50673"/>
    <w:rsid w:val="00D50DC8"/>
    <w:rsid w:val="00D52C72"/>
    <w:rsid w:val="00D53E05"/>
    <w:rsid w:val="00D5512E"/>
    <w:rsid w:val="00D557D9"/>
    <w:rsid w:val="00D56318"/>
    <w:rsid w:val="00D56844"/>
    <w:rsid w:val="00D56B03"/>
    <w:rsid w:val="00D609ED"/>
    <w:rsid w:val="00D618CF"/>
    <w:rsid w:val="00D62593"/>
    <w:rsid w:val="00D649BB"/>
    <w:rsid w:val="00D64CFA"/>
    <w:rsid w:val="00D6584D"/>
    <w:rsid w:val="00D66223"/>
    <w:rsid w:val="00D679D8"/>
    <w:rsid w:val="00D67A8C"/>
    <w:rsid w:val="00D720FE"/>
    <w:rsid w:val="00D7275E"/>
    <w:rsid w:val="00D73229"/>
    <w:rsid w:val="00D74602"/>
    <w:rsid w:val="00D74BA4"/>
    <w:rsid w:val="00D7508C"/>
    <w:rsid w:val="00D80FDB"/>
    <w:rsid w:val="00D929A4"/>
    <w:rsid w:val="00D94A47"/>
    <w:rsid w:val="00D965BE"/>
    <w:rsid w:val="00D96D1E"/>
    <w:rsid w:val="00DA0952"/>
    <w:rsid w:val="00DA3EEC"/>
    <w:rsid w:val="00DA7A06"/>
    <w:rsid w:val="00DA7D9A"/>
    <w:rsid w:val="00DB1ADD"/>
    <w:rsid w:val="00DB4D72"/>
    <w:rsid w:val="00DB59A9"/>
    <w:rsid w:val="00DB7F37"/>
    <w:rsid w:val="00DC0299"/>
    <w:rsid w:val="00DC0489"/>
    <w:rsid w:val="00DC051C"/>
    <w:rsid w:val="00DC0954"/>
    <w:rsid w:val="00DC2A39"/>
    <w:rsid w:val="00DC3687"/>
    <w:rsid w:val="00DC4FAD"/>
    <w:rsid w:val="00DC5174"/>
    <w:rsid w:val="00DC5DE7"/>
    <w:rsid w:val="00DC603A"/>
    <w:rsid w:val="00DC60BA"/>
    <w:rsid w:val="00DC7103"/>
    <w:rsid w:val="00DC749D"/>
    <w:rsid w:val="00DC7948"/>
    <w:rsid w:val="00DD3841"/>
    <w:rsid w:val="00DD6189"/>
    <w:rsid w:val="00DD77FD"/>
    <w:rsid w:val="00DE0987"/>
    <w:rsid w:val="00DE0D6C"/>
    <w:rsid w:val="00DE1524"/>
    <w:rsid w:val="00DE2980"/>
    <w:rsid w:val="00DE5260"/>
    <w:rsid w:val="00DE6122"/>
    <w:rsid w:val="00DE6648"/>
    <w:rsid w:val="00DE68A7"/>
    <w:rsid w:val="00DF10BE"/>
    <w:rsid w:val="00DF2004"/>
    <w:rsid w:val="00DF21F7"/>
    <w:rsid w:val="00DF22AA"/>
    <w:rsid w:val="00DF43DE"/>
    <w:rsid w:val="00DF529B"/>
    <w:rsid w:val="00DF7B3D"/>
    <w:rsid w:val="00E06024"/>
    <w:rsid w:val="00E0683E"/>
    <w:rsid w:val="00E13939"/>
    <w:rsid w:val="00E140DA"/>
    <w:rsid w:val="00E20AC2"/>
    <w:rsid w:val="00E23117"/>
    <w:rsid w:val="00E24C42"/>
    <w:rsid w:val="00E24DB5"/>
    <w:rsid w:val="00E26A6C"/>
    <w:rsid w:val="00E26B58"/>
    <w:rsid w:val="00E26D0F"/>
    <w:rsid w:val="00E3181A"/>
    <w:rsid w:val="00E31F45"/>
    <w:rsid w:val="00E320D4"/>
    <w:rsid w:val="00E336E0"/>
    <w:rsid w:val="00E34915"/>
    <w:rsid w:val="00E37131"/>
    <w:rsid w:val="00E40144"/>
    <w:rsid w:val="00E40C85"/>
    <w:rsid w:val="00E42CD1"/>
    <w:rsid w:val="00E447BF"/>
    <w:rsid w:val="00E45521"/>
    <w:rsid w:val="00E45CE9"/>
    <w:rsid w:val="00E47C5C"/>
    <w:rsid w:val="00E47F01"/>
    <w:rsid w:val="00E509DC"/>
    <w:rsid w:val="00E53B73"/>
    <w:rsid w:val="00E55A1A"/>
    <w:rsid w:val="00E612E8"/>
    <w:rsid w:val="00E61C51"/>
    <w:rsid w:val="00E63077"/>
    <w:rsid w:val="00E6468D"/>
    <w:rsid w:val="00E64DD2"/>
    <w:rsid w:val="00E6766A"/>
    <w:rsid w:val="00E67FC9"/>
    <w:rsid w:val="00E704E5"/>
    <w:rsid w:val="00E70F53"/>
    <w:rsid w:val="00E75056"/>
    <w:rsid w:val="00E77DC5"/>
    <w:rsid w:val="00E82880"/>
    <w:rsid w:val="00E82E4E"/>
    <w:rsid w:val="00E85641"/>
    <w:rsid w:val="00E857D3"/>
    <w:rsid w:val="00E91FF6"/>
    <w:rsid w:val="00E927A3"/>
    <w:rsid w:val="00E92B21"/>
    <w:rsid w:val="00E93223"/>
    <w:rsid w:val="00E93D62"/>
    <w:rsid w:val="00E94906"/>
    <w:rsid w:val="00E95A5B"/>
    <w:rsid w:val="00E95C3C"/>
    <w:rsid w:val="00E95CFC"/>
    <w:rsid w:val="00EA38FD"/>
    <w:rsid w:val="00EA4D9A"/>
    <w:rsid w:val="00EA6095"/>
    <w:rsid w:val="00EB1D54"/>
    <w:rsid w:val="00EB37AB"/>
    <w:rsid w:val="00EB4E05"/>
    <w:rsid w:val="00EB574E"/>
    <w:rsid w:val="00EB7286"/>
    <w:rsid w:val="00EB7CBA"/>
    <w:rsid w:val="00EC042B"/>
    <w:rsid w:val="00EC0E86"/>
    <w:rsid w:val="00EC0F3B"/>
    <w:rsid w:val="00EC3266"/>
    <w:rsid w:val="00EC5D70"/>
    <w:rsid w:val="00ED108F"/>
    <w:rsid w:val="00ED1F05"/>
    <w:rsid w:val="00ED24C4"/>
    <w:rsid w:val="00ED5B50"/>
    <w:rsid w:val="00ED7F6F"/>
    <w:rsid w:val="00EE2CD0"/>
    <w:rsid w:val="00EE2D2F"/>
    <w:rsid w:val="00EE3EC5"/>
    <w:rsid w:val="00EE47BA"/>
    <w:rsid w:val="00EE4CAA"/>
    <w:rsid w:val="00EE67B3"/>
    <w:rsid w:val="00EE68A3"/>
    <w:rsid w:val="00EF08E6"/>
    <w:rsid w:val="00EF2048"/>
    <w:rsid w:val="00EF300A"/>
    <w:rsid w:val="00EF3A51"/>
    <w:rsid w:val="00EF3D2A"/>
    <w:rsid w:val="00EF6D55"/>
    <w:rsid w:val="00EF77B6"/>
    <w:rsid w:val="00F02CC1"/>
    <w:rsid w:val="00F033D2"/>
    <w:rsid w:val="00F037EF"/>
    <w:rsid w:val="00F03B49"/>
    <w:rsid w:val="00F07A61"/>
    <w:rsid w:val="00F07BD1"/>
    <w:rsid w:val="00F07FFB"/>
    <w:rsid w:val="00F11C0C"/>
    <w:rsid w:val="00F15A2A"/>
    <w:rsid w:val="00F1609D"/>
    <w:rsid w:val="00F1666E"/>
    <w:rsid w:val="00F208E2"/>
    <w:rsid w:val="00F20967"/>
    <w:rsid w:val="00F21AD1"/>
    <w:rsid w:val="00F2219D"/>
    <w:rsid w:val="00F249C6"/>
    <w:rsid w:val="00F25E4B"/>
    <w:rsid w:val="00F263D9"/>
    <w:rsid w:val="00F26730"/>
    <w:rsid w:val="00F27510"/>
    <w:rsid w:val="00F275AC"/>
    <w:rsid w:val="00F3274E"/>
    <w:rsid w:val="00F35351"/>
    <w:rsid w:val="00F35FD2"/>
    <w:rsid w:val="00F36167"/>
    <w:rsid w:val="00F37556"/>
    <w:rsid w:val="00F3786A"/>
    <w:rsid w:val="00F40C22"/>
    <w:rsid w:val="00F4298A"/>
    <w:rsid w:val="00F433E8"/>
    <w:rsid w:val="00F43857"/>
    <w:rsid w:val="00F51C42"/>
    <w:rsid w:val="00F6108F"/>
    <w:rsid w:val="00F61340"/>
    <w:rsid w:val="00F63C04"/>
    <w:rsid w:val="00F648B2"/>
    <w:rsid w:val="00F6617F"/>
    <w:rsid w:val="00F72EB3"/>
    <w:rsid w:val="00F74047"/>
    <w:rsid w:val="00F75911"/>
    <w:rsid w:val="00F7770D"/>
    <w:rsid w:val="00F77FE3"/>
    <w:rsid w:val="00F8213C"/>
    <w:rsid w:val="00F82611"/>
    <w:rsid w:val="00F87F05"/>
    <w:rsid w:val="00F91509"/>
    <w:rsid w:val="00F93E8F"/>
    <w:rsid w:val="00F94B1B"/>
    <w:rsid w:val="00F94FA1"/>
    <w:rsid w:val="00F97F25"/>
    <w:rsid w:val="00FA0537"/>
    <w:rsid w:val="00FA1184"/>
    <w:rsid w:val="00FA1386"/>
    <w:rsid w:val="00FA4370"/>
    <w:rsid w:val="00FA53F1"/>
    <w:rsid w:val="00FA58CE"/>
    <w:rsid w:val="00FA69DF"/>
    <w:rsid w:val="00FA7C11"/>
    <w:rsid w:val="00FB10B2"/>
    <w:rsid w:val="00FB1599"/>
    <w:rsid w:val="00FB712B"/>
    <w:rsid w:val="00FC2717"/>
    <w:rsid w:val="00FC284A"/>
    <w:rsid w:val="00FD005D"/>
    <w:rsid w:val="00FD081F"/>
    <w:rsid w:val="00FD0D5B"/>
    <w:rsid w:val="00FD0F7A"/>
    <w:rsid w:val="00FD24F0"/>
    <w:rsid w:val="00FD47AE"/>
    <w:rsid w:val="00FD4D5A"/>
    <w:rsid w:val="00FE3108"/>
    <w:rsid w:val="00FE3829"/>
    <w:rsid w:val="00FE3972"/>
    <w:rsid w:val="00FF56CF"/>
    <w:rsid w:val="00FF573D"/>
    <w:rsid w:val="00FF59B8"/>
    <w:rsid w:val="00FF6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513E81"/>
    <w:pPr>
      <w:spacing w:after="0" w:line="360" w:lineRule="auto"/>
      <w:jc w:val="both"/>
    </w:pPr>
    <w:rPr>
      <w:rFonts w:asciiTheme="minorBidi" w:hAnsiTheme="minorBidi" w:cs="Arial"/>
      <w:sz w:val="20"/>
      <w:szCs w:val="20"/>
    </w:rPr>
  </w:style>
  <w:style w:type="character" w:customStyle="1" w:styleId="FootnoteTextChar">
    <w:name w:val="Footnote Text Char"/>
    <w:basedOn w:val="DefaultParagraphFont"/>
    <w:link w:val="FootnoteText"/>
    <w:uiPriority w:val="99"/>
    <w:rsid w:val="00513E81"/>
    <w:rPr>
      <w:rFonts w:asciiTheme="minorBidi" w:hAnsiTheme="minorBidi" w:cs="Arial"/>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character" w:customStyle="1" w:styleId="unicode">
    <w:name w:val="unicode"/>
    <w:basedOn w:val="DefaultParagraphFont"/>
    <w:rsid w:val="00261B5C"/>
  </w:style>
  <w:style w:type="character" w:styleId="Strong">
    <w:name w:val="Strong"/>
    <w:basedOn w:val="DefaultParagraphFont"/>
    <w:uiPriority w:val="22"/>
    <w:qFormat/>
    <w:rsid w:val="00BD7989"/>
    <w:rPr>
      <w:b/>
      <w:bCs/>
    </w:rPr>
  </w:style>
  <w:style w:type="paragraph" w:styleId="DocumentMap">
    <w:name w:val="Document Map"/>
    <w:basedOn w:val="Normal"/>
    <w:link w:val="DocumentMapChar"/>
    <w:uiPriority w:val="99"/>
    <w:semiHidden/>
    <w:unhideWhenUsed/>
    <w:rsid w:val="00EF6D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F6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daat.ac.il/elitzur/sipu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43CF1-3F85-47DC-89D4-3AFC2FFF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2994</Words>
  <Characters>17066</Characters>
  <Application>Microsoft Office Word</Application>
  <DocSecurity>0</DocSecurity>
  <Lines>142</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3</cp:revision>
  <dcterms:created xsi:type="dcterms:W3CDTF">2015-05-13T06:50:00Z</dcterms:created>
  <dcterms:modified xsi:type="dcterms:W3CDTF">2015-05-17T08:08:00Z</dcterms:modified>
</cp:coreProperties>
</file>