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62FD4365" w:rsidR="00E84C14" w:rsidRDefault="00573E12" w:rsidP="00BC5418">
      <w:pPr>
        <w:pStyle w:val="a8"/>
        <w:contextualSpacing/>
        <w:rPr>
          <w:rtl/>
        </w:rPr>
      </w:pPr>
      <w:r>
        <w:rPr>
          <w:rFonts w:hint="cs"/>
          <w:rtl/>
        </w:rPr>
        <w:t xml:space="preserve">הרב </w:t>
      </w:r>
      <w:r w:rsidR="009A3467">
        <w:rPr>
          <w:rFonts w:hint="cs"/>
          <w:rtl/>
        </w:rPr>
        <w:t xml:space="preserve">יהודה </w:t>
      </w:r>
      <w:r w:rsidR="000F65CB">
        <w:rPr>
          <w:rFonts w:hint="cs"/>
          <w:rtl/>
        </w:rPr>
        <w:t xml:space="preserve">לב </w:t>
      </w:r>
      <w:r w:rsidR="009A3467">
        <w:rPr>
          <w:rFonts w:hint="cs"/>
          <w:rtl/>
        </w:rPr>
        <w:t>גולדברג</w:t>
      </w:r>
    </w:p>
    <w:p w14:paraId="063007BD" w14:textId="77777777" w:rsidR="009D5639" w:rsidRPr="00C1023C" w:rsidRDefault="009D5639" w:rsidP="00BC5418">
      <w:pPr>
        <w:pStyle w:val="a8"/>
        <w:contextualSpacing/>
        <w:rPr>
          <w:rtl/>
        </w:rPr>
      </w:pPr>
    </w:p>
    <w:p w14:paraId="1E7660BB" w14:textId="4920E8EF" w:rsidR="00BD0D01" w:rsidRPr="009A3467" w:rsidRDefault="009A3467" w:rsidP="00FD1479">
      <w:pPr>
        <w:pStyle w:val="1"/>
        <w:contextualSpacing/>
        <w:rPr>
          <w:rtl/>
        </w:rPr>
      </w:pPr>
      <w:r w:rsidRPr="009A3467">
        <w:rPr>
          <w:rtl/>
        </w:rPr>
        <w:t>המרדף אחר החיים המוסריים</w:t>
      </w:r>
      <w:r w:rsidR="00B21616">
        <w:rPr>
          <w:rFonts w:hint="cs"/>
          <w:rtl/>
        </w:rPr>
        <w:t xml:space="preserve"> (</w:t>
      </w:r>
      <w:r w:rsidR="006C3C7C">
        <w:rPr>
          <w:rFonts w:hint="cs"/>
          <w:rtl/>
        </w:rPr>
        <w:t>ה</w:t>
      </w:r>
      <w:r w:rsidR="00B21616">
        <w:rPr>
          <w:rFonts w:hint="cs"/>
          <w:rtl/>
        </w:rPr>
        <w:t xml:space="preserve">) </w:t>
      </w:r>
      <w:r w:rsidR="003A4FE0">
        <w:rPr>
          <w:rtl/>
        </w:rPr>
        <w:t>–</w:t>
      </w:r>
      <w:r w:rsidRPr="009A3467">
        <w:rPr>
          <w:rtl/>
        </w:rPr>
        <w:t xml:space="preserve"> </w:t>
      </w:r>
      <w:r w:rsidR="003E126A">
        <w:rPr>
          <w:rFonts w:hint="cs"/>
          <w:rtl/>
        </w:rPr>
        <w:t>מידת סדום ולפנים משורת הדין</w:t>
      </w:r>
      <w:r w:rsidR="007E7534">
        <w:rPr>
          <w:rFonts w:hint="cs"/>
          <w:rtl/>
        </w:rPr>
        <w:t xml:space="preserve"> </w:t>
      </w:r>
      <w:r w:rsidR="007E7534">
        <w:rPr>
          <w:rtl/>
        </w:rPr>
        <w:t>–</w:t>
      </w:r>
      <w:r w:rsidR="007E7534">
        <w:rPr>
          <w:rFonts w:hint="cs"/>
          <w:rtl/>
        </w:rPr>
        <w:t xml:space="preserve"> חלק </w:t>
      </w:r>
      <w:r w:rsidR="006C3C7C">
        <w:rPr>
          <w:rFonts w:hint="cs"/>
          <w:rtl/>
        </w:rPr>
        <w:t>ב</w:t>
      </w:r>
      <w:r w:rsidR="007E7534">
        <w:rPr>
          <w:rFonts w:hint="cs"/>
          <w:rtl/>
        </w:rPr>
        <w:t>'</w:t>
      </w:r>
      <w:r w:rsidR="00B21616">
        <w:rPr>
          <w:rFonts w:hint="cs"/>
          <w:rtl/>
        </w:rPr>
        <w:t xml:space="preserve"> (</w:t>
      </w:r>
      <w:r w:rsidR="003A4FE0">
        <w:rPr>
          <w:rFonts w:hint="cs"/>
          <w:rtl/>
        </w:rPr>
        <w:t>ל</w:t>
      </w:r>
      <w:r w:rsidR="006C3C7C">
        <w:rPr>
          <w:rFonts w:hint="cs"/>
          <w:rtl/>
        </w:rPr>
        <w:t>ד</w:t>
      </w:r>
      <w:r w:rsidR="00B21616">
        <w:rPr>
          <w:rFonts w:hint="cs"/>
          <w:rtl/>
        </w:rPr>
        <w:t>)</w:t>
      </w:r>
    </w:p>
    <w:p w14:paraId="206935B4" w14:textId="77777777" w:rsidR="00F676C5" w:rsidRDefault="00F676C5" w:rsidP="009A3467">
      <w:pPr>
        <w:rPr>
          <w:rtl/>
        </w:rPr>
      </w:pPr>
    </w:p>
    <w:p w14:paraId="610B71A9" w14:textId="11E3718C" w:rsidR="007D2965" w:rsidRPr="00513460" w:rsidRDefault="007D2965" w:rsidP="005E0E1B">
      <w:pPr>
        <w:rPr>
          <w:rFonts w:eastAsia="Calibri"/>
          <w:rtl/>
        </w:rPr>
      </w:pPr>
      <w:r w:rsidRPr="00513460">
        <w:rPr>
          <w:rFonts w:eastAsia="Calibri"/>
          <w:rtl/>
        </w:rPr>
        <w:t>בשיעור הקודם הצגנו שתי אפשרויות בנוגע למקור הכלל התלמודי '</w:t>
      </w:r>
      <w:proofErr w:type="spellStart"/>
      <w:r w:rsidRPr="00513460">
        <w:rPr>
          <w:rFonts w:eastAsia="Calibri"/>
          <w:rtl/>
        </w:rPr>
        <w:t>כופין</w:t>
      </w:r>
      <w:proofErr w:type="spellEnd"/>
      <w:r w:rsidRPr="00513460">
        <w:rPr>
          <w:rFonts w:eastAsia="Calibri"/>
          <w:rtl/>
        </w:rPr>
        <w:t xml:space="preserve"> על מידת סדום'. ראשית, מורי ורבי הרב ליכטנשטיין הפנה </w:t>
      </w:r>
      <w:r w:rsidR="00CD1A6F">
        <w:rPr>
          <w:rFonts w:eastAsia="Calibri" w:hint="cs"/>
          <w:rtl/>
        </w:rPr>
        <w:t xml:space="preserve">לכמה </w:t>
      </w:r>
      <w:r w:rsidRPr="00513460">
        <w:rPr>
          <w:rFonts w:eastAsia="Calibri"/>
          <w:rtl/>
        </w:rPr>
        <w:t xml:space="preserve">מצוות מקראיות האוסרות קמצנות חסרת הצדקה, ולאחר מכן ראינו את התייחסותו לציווי לעשות 'הישר והטוב' </w:t>
      </w:r>
      <w:r w:rsidR="00CD1A6F">
        <w:rPr>
          <w:rFonts w:eastAsia="Calibri" w:hint="cs"/>
          <w:rtl/>
        </w:rPr>
        <w:t xml:space="preserve">ולעניין </w:t>
      </w:r>
      <w:r w:rsidRPr="00513460">
        <w:rPr>
          <w:rFonts w:eastAsia="Calibri"/>
          <w:rtl/>
        </w:rPr>
        <w:t xml:space="preserve">'לפנים משורת הדין' </w:t>
      </w:r>
      <w:r w:rsidR="00CD1A6F">
        <w:rPr>
          <w:rFonts w:eastAsia="Calibri" w:hint="cs"/>
          <w:rtl/>
        </w:rPr>
        <w:t xml:space="preserve">הנגזר </w:t>
      </w:r>
      <w:r w:rsidRPr="00513460">
        <w:rPr>
          <w:rFonts w:eastAsia="Calibri"/>
          <w:rtl/>
        </w:rPr>
        <w:t xml:space="preserve">ממנו. שנית, המונח המרומז 'מידת סדום' גרם לנו לתהות שמא יכול המסר המוסרי העולה מפרשת וירא – ובמיוחד הניגוד העמוק העולה ממנו בין 'מידת סדום' </w:t>
      </w:r>
      <w:r w:rsidR="00CD1A6F">
        <w:rPr>
          <w:rFonts w:eastAsia="Calibri" w:hint="cs"/>
          <w:rtl/>
        </w:rPr>
        <w:t>ל</w:t>
      </w:r>
      <w:r w:rsidRPr="00513460">
        <w:rPr>
          <w:rFonts w:eastAsia="Calibri"/>
          <w:rtl/>
        </w:rPr>
        <w:t>עיקרון של 'צדקה ומשפט' – לשמש בסיס לכלל זה.</w:t>
      </w:r>
    </w:p>
    <w:p w14:paraId="0F145882" w14:textId="19D6172D" w:rsidR="007D2965" w:rsidRPr="00513460" w:rsidRDefault="007D2965" w:rsidP="005E0E1B">
      <w:pPr>
        <w:rPr>
          <w:rFonts w:eastAsia="Calibri"/>
          <w:rtl/>
        </w:rPr>
      </w:pPr>
      <w:r w:rsidRPr="00513460">
        <w:rPr>
          <w:rFonts w:eastAsia="Calibri"/>
          <w:rtl/>
        </w:rPr>
        <w:t>לאחר שהדגשנו את החפיפה המשמעותית בין 'לפנים משורת הדין' ל'צדקה ומשפט' בשיעור האחרון, אנו שואלים כעת: האם ישנם הבדלים מעשיים כלשהם בין שני מקורות אלו? ומה מוסי</w:t>
      </w:r>
      <w:r w:rsidR="000709B1">
        <w:rPr>
          <w:rFonts w:eastAsia="Calibri" w:hint="cs"/>
          <w:rtl/>
        </w:rPr>
        <w:t>ף</w:t>
      </w:r>
      <w:r w:rsidRPr="00513460">
        <w:rPr>
          <w:rFonts w:eastAsia="Calibri"/>
          <w:rtl/>
        </w:rPr>
        <w:t xml:space="preserve"> צירופה של 'ברית אבות' לדיון? </w:t>
      </w:r>
    </w:p>
    <w:p w14:paraId="1A942D39" w14:textId="77777777" w:rsidR="007D2965" w:rsidRPr="00513460" w:rsidRDefault="007D2965" w:rsidP="007D2965">
      <w:pPr>
        <w:spacing w:after="0" w:line="240" w:lineRule="auto"/>
        <w:rPr>
          <w:rFonts w:eastAsia="Calibri"/>
          <w:rtl/>
        </w:rPr>
      </w:pPr>
    </w:p>
    <w:p w14:paraId="4197ADD0" w14:textId="77777777" w:rsidR="007D2965" w:rsidRDefault="007D2965" w:rsidP="00F615D1">
      <w:pPr>
        <w:pStyle w:val="2"/>
        <w:rPr>
          <w:rFonts w:eastAsia="Calibri"/>
          <w:rtl/>
        </w:rPr>
      </w:pPr>
      <w:r>
        <w:rPr>
          <w:rFonts w:eastAsia="Calibri" w:hint="cs"/>
          <w:rtl/>
        </w:rPr>
        <w:t xml:space="preserve">1. </w:t>
      </w:r>
      <w:r w:rsidRPr="00F615D1">
        <w:rPr>
          <w:rFonts w:eastAsia="Calibri" w:hint="cs"/>
          <w:rtl/>
        </w:rPr>
        <w:t>חומרה</w:t>
      </w:r>
    </w:p>
    <w:p w14:paraId="72F3D0B0" w14:textId="7499B58A" w:rsidR="007D2965" w:rsidRPr="00513460" w:rsidRDefault="007D2965" w:rsidP="00F615D1">
      <w:pPr>
        <w:rPr>
          <w:rFonts w:eastAsia="Calibri"/>
          <w:rtl/>
        </w:rPr>
      </w:pPr>
      <w:r w:rsidRPr="00513460">
        <w:rPr>
          <w:rFonts w:eastAsia="Calibri"/>
          <w:rtl/>
        </w:rPr>
        <w:t xml:space="preserve">דומני כי </w:t>
      </w:r>
      <w:r w:rsidR="00CD1A6F">
        <w:rPr>
          <w:rFonts w:eastAsia="Calibri" w:hint="cs"/>
          <w:rtl/>
        </w:rPr>
        <w:t xml:space="preserve">כמה </w:t>
      </w:r>
      <w:r w:rsidRPr="00513460">
        <w:rPr>
          <w:rFonts w:eastAsia="Calibri"/>
          <w:rtl/>
        </w:rPr>
        <w:t>אבחנות דקות יכולות לעלות בהקשר זה. ראשית, השאלה עד כמה מרכזי ומוגדר הפגם שבמידת סדום</w:t>
      </w:r>
      <w:r w:rsidR="00CD1A6F">
        <w:rPr>
          <w:rFonts w:eastAsia="Calibri" w:hint="cs"/>
          <w:rtl/>
        </w:rPr>
        <w:t>,</w:t>
      </w:r>
      <w:r w:rsidRPr="00513460">
        <w:rPr>
          <w:rFonts w:eastAsia="Calibri"/>
          <w:rtl/>
        </w:rPr>
        <w:t xml:space="preserve"> עשויה להיות תלויה במקור.</w:t>
      </w:r>
      <w:r w:rsidR="00F615D1">
        <w:rPr>
          <w:rFonts w:eastAsia="Calibri" w:hint="cs"/>
          <w:rtl/>
        </w:rPr>
        <w:t xml:space="preserve"> </w:t>
      </w:r>
      <w:r w:rsidRPr="00513460">
        <w:rPr>
          <w:rFonts w:eastAsia="Calibri"/>
          <w:rtl/>
        </w:rPr>
        <w:t xml:space="preserve">אם המניעה היחידה מלנהוג על פי הכלל </w:t>
      </w:r>
      <w:r w:rsidR="00CD1A6F">
        <w:rPr>
          <w:rFonts w:eastAsia="Calibri" w:hint="cs"/>
          <w:rtl/>
        </w:rPr>
        <w:t>"</w:t>
      </w:r>
      <w:r w:rsidRPr="00513460">
        <w:rPr>
          <w:rFonts w:eastAsia="Calibri"/>
          <w:rtl/>
        </w:rPr>
        <w:t>שלי – שלי, שלך – שלך</w:t>
      </w:r>
      <w:r w:rsidR="00CD1A6F">
        <w:rPr>
          <w:rFonts w:eastAsia="Calibri" w:hint="cs"/>
          <w:rtl/>
        </w:rPr>
        <w:t>"</w:t>
      </w:r>
      <w:r w:rsidRPr="00513460">
        <w:rPr>
          <w:rFonts w:eastAsia="Calibri"/>
          <w:rtl/>
        </w:rPr>
        <w:t xml:space="preserve"> היא הגדר הרחב המורה לפעול 'לפנים משורת הדין', הרי שמי שמגזים בהגנה על זכויותיו הממוניות הוא במקרה הגרוע ביותר </w:t>
      </w:r>
      <w:r w:rsidR="00555DAE">
        <w:rPr>
          <w:rFonts w:eastAsia="Calibri" w:hint="cs"/>
          <w:rtl/>
        </w:rPr>
        <w:t>מבטל מצות עשה</w:t>
      </w:r>
      <w:r w:rsidR="00FE3099" w:rsidRPr="005357EC">
        <w:rPr>
          <w:rStyle w:val="a5"/>
          <w:rtl/>
        </w:rPr>
        <w:footnoteReference w:id="1"/>
      </w:r>
      <w:r w:rsidR="00555DAE">
        <w:rPr>
          <w:rFonts w:eastAsia="Calibri" w:hint="cs"/>
          <w:rtl/>
        </w:rPr>
        <w:t xml:space="preserve"> </w:t>
      </w:r>
      <w:r w:rsidR="006925D3">
        <w:rPr>
          <w:rFonts w:eastAsia="Calibri" w:hint="cs"/>
          <w:rtl/>
        </w:rPr>
        <w:t>ו</w:t>
      </w:r>
      <w:r w:rsidR="000C42E4">
        <w:rPr>
          <w:rFonts w:eastAsia="Calibri" w:hint="cs"/>
          <w:rtl/>
        </w:rPr>
        <w:t xml:space="preserve">בניסוח מסתבר יותר </w:t>
      </w:r>
      <w:r w:rsidR="000C42E4">
        <w:rPr>
          <w:rFonts w:eastAsia="Calibri"/>
          <w:rtl/>
        </w:rPr>
        <w:t>–</w:t>
      </w:r>
      <w:r w:rsidR="000C42E4">
        <w:rPr>
          <w:rFonts w:eastAsia="Calibri" w:hint="cs"/>
          <w:rtl/>
        </w:rPr>
        <w:t xml:space="preserve"> </w:t>
      </w:r>
      <w:r w:rsidRPr="00513460">
        <w:rPr>
          <w:rFonts w:eastAsia="Calibri"/>
          <w:rtl/>
        </w:rPr>
        <w:t xml:space="preserve">כשל בניסיון למלא את סף הדרישות הגבוה של ההלכה. אם, לעומת זאת, בכל זאת מכרסמת בנו </w:t>
      </w:r>
      <w:r w:rsidR="00CD1A6F">
        <w:rPr>
          <w:rFonts w:eastAsia="Calibri" w:hint="cs"/>
          <w:rtl/>
        </w:rPr>
        <w:t>ה</w:t>
      </w:r>
      <w:r w:rsidRPr="00513460">
        <w:rPr>
          <w:rFonts w:eastAsia="Calibri"/>
          <w:rtl/>
        </w:rPr>
        <w:t xml:space="preserve">תחושה </w:t>
      </w:r>
      <w:r w:rsidR="00CD1A6F">
        <w:rPr>
          <w:rFonts w:eastAsia="Calibri" w:hint="cs"/>
          <w:rtl/>
        </w:rPr>
        <w:t>ש</w:t>
      </w:r>
      <w:r w:rsidRPr="00513460">
        <w:rPr>
          <w:rFonts w:eastAsia="Calibri"/>
          <w:rtl/>
        </w:rPr>
        <w:t>מידת סדום איננה רק 'נפילה ממ</w:t>
      </w:r>
      <w:r w:rsidR="00DD67F5">
        <w:rPr>
          <w:rFonts w:eastAsia="Calibri" w:hint="cs"/>
          <w:rtl/>
        </w:rPr>
        <w:t>ו</w:t>
      </w:r>
      <w:r w:rsidRPr="00513460">
        <w:rPr>
          <w:rFonts w:eastAsia="Calibri"/>
          <w:rtl/>
        </w:rPr>
        <w:t xml:space="preserve">צעת', הרי </w:t>
      </w:r>
      <w:r w:rsidR="00CD1A6F">
        <w:rPr>
          <w:rFonts w:eastAsia="Calibri" w:hint="cs"/>
          <w:rtl/>
        </w:rPr>
        <w:t>ש</w:t>
      </w:r>
      <w:r w:rsidRPr="00513460">
        <w:rPr>
          <w:rFonts w:eastAsia="Calibri"/>
          <w:rtl/>
        </w:rPr>
        <w:t>לפי תפיסה זו, ההתנהגות האמורה בוגדת בחוש המוסרי המבוסס על משהו שונה מקטגוריות הלכתיות נוקשות. מה</w:t>
      </w:r>
      <w:r w:rsidR="00CD1A6F">
        <w:rPr>
          <w:rFonts w:eastAsia="Calibri" w:hint="cs"/>
          <w:rtl/>
        </w:rPr>
        <w:t xml:space="preserve"> </w:t>
      </w:r>
      <w:r w:rsidRPr="00513460">
        <w:rPr>
          <w:rFonts w:eastAsia="Calibri"/>
          <w:rtl/>
        </w:rPr>
        <w:t xml:space="preserve">משקפת </w:t>
      </w:r>
      <w:r w:rsidR="00CD1A6F">
        <w:rPr>
          <w:rFonts w:eastAsia="Calibri" w:hint="cs"/>
          <w:rtl/>
        </w:rPr>
        <w:t xml:space="preserve">אפוא </w:t>
      </w:r>
      <w:r w:rsidRPr="00513460">
        <w:rPr>
          <w:rFonts w:eastAsia="Calibri"/>
          <w:rtl/>
        </w:rPr>
        <w:t>תחושה זו?</w:t>
      </w:r>
    </w:p>
    <w:p w14:paraId="6CB56789" w14:textId="47D66D16" w:rsidR="00CD1A6F" w:rsidRDefault="007D2965" w:rsidP="007D2965">
      <w:pPr>
        <w:rPr>
          <w:rFonts w:eastAsia="Calibri"/>
          <w:rtl/>
        </w:rPr>
      </w:pPr>
      <w:r w:rsidRPr="00513460">
        <w:rPr>
          <w:rFonts w:eastAsia="Calibri"/>
          <w:rtl/>
        </w:rPr>
        <w:t>כע</w:t>
      </w:r>
      <w:r w:rsidR="00CD1A6F">
        <w:rPr>
          <w:rFonts w:eastAsia="Calibri" w:hint="cs"/>
          <w:rtl/>
        </w:rPr>
        <w:t>י</w:t>
      </w:r>
      <w:r w:rsidRPr="00513460">
        <w:rPr>
          <w:rFonts w:eastAsia="Calibri"/>
          <w:rtl/>
        </w:rPr>
        <w:t xml:space="preserve">קרון, כל מגוון האפשרויות </w:t>
      </w:r>
      <w:r w:rsidR="00CD1A6F">
        <w:rPr>
          <w:rFonts w:eastAsia="Calibri" w:hint="cs"/>
          <w:rtl/>
        </w:rPr>
        <w:t>ש</w:t>
      </w:r>
      <w:r w:rsidRPr="00513460">
        <w:rPr>
          <w:rFonts w:eastAsia="Calibri"/>
          <w:rtl/>
        </w:rPr>
        <w:t xml:space="preserve">סקרנו בשיעור 2 </w:t>
      </w:r>
      <w:r w:rsidRPr="0027267B">
        <w:rPr>
          <w:rFonts w:eastAsia="Calibri"/>
          <w:rtl/>
        </w:rPr>
        <w:t>רלוונטיות גם כאן, כולל אלו שפנו למשפט הטבעי או</w:t>
      </w:r>
      <w:r w:rsidRPr="00513460">
        <w:rPr>
          <w:rFonts w:eastAsia="Calibri"/>
          <w:rtl/>
        </w:rPr>
        <w:t xml:space="preserve"> לחוש המוסרי המולד הטמון במצפון שלנו. בנוסף, אנחנו יכולים להביא בחשבון לא רק </w:t>
      </w:r>
      <w:r w:rsidR="00285A99">
        <w:rPr>
          <w:rFonts w:eastAsia="Calibri" w:hint="cs"/>
          <w:rtl/>
        </w:rPr>
        <w:t xml:space="preserve">את </w:t>
      </w:r>
      <w:r w:rsidRPr="00513460">
        <w:rPr>
          <w:rFonts w:eastAsia="Calibri"/>
          <w:rtl/>
        </w:rPr>
        <w:t xml:space="preserve">החריגה הצרה שבוצעה על ידי ההתנהגות הקמצנית אלא גם </w:t>
      </w:r>
      <w:r w:rsidR="00940B8D">
        <w:rPr>
          <w:rFonts w:eastAsia="Calibri" w:hint="cs"/>
          <w:rtl/>
        </w:rPr>
        <w:t xml:space="preserve">את </w:t>
      </w:r>
      <w:r w:rsidRPr="00513460">
        <w:rPr>
          <w:rFonts w:eastAsia="Calibri"/>
          <w:rtl/>
        </w:rPr>
        <w:t>הנזק הנגרם על ידי גישה זו לערבות החברתית בכללותה. בשלב כלשהו עלולה הנוקשות להוות פתח לפשעים רציניים יותר. בשל</w:t>
      </w:r>
      <w:r w:rsidR="00C17C31">
        <w:rPr>
          <w:rFonts w:eastAsia="Calibri" w:hint="cs"/>
          <w:rtl/>
        </w:rPr>
        <w:t>ב</w:t>
      </w:r>
      <w:r w:rsidRPr="00513460">
        <w:rPr>
          <w:rFonts w:eastAsia="Calibri"/>
          <w:rtl/>
        </w:rPr>
        <w:t xml:space="preserve"> אחר, כפי שמעיר הרב ליכטנשטיין, הרחקות קיצוניות עשוי</w:t>
      </w:r>
      <w:r w:rsidR="00CD1A6F">
        <w:rPr>
          <w:rFonts w:eastAsia="Calibri" w:hint="cs"/>
          <w:rtl/>
        </w:rPr>
        <w:t>ות</w:t>
      </w:r>
      <w:r w:rsidRPr="00513460">
        <w:rPr>
          <w:rFonts w:eastAsia="Calibri"/>
          <w:rtl/>
        </w:rPr>
        <w:t xml:space="preserve"> להיות כל כך מבו</w:t>
      </w:r>
      <w:r w:rsidR="00CD1A6F">
        <w:rPr>
          <w:rFonts w:eastAsia="Calibri" w:hint="cs"/>
          <w:rtl/>
        </w:rPr>
        <w:t>ֹ</w:t>
      </w:r>
      <w:r w:rsidRPr="00513460">
        <w:rPr>
          <w:rFonts w:eastAsia="Calibri"/>
          <w:rtl/>
        </w:rPr>
        <w:t>דד</w:t>
      </w:r>
      <w:r w:rsidR="00CD1A6F">
        <w:rPr>
          <w:rFonts w:eastAsia="Calibri" w:hint="cs"/>
          <w:rtl/>
        </w:rPr>
        <w:t>ות</w:t>
      </w:r>
      <w:r w:rsidRPr="00513460">
        <w:rPr>
          <w:rFonts w:eastAsia="Calibri"/>
          <w:rtl/>
        </w:rPr>
        <w:t>, עד ש</w:t>
      </w:r>
      <w:r w:rsidR="00CD1A6F">
        <w:rPr>
          <w:rFonts w:eastAsia="Calibri" w:hint="cs"/>
          <w:rtl/>
        </w:rPr>
        <w:t xml:space="preserve">למעשה </w:t>
      </w:r>
      <w:r w:rsidR="00CC4361">
        <w:rPr>
          <w:rFonts w:eastAsia="Calibri" w:hint="cs"/>
          <w:rtl/>
        </w:rPr>
        <w:t>ה</w:t>
      </w:r>
      <w:r w:rsidRPr="00513460">
        <w:rPr>
          <w:rFonts w:eastAsia="Calibri"/>
          <w:rtl/>
        </w:rPr>
        <w:t xml:space="preserve">חברה </w:t>
      </w:r>
      <w:r w:rsidR="00CD1A6F">
        <w:rPr>
          <w:rFonts w:eastAsia="Calibri" w:hint="cs"/>
          <w:rtl/>
        </w:rPr>
        <w:t>תקרוס:</w:t>
      </w:r>
    </w:p>
    <w:p w14:paraId="400384D4" w14:textId="50EEE572" w:rsidR="007D2965" w:rsidRDefault="007D2965" w:rsidP="00CD1A6F">
      <w:pPr>
        <w:ind w:left="720"/>
      </w:pPr>
      <w:r w:rsidRPr="00513460">
        <w:rPr>
          <w:rtl/>
        </w:rPr>
        <w:t>"קהילה איננה יכולה להתקיים אם היא מתבססת על המשפט בלבד. התנהגות מעבר לנורמות המשפטיות מהווה מלט עבור חברה אנושית. בהיעדרה, התוצאה היא התפוררות" (מוסר אביב, "האם היהדות מכירה במוסר שאיננו תלוי בהלכה?", עמ</w:t>
      </w:r>
      <w:r w:rsidR="00CD1A6F">
        <w:rPr>
          <w:rFonts w:hint="cs"/>
          <w:rtl/>
        </w:rPr>
        <w:t>'</w:t>
      </w:r>
      <w:r w:rsidRPr="00513460">
        <w:rPr>
          <w:rtl/>
        </w:rPr>
        <w:t xml:space="preserve"> 30)</w:t>
      </w:r>
      <w:r w:rsidR="00CD1A6F">
        <w:rPr>
          <w:rFonts w:hint="cs"/>
          <w:rtl/>
        </w:rPr>
        <w:t>.</w:t>
      </w:r>
      <w:r w:rsidR="00CD1A6F">
        <w:rPr>
          <w:rStyle w:val="a5"/>
          <w:rtl/>
        </w:rPr>
        <w:footnoteReference w:id="2"/>
      </w:r>
    </w:p>
    <w:p w14:paraId="620B9660" w14:textId="25DF85FE" w:rsidR="007D2965" w:rsidRPr="00513460" w:rsidRDefault="007D2965" w:rsidP="009753CB">
      <w:pPr>
        <w:rPr>
          <w:rFonts w:eastAsia="Calibri"/>
          <w:rtl/>
        </w:rPr>
      </w:pPr>
      <w:r w:rsidRPr="00513460">
        <w:rPr>
          <w:rFonts w:eastAsia="Calibri"/>
          <w:rtl/>
        </w:rPr>
        <w:t xml:space="preserve">מי </w:t>
      </w:r>
      <w:r w:rsidR="00CD1A6F">
        <w:rPr>
          <w:rFonts w:eastAsia="Calibri" w:hint="cs"/>
          <w:rtl/>
        </w:rPr>
        <w:t>שנוהג ב</w:t>
      </w:r>
      <w:r w:rsidRPr="00513460">
        <w:rPr>
          <w:rFonts w:eastAsia="Calibri"/>
          <w:rtl/>
        </w:rPr>
        <w:t>מידת סדום עשוי להיות מושווה לאדם רכלן (ראו ברמב"ם, הלכות דעות ז, א-ב) או לכזה הקונה סחורות גנובות מגנב (ראו ברמב"ם, הלכות גניבה ה, א), מפני שכובד האשמה שלה</w:t>
      </w:r>
      <w:r>
        <w:rPr>
          <w:rFonts w:eastAsia="Calibri" w:hint="cs"/>
          <w:rtl/>
        </w:rPr>
        <w:t>ם</w:t>
      </w:r>
      <w:r w:rsidRPr="00513460">
        <w:rPr>
          <w:rFonts w:eastAsia="Calibri"/>
          <w:rtl/>
        </w:rPr>
        <w:t xml:space="preserve"> מיוחס לנזק החברתי שהם גורמים יותר מאשר לפעולה הספציפית שביצעו. ממשיכי דרכה של סדום </w:t>
      </w:r>
      <w:r w:rsidR="00CD1A6F">
        <w:rPr>
          <w:rFonts w:eastAsia="Calibri" w:hint="cs"/>
          <w:rtl/>
        </w:rPr>
        <w:t xml:space="preserve">פוגעים לא </w:t>
      </w:r>
      <w:r w:rsidRPr="00513460">
        <w:rPr>
          <w:rFonts w:eastAsia="Calibri"/>
          <w:rtl/>
        </w:rPr>
        <w:t xml:space="preserve">רק </w:t>
      </w:r>
      <w:r w:rsidR="00CD1A6F">
        <w:rPr>
          <w:rFonts w:eastAsia="Calibri" w:hint="cs"/>
          <w:rtl/>
        </w:rPr>
        <w:t>ב</w:t>
      </w:r>
      <w:r w:rsidRPr="00513460">
        <w:rPr>
          <w:rFonts w:eastAsia="Calibri"/>
          <w:rtl/>
        </w:rPr>
        <w:t xml:space="preserve">יחידים, שמהם ומרצונותיהם הם מתעלמים, אלא גם </w:t>
      </w:r>
      <w:r w:rsidR="00CD1A6F">
        <w:rPr>
          <w:rFonts w:eastAsia="Calibri" w:hint="cs"/>
          <w:rtl/>
        </w:rPr>
        <w:t>ב</w:t>
      </w:r>
      <w:r w:rsidRPr="00513460">
        <w:rPr>
          <w:rFonts w:eastAsia="Calibri"/>
          <w:rtl/>
        </w:rPr>
        <w:t>צרכיה של החברה כמכלול (</w:t>
      </w:r>
      <w:r w:rsidR="00CD1A6F">
        <w:rPr>
          <w:rFonts w:eastAsia="Calibri" w:hint="cs"/>
          <w:rtl/>
        </w:rPr>
        <w:t xml:space="preserve">כדי </w:t>
      </w:r>
      <w:r w:rsidRPr="00513460">
        <w:rPr>
          <w:rFonts w:eastAsia="Calibri"/>
          <w:rtl/>
        </w:rPr>
        <w:t xml:space="preserve">לסגור את המעגל, עלינו </w:t>
      </w:r>
      <w:r w:rsidR="009B5B33">
        <w:rPr>
          <w:rFonts w:eastAsia="Calibri" w:hint="cs"/>
          <w:rtl/>
        </w:rPr>
        <w:t>להוכיח</w:t>
      </w:r>
      <w:r w:rsidR="00102306">
        <w:rPr>
          <w:rFonts w:eastAsia="Calibri" w:hint="cs"/>
          <w:rtl/>
        </w:rPr>
        <w:t xml:space="preserve"> </w:t>
      </w:r>
      <w:r w:rsidR="00CD1A6F">
        <w:rPr>
          <w:rFonts w:eastAsia="Calibri" w:hint="cs"/>
          <w:rtl/>
        </w:rPr>
        <w:t>ש</w:t>
      </w:r>
      <w:r w:rsidRPr="00513460">
        <w:rPr>
          <w:rFonts w:eastAsia="Calibri"/>
          <w:rtl/>
        </w:rPr>
        <w:t xml:space="preserve">'ברית סיני' </w:t>
      </w:r>
      <w:r w:rsidR="00102306">
        <w:rPr>
          <w:rFonts w:eastAsia="Calibri" w:hint="cs"/>
          <w:rtl/>
        </w:rPr>
        <w:t xml:space="preserve">כוללת </w:t>
      </w:r>
      <w:r w:rsidR="004E21CA">
        <w:rPr>
          <w:rFonts w:eastAsia="Calibri" w:hint="cs"/>
          <w:rtl/>
        </w:rPr>
        <w:t>אחריות לתמוך</w:t>
      </w:r>
      <w:r w:rsidR="00CD1A6F">
        <w:rPr>
          <w:rFonts w:eastAsia="Calibri" w:hint="cs"/>
          <w:rtl/>
        </w:rPr>
        <w:t xml:space="preserve"> </w:t>
      </w:r>
      <w:r w:rsidRPr="00513460">
        <w:rPr>
          <w:rFonts w:eastAsia="Calibri"/>
          <w:rtl/>
        </w:rPr>
        <w:t xml:space="preserve">במארג החברתי </w:t>
      </w:r>
      <w:r w:rsidR="00CD1A6F">
        <w:rPr>
          <w:rFonts w:eastAsia="Calibri" w:hint="cs"/>
          <w:rtl/>
        </w:rPr>
        <w:t>ו</w:t>
      </w:r>
      <w:r w:rsidR="000C694E">
        <w:rPr>
          <w:rFonts w:eastAsia="Calibri" w:hint="cs"/>
          <w:rtl/>
        </w:rPr>
        <w:t>להתנגד</w:t>
      </w:r>
      <w:r w:rsidR="00CD1A6F">
        <w:rPr>
          <w:rFonts w:eastAsia="Calibri" w:hint="cs"/>
          <w:rtl/>
        </w:rPr>
        <w:t xml:space="preserve"> ל</w:t>
      </w:r>
      <w:r w:rsidRPr="00513460">
        <w:rPr>
          <w:rFonts w:eastAsia="Calibri"/>
          <w:rtl/>
        </w:rPr>
        <w:t>פעולות העלולות לערערו)</w:t>
      </w:r>
      <w:r>
        <w:rPr>
          <w:rFonts w:eastAsia="Calibri" w:hint="cs"/>
          <w:rtl/>
        </w:rPr>
        <w:t>.</w:t>
      </w:r>
    </w:p>
    <w:p w14:paraId="7194C726" w14:textId="483BA40D" w:rsidR="007D2965" w:rsidRPr="00513460" w:rsidRDefault="007D2965" w:rsidP="00CD1A6F">
      <w:pPr>
        <w:rPr>
          <w:rtl/>
        </w:rPr>
      </w:pPr>
      <w:r w:rsidRPr="00513460">
        <w:rPr>
          <w:rtl/>
        </w:rPr>
        <w:t xml:space="preserve">אולם מבלי להפחית בחשיבותו של טיעון זה, נראה לי כי הוא 'עובד קשה מדי' על מנת להגדיר במדויק את מה שאנו תופסים בבירור באופן אינטואיטיבי. מידת סדום היא דבר מתועב לצאצאי אברהם אבינו, הביולוגיים והרוחניים, בין אם הם יודעים לצטט פרק או פסוק כדי להסביר מדוע ובין אם לאו. חונכנו – </w:t>
      </w:r>
      <w:r>
        <w:rPr>
          <w:rFonts w:hint="cs"/>
          <w:rtl/>
        </w:rPr>
        <w:t>ולכך</w:t>
      </w:r>
      <w:r w:rsidRPr="00513460">
        <w:rPr>
          <w:rtl/>
        </w:rPr>
        <w:t xml:space="preserve"> ציפה </w:t>
      </w:r>
      <w:r>
        <w:rPr>
          <w:rFonts w:hint="cs"/>
          <w:rtl/>
        </w:rPr>
        <w:t xml:space="preserve">הקב"ה </w:t>
      </w:r>
      <w:r w:rsidRPr="00513460">
        <w:rPr>
          <w:rtl/>
        </w:rPr>
        <w:t>במאמרו "</w:t>
      </w:r>
      <w:r>
        <w:rPr>
          <w:rFonts w:hint="cs"/>
          <w:rtl/>
        </w:rPr>
        <w:t>למען אשר יצ</w:t>
      </w:r>
      <w:r w:rsidR="0063579A">
        <w:rPr>
          <w:rFonts w:hint="cs"/>
          <w:rtl/>
        </w:rPr>
        <w:t>ו</w:t>
      </w:r>
      <w:r>
        <w:rPr>
          <w:rFonts w:hint="cs"/>
          <w:rtl/>
        </w:rPr>
        <w:t>וה את בניו ואת ביתו אחריו</w:t>
      </w:r>
      <w:r w:rsidRPr="00513460">
        <w:rPr>
          <w:rtl/>
        </w:rPr>
        <w:t xml:space="preserve">" (בראשית י"ח, </w:t>
      </w:r>
      <w:proofErr w:type="spellStart"/>
      <w:r w:rsidRPr="00513460">
        <w:rPr>
          <w:rtl/>
        </w:rPr>
        <w:t>יט</w:t>
      </w:r>
      <w:proofErr w:type="spellEnd"/>
      <w:r w:rsidRPr="00513460">
        <w:rPr>
          <w:rtl/>
        </w:rPr>
        <w:t xml:space="preserve">) – לדחות את כל מה שסדום ייצגה ועודנה מייצגת. מסר זה אינו </w:t>
      </w:r>
      <w:r>
        <w:rPr>
          <w:rFonts w:hint="cs"/>
          <w:rtl/>
        </w:rPr>
        <w:t xml:space="preserve">רק </w:t>
      </w:r>
      <w:r w:rsidRPr="00513460">
        <w:rPr>
          <w:rtl/>
        </w:rPr>
        <w:t>בעל חשיבות מרכזית</w:t>
      </w:r>
      <w:r w:rsidR="00CD1A6F">
        <w:rPr>
          <w:rFonts w:hint="cs"/>
          <w:rtl/>
        </w:rPr>
        <w:t xml:space="preserve">; </w:t>
      </w:r>
      <w:r>
        <w:rPr>
          <w:rFonts w:hint="cs"/>
          <w:rtl/>
        </w:rPr>
        <w:t>הוא מ</w:t>
      </w:r>
      <w:r w:rsidRPr="00513460">
        <w:rPr>
          <w:rtl/>
        </w:rPr>
        <w:t>ש</w:t>
      </w:r>
      <w:r>
        <w:rPr>
          <w:rFonts w:hint="cs"/>
          <w:rtl/>
        </w:rPr>
        <w:t>מש אחת מ</w:t>
      </w:r>
      <w:r w:rsidRPr="00513460">
        <w:rPr>
          <w:rtl/>
        </w:rPr>
        <w:t>זהויות הליבה שלנו כיהודים</w:t>
      </w:r>
      <w:r w:rsidR="00CD1A6F">
        <w:rPr>
          <w:rFonts w:hint="cs"/>
          <w:rtl/>
        </w:rPr>
        <w:t xml:space="preserve"> ויש לו </w:t>
      </w:r>
      <w:r>
        <w:rPr>
          <w:rFonts w:hint="cs"/>
          <w:rtl/>
        </w:rPr>
        <w:t>תפקיד מהותי הן ב</w:t>
      </w:r>
      <w:r w:rsidRPr="00513460">
        <w:rPr>
          <w:rtl/>
        </w:rPr>
        <w:t xml:space="preserve">בחירתו של אברהם </w:t>
      </w:r>
      <w:r>
        <w:rPr>
          <w:rFonts w:hint="cs"/>
          <w:rtl/>
        </w:rPr>
        <w:t xml:space="preserve">על ידי הקב"ה </w:t>
      </w:r>
      <w:r w:rsidRPr="00513460">
        <w:rPr>
          <w:rtl/>
        </w:rPr>
        <w:t>ו</w:t>
      </w:r>
      <w:r>
        <w:rPr>
          <w:rFonts w:hint="cs"/>
          <w:rtl/>
        </w:rPr>
        <w:t>הן</w:t>
      </w:r>
      <w:r w:rsidRPr="00513460">
        <w:rPr>
          <w:rtl/>
        </w:rPr>
        <w:t xml:space="preserve"> במורשת ש</w:t>
      </w:r>
      <w:r>
        <w:rPr>
          <w:rFonts w:hint="cs"/>
          <w:rtl/>
        </w:rPr>
        <w:t>ה</w:t>
      </w:r>
      <w:r w:rsidRPr="00513460">
        <w:rPr>
          <w:rtl/>
        </w:rPr>
        <w:t>עביר</w:t>
      </w:r>
      <w:r>
        <w:rPr>
          <w:rFonts w:hint="cs"/>
          <w:rtl/>
        </w:rPr>
        <w:t xml:space="preserve"> אברהם</w:t>
      </w:r>
      <w:r w:rsidRPr="00513460">
        <w:rPr>
          <w:rtl/>
        </w:rPr>
        <w:t xml:space="preserve"> לצאצאיו</w:t>
      </w:r>
      <w:r w:rsidR="00CD1A6F">
        <w:rPr>
          <w:rFonts w:hint="cs"/>
          <w:rtl/>
        </w:rPr>
        <w:t xml:space="preserve"> </w:t>
      </w:r>
      <w:r w:rsidRPr="00513460">
        <w:rPr>
          <w:rtl/>
        </w:rPr>
        <w:t xml:space="preserve">– </w:t>
      </w:r>
      <w:r>
        <w:rPr>
          <w:rFonts w:hint="cs"/>
          <w:rtl/>
        </w:rPr>
        <w:t>'</w:t>
      </w:r>
      <w:r w:rsidRPr="00513460">
        <w:rPr>
          <w:rtl/>
        </w:rPr>
        <w:t>ברית אבות</w:t>
      </w:r>
      <w:r>
        <w:rPr>
          <w:rFonts w:hint="cs"/>
          <w:rtl/>
        </w:rPr>
        <w:t>'</w:t>
      </w:r>
      <w:r w:rsidRPr="00513460">
        <w:rPr>
          <w:rtl/>
        </w:rPr>
        <w:t>.</w:t>
      </w:r>
    </w:p>
    <w:p w14:paraId="73A8FAAE" w14:textId="0EDAB6CA" w:rsidR="007D2965" w:rsidRPr="00513460" w:rsidRDefault="007D2965" w:rsidP="0004660C">
      <w:pPr>
        <w:rPr>
          <w:rFonts w:eastAsia="Calibri"/>
          <w:rtl/>
        </w:rPr>
      </w:pPr>
      <w:r w:rsidRPr="00513460">
        <w:rPr>
          <w:rFonts w:eastAsia="Calibri"/>
          <w:rtl/>
        </w:rPr>
        <w:t xml:space="preserve">מזווית זו של ברית סיני, מי שנוהג </w:t>
      </w:r>
      <w:r w:rsidR="00CD1A6F">
        <w:rPr>
          <w:rFonts w:eastAsia="Calibri" w:hint="cs"/>
          <w:rtl/>
        </w:rPr>
        <w:t>ב</w:t>
      </w:r>
      <w:r w:rsidRPr="00513460">
        <w:rPr>
          <w:rFonts w:eastAsia="Calibri"/>
          <w:rtl/>
        </w:rPr>
        <w:t>מידת סדום הוא חוטא, ואולי אף דמות המאיימת על יציבותו של הסדר החברתי כולו. מזווית זו של ברית אבות, על כל פנים, הוא או היא בוגד</w:t>
      </w:r>
      <w:r w:rsidR="00CD1A6F">
        <w:rPr>
          <w:rFonts w:eastAsia="Calibri" w:hint="cs"/>
          <w:rtl/>
        </w:rPr>
        <w:t>ים</w:t>
      </w:r>
      <w:r w:rsidRPr="00513460">
        <w:rPr>
          <w:rFonts w:eastAsia="Calibri"/>
          <w:rtl/>
        </w:rPr>
        <w:t xml:space="preserve"> במורשת המשפחתית.</w:t>
      </w:r>
      <w:r w:rsidRPr="00CD1A6F">
        <w:rPr>
          <w:rStyle w:val="a5"/>
          <w:rFonts w:eastAsia="Calibri"/>
          <w:rtl/>
        </w:rPr>
        <w:footnoteReference w:id="3"/>
      </w:r>
      <w:r w:rsidRPr="00513460">
        <w:rPr>
          <w:rFonts w:eastAsia="Calibri"/>
          <w:rtl/>
        </w:rPr>
        <w:t xml:space="preserve"> בקרב </w:t>
      </w:r>
      <w:r w:rsidRPr="00513460">
        <w:rPr>
          <w:rFonts w:eastAsia="Calibri"/>
          <w:rtl/>
        </w:rPr>
        <w:lastRenderedPageBreak/>
        <w:t xml:space="preserve">האידיאולוגי המתנהל בפרשת וירא, הוא ערק אל שורות האויב. </w:t>
      </w:r>
    </w:p>
    <w:p w14:paraId="34A5EB69" w14:textId="77A30EB0" w:rsidR="007D2965" w:rsidRPr="00513460" w:rsidRDefault="007D2965" w:rsidP="007D2965">
      <w:pPr>
        <w:rPr>
          <w:rtl/>
        </w:rPr>
      </w:pPr>
      <w:r w:rsidRPr="00513460">
        <w:rPr>
          <w:rFonts w:eastAsia="Calibri"/>
          <w:rtl/>
        </w:rPr>
        <w:t xml:space="preserve">יתרה מכך, בהמחשה מדהימה למידת חוסר ההתאמה בין הסדומיות לזהות היהודית, הרמב"ם פוסק כי יש לחוש לייחוסו של אדם אדיש במיוחד לצרות הזולת. </w:t>
      </w:r>
      <w:r w:rsidRPr="00513460">
        <w:rPr>
          <w:rtl/>
        </w:rPr>
        <w:t>פסיקה זו מופיעה לא רק בפרק החותם של הלכות מתנות עניים (י, ב), כהיפוך מוסרי לכך ש</w:t>
      </w:r>
      <w:r>
        <w:rPr>
          <w:rFonts w:hint="cs"/>
          <w:rtl/>
        </w:rPr>
        <w:t>'</w:t>
      </w:r>
      <w:r w:rsidRPr="00513460">
        <w:rPr>
          <w:rtl/>
        </w:rPr>
        <w:t>הצדקה סימן לצדיק זרע אברהם אבינו</w:t>
      </w:r>
      <w:r>
        <w:rPr>
          <w:rFonts w:hint="cs"/>
          <w:rtl/>
        </w:rPr>
        <w:t>'</w:t>
      </w:r>
      <w:r w:rsidRPr="00513460">
        <w:rPr>
          <w:rtl/>
        </w:rPr>
        <w:t xml:space="preserve"> (י, א), אלא גם במסגרת ה'הלכות היבשות' המופיעות בהלכות איסורי ביאה:</w:t>
      </w:r>
    </w:p>
    <w:p w14:paraId="5C44DAE8" w14:textId="061FC5A7" w:rsidR="007D2965" w:rsidRPr="00513460" w:rsidRDefault="007D2965" w:rsidP="00FD5F20">
      <w:pPr>
        <w:pStyle w:val="a9"/>
        <w:rPr>
          <w:rtl/>
        </w:rPr>
      </w:pPr>
      <w:r w:rsidRPr="00513460">
        <w:rPr>
          <w:rtl/>
        </w:rPr>
        <w:t xml:space="preserve">וכן כל מי שיש בו עזות פנים או אכזריות ושונא את הבריות ואינו גומל להם חסד </w:t>
      </w:r>
      <w:proofErr w:type="spellStart"/>
      <w:r w:rsidRPr="00513460">
        <w:rPr>
          <w:rtl/>
        </w:rPr>
        <w:t>חוששין</w:t>
      </w:r>
      <w:proofErr w:type="spellEnd"/>
      <w:r w:rsidRPr="00513460">
        <w:rPr>
          <w:rtl/>
        </w:rPr>
        <w:t xml:space="preserve"> לו ביותר שמא גבעוני הוא, שסימני ישראל האומה הקדושה </w:t>
      </w:r>
      <w:proofErr w:type="spellStart"/>
      <w:r w:rsidRPr="00513460">
        <w:rPr>
          <w:rtl/>
        </w:rPr>
        <w:t>ביישנין</w:t>
      </w:r>
      <w:proofErr w:type="spellEnd"/>
      <w:r w:rsidRPr="00513460">
        <w:rPr>
          <w:rtl/>
        </w:rPr>
        <w:t xml:space="preserve"> רחמנים וגומלי חסדים. (י"ט, </w:t>
      </w:r>
      <w:proofErr w:type="spellStart"/>
      <w:r w:rsidRPr="00513460">
        <w:rPr>
          <w:rtl/>
        </w:rPr>
        <w:t>יז</w:t>
      </w:r>
      <w:proofErr w:type="spellEnd"/>
      <w:r w:rsidRPr="00513460">
        <w:rPr>
          <w:rtl/>
        </w:rPr>
        <w:t>)</w:t>
      </w:r>
      <w:r w:rsidR="00CD1A6F">
        <w:rPr>
          <w:rStyle w:val="a5"/>
          <w:rtl/>
        </w:rPr>
        <w:footnoteReference w:id="4"/>
      </w:r>
    </w:p>
    <w:p w14:paraId="588EE639" w14:textId="3A5F838B" w:rsidR="007D2965" w:rsidRPr="00513460" w:rsidRDefault="007D2965" w:rsidP="00FD5F20">
      <w:pPr>
        <w:rPr>
          <w:rtl/>
        </w:rPr>
      </w:pPr>
      <w:r w:rsidRPr="00513460">
        <w:rPr>
          <w:rtl/>
        </w:rPr>
        <w:t xml:space="preserve">במילים אחרות, מציאות של יהודי קר לב (שלא כמו, למשל, </w:t>
      </w:r>
      <w:r w:rsidR="008A58F7">
        <w:rPr>
          <w:rFonts w:hint="cs"/>
          <w:rtl/>
        </w:rPr>
        <w:t xml:space="preserve">יהודי </w:t>
      </w:r>
      <w:r w:rsidRPr="00513460">
        <w:rPr>
          <w:rtl/>
        </w:rPr>
        <w:t>העובד עבודה זרה) מכילה בתוכה סתירה בלתי ניתנת לגישור! הזיהוי של מידת סדום כמושתת</w:t>
      </w:r>
      <w:r w:rsidR="008A58F7">
        <w:rPr>
          <w:rFonts w:hint="cs"/>
          <w:rtl/>
        </w:rPr>
        <w:t>ת</w:t>
      </w:r>
      <w:r w:rsidRPr="00513460">
        <w:rPr>
          <w:rtl/>
        </w:rPr>
        <w:t xml:space="preserve"> דווקא על ברית אבות, מעלה את חומרתה במידה ניכרת, והופך את הקמצנות מתכונה טורדנית לבגידה קשה בזהות היהודית.</w:t>
      </w:r>
    </w:p>
    <w:p w14:paraId="7D2300C7" w14:textId="77777777" w:rsidR="007D2965" w:rsidRPr="00513460" w:rsidRDefault="007D2965" w:rsidP="007D2965">
      <w:pPr>
        <w:spacing w:after="0" w:line="240" w:lineRule="auto"/>
        <w:rPr>
          <w:rFonts w:eastAsia="Calibri"/>
        </w:rPr>
      </w:pPr>
    </w:p>
    <w:p w14:paraId="42E1DDF6" w14:textId="77777777" w:rsidR="007D2965" w:rsidRDefault="007D2965" w:rsidP="00FD5F20">
      <w:pPr>
        <w:pStyle w:val="2"/>
        <w:rPr>
          <w:rtl/>
        </w:rPr>
      </w:pPr>
      <w:r>
        <w:rPr>
          <w:rFonts w:hint="cs"/>
          <w:rtl/>
        </w:rPr>
        <w:t>2. טווח</w:t>
      </w:r>
    </w:p>
    <w:p w14:paraId="1BDD8DD2" w14:textId="77777777" w:rsidR="00345F3C" w:rsidRDefault="007D2965" w:rsidP="00345F3C">
      <w:pPr>
        <w:rPr>
          <w:rtl/>
        </w:rPr>
      </w:pPr>
      <w:r w:rsidRPr="00513460">
        <w:rPr>
          <w:rtl/>
        </w:rPr>
        <w:t xml:space="preserve">שנית, לתחושתי, ייתכן כי הגדר של 'צדקה ומשפט' שאפתני יותר מאשר 'הישר והטוב'. 'הישר והטוב' מסדיר התנהגות בין אישית, ופוקד עלינו לנהל משא ומתן תוך רגישות אתית, גם במצבים 'ניטראליים' כביכול מבחינה הלכתית. </w:t>
      </w:r>
      <w:r w:rsidR="00345F3C">
        <w:rPr>
          <w:rFonts w:hint="cs"/>
          <w:rtl/>
        </w:rPr>
        <w:t>אך</w:t>
      </w:r>
      <w:r w:rsidRPr="00513460">
        <w:rPr>
          <w:rtl/>
        </w:rPr>
        <w:t xml:space="preserve"> אין </w:t>
      </w:r>
      <w:r w:rsidR="00345F3C">
        <w:rPr>
          <w:rFonts w:hint="cs"/>
          <w:rtl/>
        </w:rPr>
        <w:t xml:space="preserve">נוהג זה מהווה יסוד לתפיסה </w:t>
      </w:r>
      <w:r w:rsidRPr="00513460">
        <w:rPr>
          <w:rtl/>
        </w:rPr>
        <w:t xml:space="preserve">כי חסד (כמו גם צדק) </w:t>
      </w:r>
      <w:r w:rsidR="00345F3C">
        <w:rPr>
          <w:rFonts w:hint="cs"/>
          <w:rtl/>
        </w:rPr>
        <w:t xml:space="preserve">הפך </w:t>
      </w:r>
      <w:r w:rsidRPr="00513460">
        <w:rPr>
          <w:rtl/>
        </w:rPr>
        <w:t>להיות פרויקט חיים וכי צריך לחפש הזדמנויות לבצע חסדים ביצירתיות ולהט.</w:t>
      </w:r>
    </w:p>
    <w:p w14:paraId="6E0CF005" w14:textId="0E02E17C" w:rsidR="007D2965" w:rsidRPr="00513460" w:rsidRDefault="00345F3C" w:rsidP="00345F3C">
      <w:pPr>
        <w:rPr>
          <w:rtl/>
        </w:rPr>
      </w:pPr>
      <w:r>
        <w:rPr>
          <w:rFonts w:hint="cs"/>
          <w:rtl/>
        </w:rPr>
        <w:t xml:space="preserve">אולם </w:t>
      </w:r>
      <w:r>
        <w:rPr>
          <w:rtl/>
        </w:rPr>
        <w:t>–</w:t>
      </w:r>
      <w:r>
        <w:rPr>
          <w:rFonts w:hint="cs"/>
          <w:rtl/>
        </w:rPr>
        <w:t xml:space="preserve"> </w:t>
      </w:r>
      <w:r w:rsidR="007D2965" w:rsidRPr="00513460">
        <w:rPr>
          <w:rtl/>
        </w:rPr>
        <w:t xml:space="preserve">זו היא בדיוק מורשתו של אברהם. לקראת סיומה של פרשת לך </w:t>
      </w:r>
      <w:proofErr w:type="spellStart"/>
      <w:r w:rsidR="007D2965" w:rsidRPr="00513460">
        <w:rPr>
          <w:rtl/>
        </w:rPr>
        <w:t>לך</w:t>
      </w:r>
      <w:proofErr w:type="spellEnd"/>
      <w:r w:rsidR="007D2965" w:rsidRPr="00513460">
        <w:rPr>
          <w:rtl/>
        </w:rPr>
        <w:t xml:space="preserve">, הקב"ה מחזק את אברהם </w:t>
      </w:r>
      <w:r>
        <w:rPr>
          <w:rFonts w:hint="cs"/>
          <w:rtl/>
        </w:rPr>
        <w:t>ב</w:t>
      </w:r>
      <w:r w:rsidR="007D2965" w:rsidRPr="00513460">
        <w:rPr>
          <w:rtl/>
        </w:rPr>
        <w:t>הכוונה "הִתְהַלֵּךְ לְפָנַי" (בראשית י"ז, א),</w:t>
      </w:r>
      <w:r w:rsidR="007D2965" w:rsidRPr="00345F3C">
        <w:rPr>
          <w:rStyle w:val="a5"/>
          <w:rtl/>
        </w:rPr>
        <w:footnoteReference w:id="5"/>
      </w:r>
      <w:r w:rsidR="007D2965" w:rsidRPr="00513460">
        <w:rPr>
          <w:rtl/>
        </w:rPr>
        <w:t xml:space="preserve"> ובפרשת וירא, אברהם אכן מיישם קריאה זו </w:t>
      </w:r>
      <w:r>
        <w:rPr>
          <w:rFonts w:hint="cs"/>
          <w:rtl/>
        </w:rPr>
        <w:t>בע</w:t>
      </w:r>
      <w:bookmarkStart w:id="0" w:name="_GoBack"/>
      <w:bookmarkEnd w:id="0"/>
      <w:r>
        <w:rPr>
          <w:rFonts w:hint="cs"/>
          <w:rtl/>
        </w:rPr>
        <w:t xml:space="preserve">שיית </w:t>
      </w:r>
      <w:r w:rsidR="007D2965" w:rsidRPr="00513460">
        <w:rPr>
          <w:rtl/>
        </w:rPr>
        <w:t xml:space="preserve">חסד ורץ קדימה במלוא העוצמה. אם שלילתה של מידת סדום מבוססת על לפנים משורת הדין, הימנעות ממותרות חסרות יסוד עשויה להספיק. </w:t>
      </w:r>
      <w:r>
        <w:rPr>
          <w:rFonts w:hint="cs"/>
          <w:rtl/>
        </w:rPr>
        <w:t xml:space="preserve">ברם </w:t>
      </w:r>
      <w:r w:rsidR="007D2965" w:rsidRPr="00513460">
        <w:rPr>
          <w:rtl/>
        </w:rPr>
        <w:t xml:space="preserve">אם היא מבוססת על העיקרון של 'צדקה ומשפט', אזי אנו מעודדים לקחת </w:t>
      </w:r>
      <w:r w:rsidR="007D2965" w:rsidRPr="00513460">
        <w:rPr>
          <w:rtl/>
        </w:rPr>
        <w:t>את האתגר ולהתרחק באופן פעיל מסדום בכל דרך אפשרית.</w:t>
      </w:r>
    </w:p>
    <w:p w14:paraId="0160DEDD" w14:textId="6B070167" w:rsidR="007D2965" w:rsidRPr="00513460" w:rsidRDefault="007D2965" w:rsidP="00677A2B">
      <w:pPr>
        <w:rPr>
          <w:rFonts w:eastAsia="Calibri"/>
        </w:rPr>
      </w:pPr>
      <w:r w:rsidRPr="00513460">
        <w:rPr>
          <w:rFonts w:eastAsia="Calibri"/>
          <w:rtl/>
        </w:rPr>
        <w:t xml:space="preserve">הגבולות הקיימים במקרה של 'הישר והטוב', בניגוד ל'צדקה ומשפט' (שם ראינו כי מדובר בעיקרון כללי חסר גבולות ברורים), ניכרים לדעתי </w:t>
      </w:r>
      <w:r w:rsidR="00DB7104">
        <w:rPr>
          <w:rFonts w:eastAsia="Calibri" w:hint="cs"/>
          <w:rtl/>
        </w:rPr>
        <w:t>ב</w:t>
      </w:r>
      <w:r w:rsidR="00DB7104" w:rsidRPr="00513460">
        <w:rPr>
          <w:rFonts w:eastAsia="Calibri"/>
          <w:rtl/>
        </w:rPr>
        <w:t>הער</w:t>
      </w:r>
      <w:r w:rsidR="00DB7104">
        <w:rPr>
          <w:rFonts w:eastAsia="Calibri" w:hint="cs"/>
          <w:rtl/>
        </w:rPr>
        <w:t>ה</w:t>
      </w:r>
      <w:r w:rsidR="00DB7104" w:rsidRPr="00513460">
        <w:rPr>
          <w:rFonts w:eastAsia="Calibri"/>
          <w:rtl/>
        </w:rPr>
        <w:t xml:space="preserve"> </w:t>
      </w:r>
      <w:r w:rsidRPr="00513460">
        <w:rPr>
          <w:rFonts w:eastAsia="Calibri"/>
          <w:rtl/>
        </w:rPr>
        <w:t xml:space="preserve">של </w:t>
      </w:r>
      <w:proofErr w:type="spellStart"/>
      <w:r w:rsidRPr="00513460">
        <w:rPr>
          <w:rFonts w:eastAsia="Calibri"/>
          <w:rtl/>
        </w:rPr>
        <w:t>הרא"ש</w:t>
      </w:r>
      <w:proofErr w:type="spellEnd"/>
      <w:r w:rsidRPr="00513460">
        <w:rPr>
          <w:rFonts w:eastAsia="Calibri"/>
          <w:rtl/>
        </w:rPr>
        <w:t xml:space="preserve">. בנוגע לחלוקה של נכס כאשר אחד מהיורשים כבר מחזיק בשטח צמוד, משתמש </w:t>
      </w:r>
      <w:r w:rsidR="00345F3C" w:rsidRPr="00513460">
        <w:rPr>
          <w:rFonts w:eastAsia="Calibri"/>
          <w:rtl/>
        </w:rPr>
        <w:t xml:space="preserve">רבה </w:t>
      </w:r>
      <w:r w:rsidRPr="00513460">
        <w:rPr>
          <w:rFonts w:eastAsia="Calibri"/>
          <w:rtl/>
        </w:rPr>
        <w:t>ב</w:t>
      </w:r>
      <w:r w:rsidR="00345F3C">
        <w:rPr>
          <w:rFonts w:eastAsia="Calibri" w:hint="cs"/>
          <w:rtl/>
        </w:rPr>
        <w:t xml:space="preserve">דין </w:t>
      </w:r>
      <w:r w:rsidRPr="00513460">
        <w:rPr>
          <w:rFonts w:eastAsia="Calibri"/>
          <w:rtl/>
        </w:rPr>
        <w:t>'</w:t>
      </w:r>
      <w:proofErr w:type="spellStart"/>
      <w:r w:rsidRPr="00513460">
        <w:rPr>
          <w:rFonts w:eastAsia="Calibri"/>
          <w:rtl/>
        </w:rPr>
        <w:t>כופין</w:t>
      </w:r>
      <w:proofErr w:type="spellEnd"/>
      <w:r w:rsidRPr="00513460">
        <w:rPr>
          <w:rFonts w:eastAsia="Calibri"/>
          <w:rtl/>
        </w:rPr>
        <w:t xml:space="preserve"> על מידת סדום' </w:t>
      </w:r>
      <w:r w:rsidR="00345F3C">
        <w:rPr>
          <w:rFonts w:eastAsia="Calibri" w:hint="cs"/>
          <w:rtl/>
        </w:rPr>
        <w:t xml:space="preserve">כדי </w:t>
      </w:r>
      <w:r w:rsidRPr="00513460">
        <w:rPr>
          <w:rFonts w:eastAsia="Calibri"/>
          <w:rtl/>
        </w:rPr>
        <w:t>להסביר מדוע יש לתת ל</w:t>
      </w:r>
      <w:r w:rsidR="00345F3C">
        <w:rPr>
          <w:rFonts w:eastAsia="Calibri" w:hint="cs"/>
          <w:rtl/>
        </w:rPr>
        <w:t xml:space="preserve">אותו </w:t>
      </w:r>
      <w:r w:rsidRPr="00513460">
        <w:rPr>
          <w:rFonts w:eastAsia="Calibri"/>
          <w:rtl/>
        </w:rPr>
        <w:t xml:space="preserve">יורש את החלק הצמוד לשטחו (בבא </w:t>
      </w:r>
      <w:proofErr w:type="spellStart"/>
      <w:r w:rsidRPr="00513460">
        <w:rPr>
          <w:rFonts w:eastAsia="Calibri"/>
          <w:rtl/>
        </w:rPr>
        <w:t>בתרא</w:t>
      </w:r>
      <w:proofErr w:type="spellEnd"/>
      <w:r w:rsidRPr="00513460">
        <w:rPr>
          <w:rFonts w:eastAsia="Calibri"/>
          <w:rtl/>
        </w:rPr>
        <w:t xml:space="preserve"> </w:t>
      </w:r>
      <w:proofErr w:type="spellStart"/>
      <w:r w:rsidRPr="00513460">
        <w:rPr>
          <w:rFonts w:eastAsia="Calibri"/>
          <w:rtl/>
        </w:rPr>
        <w:t>יב</w:t>
      </w:r>
      <w:proofErr w:type="spellEnd"/>
      <w:r w:rsidRPr="00513460">
        <w:rPr>
          <w:rFonts w:eastAsia="Calibri"/>
          <w:rtl/>
        </w:rPr>
        <w:t xml:space="preserve"> ע"ב). </w:t>
      </w:r>
      <w:proofErr w:type="spellStart"/>
      <w:r w:rsidRPr="00513460">
        <w:rPr>
          <w:rFonts w:eastAsia="Calibri"/>
          <w:rtl/>
        </w:rPr>
        <w:t>הרא"ש</w:t>
      </w:r>
      <w:proofErr w:type="spellEnd"/>
      <w:r w:rsidRPr="00513460">
        <w:rPr>
          <w:rFonts w:eastAsia="Calibri"/>
          <w:rtl/>
        </w:rPr>
        <w:t xml:space="preserve"> תוהה מדוע </w:t>
      </w:r>
      <w:r w:rsidR="00345F3C">
        <w:rPr>
          <w:rFonts w:eastAsia="Calibri" w:hint="cs"/>
          <w:rtl/>
        </w:rPr>
        <w:t xml:space="preserve">לא פנה </w:t>
      </w:r>
      <w:r w:rsidRPr="00513460">
        <w:rPr>
          <w:rFonts w:eastAsia="Calibri"/>
          <w:rtl/>
        </w:rPr>
        <w:t xml:space="preserve">רבה לעיקרון 'הישר והטוב', המצוטט במקום אחר בנוגע לזכות הבסיסית של רוכש נכס צמוד (בבא מציעא קח ע"א, בנוגע </w:t>
      </w:r>
      <w:proofErr w:type="spellStart"/>
      <w:r w:rsidRPr="00513460">
        <w:rPr>
          <w:rFonts w:eastAsia="Calibri"/>
          <w:rtl/>
        </w:rPr>
        <w:t>לדינא</w:t>
      </w:r>
      <w:proofErr w:type="spellEnd"/>
      <w:r w:rsidRPr="00513460">
        <w:rPr>
          <w:rFonts w:eastAsia="Calibri"/>
          <w:rtl/>
        </w:rPr>
        <w:t xml:space="preserve"> דבר </w:t>
      </w:r>
      <w:proofErr w:type="spellStart"/>
      <w:r w:rsidRPr="00513460">
        <w:rPr>
          <w:rFonts w:eastAsia="Calibri"/>
          <w:rtl/>
        </w:rPr>
        <w:t>מצרא</w:t>
      </w:r>
      <w:proofErr w:type="spellEnd"/>
      <w:r w:rsidRPr="00513460">
        <w:rPr>
          <w:rFonts w:eastAsia="Calibri"/>
          <w:rtl/>
        </w:rPr>
        <w:t>)?</w:t>
      </w:r>
    </w:p>
    <w:p w14:paraId="7C527F40" w14:textId="02A67ABC" w:rsidR="007D2965" w:rsidRPr="00513460" w:rsidRDefault="007D2965" w:rsidP="007517C5">
      <w:pPr>
        <w:rPr>
          <w:rFonts w:eastAsia="Calibri"/>
          <w:rtl/>
        </w:rPr>
      </w:pPr>
      <w:proofErr w:type="spellStart"/>
      <w:r w:rsidRPr="00513460">
        <w:rPr>
          <w:rFonts w:eastAsia="Calibri"/>
          <w:rtl/>
        </w:rPr>
        <w:t>הרא"ש</w:t>
      </w:r>
      <w:proofErr w:type="spellEnd"/>
      <w:r w:rsidRPr="00513460">
        <w:rPr>
          <w:rFonts w:eastAsia="Calibri"/>
          <w:rtl/>
        </w:rPr>
        <w:t xml:space="preserve"> משיב כי 'הישר והטוב' רק דורש מהאדם שלא </w:t>
      </w:r>
      <w:r w:rsidRPr="00513460">
        <w:rPr>
          <w:rtl/>
        </w:rPr>
        <w:t>לרדוף אחר הזדמנויות במקום שלאחרים כבר קיים אינטרס.</w:t>
      </w:r>
      <w:r w:rsidRPr="00345F3C">
        <w:rPr>
          <w:rStyle w:val="a5"/>
          <w:rtl/>
        </w:rPr>
        <w:footnoteReference w:id="6"/>
      </w:r>
      <w:r w:rsidRPr="00513460">
        <w:rPr>
          <w:rtl/>
        </w:rPr>
        <w:t xml:space="preserve"> במקרה של נכס משותף, לעומת זאת, כאשר בעל העניין מתבקש להעביר זכויות שכבר ברשותו למישהו אחר, </w:t>
      </w:r>
      <w:r w:rsidR="00345F3C">
        <w:rPr>
          <w:rFonts w:hint="cs"/>
          <w:rtl/>
        </w:rPr>
        <w:t xml:space="preserve">דין </w:t>
      </w:r>
      <w:r w:rsidRPr="00513460">
        <w:rPr>
          <w:rtl/>
        </w:rPr>
        <w:t xml:space="preserve">'הישר והטוב' איננו רלוונטי (תוספי </w:t>
      </w:r>
      <w:proofErr w:type="spellStart"/>
      <w:r w:rsidRPr="00513460">
        <w:rPr>
          <w:rtl/>
        </w:rPr>
        <w:t>הרא"ש</w:t>
      </w:r>
      <w:proofErr w:type="spellEnd"/>
      <w:r w:rsidRPr="00513460">
        <w:rPr>
          <w:rtl/>
        </w:rPr>
        <w:t>, מובא בשיטה מק</w:t>
      </w:r>
      <w:r w:rsidR="00293727">
        <w:rPr>
          <w:rFonts w:hint="cs"/>
          <w:rtl/>
        </w:rPr>
        <w:t>ו</w:t>
      </w:r>
      <w:r w:rsidRPr="00513460">
        <w:rPr>
          <w:rtl/>
        </w:rPr>
        <w:t xml:space="preserve">בצת; שו"ת </w:t>
      </w:r>
      <w:proofErr w:type="spellStart"/>
      <w:r w:rsidRPr="00513460">
        <w:rPr>
          <w:rtl/>
        </w:rPr>
        <w:t>הרא"ש</w:t>
      </w:r>
      <w:proofErr w:type="spellEnd"/>
      <w:r w:rsidRPr="00513460">
        <w:rPr>
          <w:rtl/>
        </w:rPr>
        <w:t xml:space="preserve"> </w:t>
      </w:r>
      <w:proofErr w:type="spellStart"/>
      <w:r w:rsidRPr="00513460">
        <w:rPr>
          <w:rtl/>
        </w:rPr>
        <w:t>צז</w:t>
      </w:r>
      <w:proofErr w:type="spellEnd"/>
      <w:r w:rsidRPr="00513460">
        <w:rPr>
          <w:rtl/>
        </w:rPr>
        <w:t xml:space="preserve">, ב). 'הישר והטוב' קורא </w:t>
      </w:r>
      <w:r w:rsidR="00345F3C">
        <w:rPr>
          <w:rFonts w:hint="cs"/>
          <w:rtl/>
        </w:rPr>
        <w:t xml:space="preserve">אפוא </w:t>
      </w:r>
      <w:r w:rsidRPr="00513460">
        <w:rPr>
          <w:rtl/>
        </w:rPr>
        <w:t>לאדם לפעול ב</w:t>
      </w:r>
      <w:r w:rsidR="00345F3C">
        <w:rPr>
          <w:rFonts w:hint="cs"/>
          <w:rtl/>
        </w:rPr>
        <w:t>'</w:t>
      </w:r>
      <w:r w:rsidRPr="00513460">
        <w:rPr>
          <w:rtl/>
        </w:rPr>
        <w:t>טקט</w:t>
      </w:r>
      <w:r w:rsidR="00345F3C">
        <w:rPr>
          <w:rFonts w:hint="cs"/>
          <w:rtl/>
        </w:rPr>
        <w:t>'</w:t>
      </w:r>
      <w:r w:rsidRPr="00513460">
        <w:rPr>
          <w:rtl/>
        </w:rPr>
        <w:t xml:space="preserve">, ברגישות ובאיפוק, אך הוא איננו דורש ממנו </w:t>
      </w:r>
      <w:r w:rsidR="00345F3C">
        <w:rPr>
          <w:rFonts w:hint="cs"/>
          <w:rtl/>
        </w:rPr>
        <w:t xml:space="preserve">לצאת </w:t>
      </w:r>
      <w:r w:rsidRPr="00513460">
        <w:rPr>
          <w:rtl/>
        </w:rPr>
        <w:t xml:space="preserve">מעצמו. </w:t>
      </w:r>
      <w:r w:rsidR="00345F3C">
        <w:rPr>
          <w:rFonts w:hint="cs"/>
          <w:rtl/>
        </w:rPr>
        <w:t xml:space="preserve">לעומת זאת, החיוב לפעול בדרך </w:t>
      </w:r>
      <w:r w:rsidRPr="00513460">
        <w:rPr>
          <w:rtl/>
        </w:rPr>
        <w:t>'צדקה ומשפט'</w:t>
      </w:r>
      <w:r w:rsidR="00345F3C">
        <w:rPr>
          <w:rFonts w:hint="cs"/>
          <w:rtl/>
        </w:rPr>
        <w:t xml:space="preserve"> </w:t>
      </w:r>
      <w:r w:rsidRPr="00513460">
        <w:rPr>
          <w:rtl/>
        </w:rPr>
        <w:t xml:space="preserve">יכול להסביר </w:t>
      </w:r>
      <w:r w:rsidR="00345F3C">
        <w:rPr>
          <w:rFonts w:hint="cs"/>
          <w:rtl/>
        </w:rPr>
        <w:t xml:space="preserve">בקלות </w:t>
      </w:r>
      <w:r w:rsidRPr="00513460">
        <w:rPr>
          <w:rtl/>
        </w:rPr>
        <w:t>את הכפייה בנסיבות אלה בדיוק.</w:t>
      </w:r>
    </w:p>
    <w:p w14:paraId="03E8B896" w14:textId="77777777" w:rsidR="007D2965" w:rsidRPr="00513460" w:rsidRDefault="007D2965" w:rsidP="007D2965">
      <w:pPr>
        <w:spacing w:after="0" w:line="240" w:lineRule="auto"/>
        <w:rPr>
          <w:rFonts w:eastAsia="Calibri"/>
          <w:rtl/>
        </w:rPr>
      </w:pPr>
    </w:p>
    <w:p w14:paraId="11FDF496" w14:textId="77777777" w:rsidR="007D2965" w:rsidRDefault="007D2965" w:rsidP="00EB70E2">
      <w:pPr>
        <w:pStyle w:val="2"/>
        <w:rPr>
          <w:rtl/>
        </w:rPr>
      </w:pPr>
      <w:r>
        <w:rPr>
          <w:rFonts w:hint="cs"/>
          <w:rtl/>
        </w:rPr>
        <w:t>3. מכניזם</w:t>
      </w:r>
    </w:p>
    <w:p w14:paraId="569CEAC5" w14:textId="3FAC4C5E" w:rsidR="007D2965" w:rsidRPr="00513460" w:rsidRDefault="007D2965" w:rsidP="007D2965">
      <w:pPr>
        <w:rPr>
          <w:rtl/>
        </w:rPr>
      </w:pPr>
      <w:r w:rsidRPr="00513460">
        <w:rPr>
          <w:rtl/>
        </w:rPr>
        <w:t xml:space="preserve">שלישית, מנגנון הכפייה עשוי להשתנות בהתאם למקור שלילתה של מידת סדום. בקצה האחד, נראה כי בעלי התוספות (בבא </w:t>
      </w:r>
      <w:proofErr w:type="spellStart"/>
      <w:r w:rsidRPr="00513460">
        <w:rPr>
          <w:rtl/>
        </w:rPr>
        <w:t>בתרא</w:t>
      </w:r>
      <w:proofErr w:type="spellEnd"/>
      <w:r w:rsidRPr="00513460">
        <w:rPr>
          <w:rtl/>
        </w:rPr>
        <w:t xml:space="preserve"> </w:t>
      </w:r>
      <w:proofErr w:type="spellStart"/>
      <w:r w:rsidRPr="00513460">
        <w:rPr>
          <w:rtl/>
        </w:rPr>
        <w:t>יב</w:t>
      </w:r>
      <w:proofErr w:type="spellEnd"/>
      <w:r w:rsidRPr="00513460">
        <w:rPr>
          <w:rtl/>
        </w:rPr>
        <w:t xml:space="preserve"> ע"ב) מניחים כי העיקרון '</w:t>
      </w:r>
      <w:proofErr w:type="spellStart"/>
      <w:r w:rsidRPr="00513460">
        <w:rPr>
          <w:rtl/>
        </w:rPr>
        <w:t>כופין</w:t>
      </w:r>
      <w:proofErr w:type="spellEnd"/>
      <w:r w:rsidRPr="00513460">
        <w:rPr>
          <w:rtl/>
        </w:rPr>
        <w:t xml:space="preserve"> על מידת סדום' משנה באופן אוטומטי את זכויות הקניין גם ברמת </w:t>
      </w:r>
      <w:proofErr w:type="spellStart"/>
      <w:r w:rsidRPr="00513460">
        <w:rPr>
          <w:rtl/>
        </w:rPr>
        <w:t>הדאורייתא</w:t>
      </w:r>
      <w:proofErr w:type="spellEnd"/>
      <w:r w:rsidRPr="00513460">
        <w:rPr>
          <w:rtl/>
        </w:rPr>
        <w:t xml:space="preserve">, וכפי שהראה הרב שמואל </w:t>
      </w:r>
      <w:proofErr w:type="spellStart"/>
      <w:r w:rsidRPr="00513460">
        <w:rPr>
          <w:rtl/>
        </w:rPr>
        <w:t>רוזובסקי</w:t>
      </w:r>
      <w:proofErr w:type="spellEnd"/>
      <w:r w:rsidRPr="00513460">
        <w:rPr>
          <w:rtl/>
        </w:rPr>
        <w:t>.</w:t>
      </w:r>
      <w:r w:rsidRPr="00345F3C">
        <w:rPr>
          <w:rStyle w:val="a5"/>
          <w:rtl/>
        </w:rPr>
        <w:footnoteReference w:id="7"/>
      </w:r>
      <w:r w:rsidRPr="00513460">
        <w:rPr>
          <w:rtl/>
        </w:rPr>
        <w:t xml:space="preserve"> לפי תפיסה זו, '</w:t>
      </w:r>
      <w:proofErr w:type="spellStart"/>
      <w:r w:rsidRPr="00513460">
        <w:rPr>
          <w:rtl/>
        </w:rPr>
        <w:t>כופין</w:t>
      </w:r>
      <w:proofErr w:type="spellEnd"/>
      <w:r w:rsidRPr="00513460">
        <w:rPr>
          <w:rtl/>
        </w:rPr>
        <w:t xml:space="preserve"> על מידת סדום' איננה רק דרישה חמורה לעשיית חסד, אלא איסור הפר</w:t>
      </w:r>
      <w:r w:rsidR="005421D4">
        <w:rPr>
          <w:rFonts w:hint="cs"/>
          <w:rtl/>
        </w:rPr>
        <w:t>ת</w:t>
      </w:r>
      <w:r w:rsidRPr="00513460">
        <w:rPr>
          <w:rtl/>
        </w:rPr>
        <w:t xml:space="preserve"> זכויות, הנמצא </w:t>
      </w:r>
      <w:r w:rsidR="005421D4">
        <w:rPr>
          <w:rFonts w:hint="cs"/>
          <w:rtl/>
        </w:rPr>
        <w:t>ברמה דומה ל</w:t>
      </w:r>
      <w:r w:rsidRPr="00513460">
        <w:rPr>
          <w:rtl/>
        </w:rPr>
        <w:t xml:space="preserve">עקרונות משפטיים אחרים מדאורייתא. אם כך הם הדברים, הרי </w:t>
      </w:r>
      <w:proofErr w:type="spellStart"/>
      <w:r w:rsidRPr="00513460">
        <w:rPr>
          <w:rtl/>
        </w:rPr>
        <w:t>שבהיותו</w:t>
      </w:r>
      <w:proofErr w:type="spellEnd"/>
      <w:r w:rsidRPr="00513460">
        <w:rPr>
          <w:rtl/>
        </w:rPr>
        <w:t xml:space="preserve"> חלק מובנה ממערכת המשפטית הרחבה המסדירה רכוש, מוכרח העיקרון '</w:t>
      </w:r>
      <w:proofErr w:type="spellStart"/>
      <w:r w:rsidRPr="00513460">
        <w:rPr>
          <w:rtl/>
        </w:rPr>
        <w:t>כופין</w:t>
      </w:r>
      <w:proofErr w:type="spellEnd"/>
      <w:r w:rsidRPr="00513460">
        <w:rPr>
          <w:rtl/>
        </w:rPr>
        <w:t xml:space="preserve"> על מידת סדום' להיות מושרש בברית סיני ולא בערכים ה'רכים' יותר של ברית אבות.</w:t>
      </w:r>
    </w:p>
    <w:p w14:paraId="5CE75DF5" w14:textId="2AFAB6E5" w:rsidR="007D2965" w:rsidRPr="00513460" w:rsidRDefault="007D2965" w:rsidP="007D2965">
      <w:pPr>
        <w:rPr>
          <w:rtl/>
        </w:rPr>
      </w:pPr>
      <w:r w:rsidRPr="00513460">
        <w:rPr>
          <w:rFonts w:eastAsia="Calibri"/>
          <w:rtl/>
        </w:rPr>
        <w:t xml:space="preserve">מצד שני, אם אנחנו גורסים </w:t>
      </w:r>
      <w:r w:rsidRPr="00264FE6">
        <w:rPr>
          <w:rFonts w:eastAsia="Calibri"/>
          <w:rtl/>
        </w:rPr>
        <w:t>שהכפייה חייבת לעבור דרך חובה מוסרית המוטלת על אדם פרטי</w:t>
      </w:r>
      <w:r w:rsidRPr="00264FE6">
        <w:rPr>
          <w:rFonts w:eastAsia="Calibri" w:hint="cs"/>
          <w:rtl/>
        </w:rPr>
        <w:t xml:space="preserve"> </w:t>
      </w:r>
      <w:r w:rsidRPr="00264FE6">
        <w:rPr>
          <w:rFonts w:eastAsia="Calibri"/>
          <w:rtl/>
        </w:rPr>
        <w:t>–</w:t>
      </w:r>
      <w:r w:rsidRPr="00264FE6">
        <w:rPr>
          <w:rFonts w:eastAsia="Calibri" w:hint="cs"/>
          <w:rtl/>
        </w:rPr>
        <w:t xml:space="preserve"> שבנוגע לנכסיו </w:t>
      </w:r>
      <w:r w:rsidRPr="00264FE6">
        <w:rPr>
          <w:rFonts w:eastAsia="Calibri" w:hint="cs"/>
          <w:rtl/>
        </w:rPr>
        <w:lastRenderedPageBreak/>
        <w:t xml:space="preserve">הוא מחויב להתכחש למידת סדום ולהתרחק ממנה </w:t>
      </w:r>
      <w:r w:rsidRPr="00264FE6">
        <w:rPr>
          <w:rFonts w:eastAsia="Calibri"/>
          <w:rtl/>
        </w:rPr>
        <w:t>–</w:t>
      </w:r>
      <w:r w:rsidRPr="00264FE6">
        <w:rPr>
          <w:rFonts w:eastAsia="Calibri" w:hint="cs"/>
          <w:rtl/>
        </w:rPr>
        <w:t xml:space="preserve"> </w:t>
      </w:r>
      <w:r w:rsidRPr="00264FE6">
        <w:rPr>
          <w:rFonts w:eastAsia="Calibri"/>
          <w:rtl/>
        </w:rPr>
        <w:t>ואיננה חלק מן המערכת ההלכתית</w:t>
      </w:r>
      <w:r>
        <w:rPr>
          <w:rFonts w:eastAsia="Calibri" w:cs="Arial" w:hint="cs"/>
          <w:rtl/>
        </w:rPr>
        <w:t xml:space="preserve">, </w:t>
      </w:r>
      <w:r w:rsidRPr="00513460">
        <w:rPr>
          <w:rFonts w:eastAsia="Calibri"/>
          <w:rtl/>
        </w:rPr>
        <w:t xml:space="preserve">אז המקור לחובה מוסרית שכזו נותר פתוח למדי: אנחנו יכולים להצביע </w:t>
      </w:r>
      <w:r w:rsidR="00C155C6">
        <w:rPr>
          <w:rFonts w:eastAsia="Calibri" w:hint="cs"/>
          <w:rtl/>
        </w:rPr>
        <w:t xml:space="preserve">במידה שווה </w:t>
      </w:r>
      <w:r w:rsidRPr="00513460">
        <w:rPr>
          <w:rFonts w:eastAsia="Calibri"/>
          <w:rtl/>
        </w:rPr>
        <w:t xml:space="preserve">על לפנים משורת הדין (ברית סיני) או על צדקה ומשפט (ברית אבות) בתור המוטיבציה </w:t>
      </w:r>
      <w:r w:rsidRPr="00513460">
        <w:rPr>
          <w:rtl/>
        </w:rPr>
        <w:t>הבסיסית.</w:t>
      </w:r>
      <w:r w:rsidRPr="00C155C6">
        <w:rPr>
          <w:rStyle w:val="a5"/>
          <w:rtl/>
        </w:rPr>
        <w:footnoteReference w:id="8"/>
      </w:r>
      <w:r w:rsidRPr="00513460">
        <w:rPr>
          <w:rtl/>
        </w:rPr>
        <w:t xml:space="preserve"> כלל מסוג זה, השם את הדגש על האדם המצווה ולא על המערכת ההלכתית, מוצע על ידי </w:t>
      </w:r>
      <w:proofErr w:type="spellStart"/>
      <w:r w:rsidRPr="00513460">
        <w:rPr>
          <w:rtl/>
        </w:rPr>
        <w:t>הרא"ש</w:t>
      </w:r>
      <w:proofErr w:type="spellEnd"/>
      <w:r w:rsidRPr="00513460">
        <w:rPr>
          <w:rtl/>
        </w:rPr>
        <w:t>: "</w:t>
      </w:r>
      <w:proofErr w:type="spellStart"/>
      <w:r w:rsidRPr="00513460">
        <w:rPr>
          <w:rtl/>
        </w:rPr>
        <w:t>וכופין</w:t>
      </w:r>
      <w:proofErr w:type="spellEnd"/>
      <w:r w:rsidRPr="00513460">
        <w:rPr>
          <w:rtl/>
        </w:rPr>
        <w:t xml:space="preserve"> אותו להתרחק מן </w:t>
      </w:r>
      <w:proofErr w:type="spellStart"/>
      <w:r w:rsidRPr="00513460">
        <w:rPr>
          <w:rtl/>
        </w:rPr>
        <w:t>המדות</w:t>
      </w:r>
      <w:proofErr w:type="spellEnd"/>
      <w:r w:rsidRPr="00513460">
        <w:rPr>
          <w:rtl/>
        </w:rPr>
        <w:t xml:space="preserve"> הרעות ולעשות חסד עם חברו בדבר שאינו מפסיד כלום" (שו"ת </w:t>
      </w:r>
      <w:proofErr w:type="spellStart"/>
      <w:r w:rsidRPr="00513460">
        <w:rPr>
          <w:rtl/>
        </w:rPr>
        <w:t>הרא"ש</w:t>
      </w:r>
      <w:proofErr w:type="spellEnd"/>
      <w:r w:rsidRPr="00513460">
        <w:rPr>
          <w:rtl/>
        </w:rPr>
        <w:t xml:space="preserve"> כלל </w:t>
      </w:r>
      <w:proofErr w:type="spellStart"/>
      <w:r w:rsidRPr="00513460">
        <w:rPr>
          <w:rtl/>
        </w:rPr>
        <w:t>צז</w:t>
      </w:r>
      <w:proofErr w:type="spellEnd"/>
      <w:r w:rsidRPr="00513460">
        <w:rPr>
          <w:rtl/>
        </w:rPr>
        <w:t xml:space="preserve"> סימן ב). </w:t>
      </w:r>
    </w:p>
    <w:p w14:paraId="330C6A67" w14:textId="6679A3BF" w:rsidR="007D2965" w:rsidRPr="00513460" w:rsidRDefault="007D2965" w:rsidP="00CA1DE0">
      <w:pPr>
        <w:rPr>
          <w:rFonts w:eastAsia="Calibri"/>
          <w:rtl/>
        </w:rPr>
      </w:pPr>
      <w:r w:rsidRPr="00513460">
        <w:rPr>
          <w:rFonts w:eastAsia="Calibri"/>
          <w:rtl/>
        </w:rPr>
        <w:t xml:space="preserve">כמובן, חז"ל יכלו לבחור לתרגם את האלטרואיזם המוסרי לכדי הגבלות מובנות על זכויותיו של הבעלים; במילים אחרות, </w:t>
      </w:r>
      <w:r w:rsidR="00C155C6">
        <w:rPr>
          <w:rFonts w:eastAsia="Calibri" w:hint="cs"/>
          <w:rtl/>
        </w:rPr>
        <w:t xml:space="preserve">אפשר </w:t>
      </w:r>
      <w:r w:rsidRPr="00513460">
        <w:rPr>
          <w:rFonts w:eastAsia="Calibri"/>
          <w:rtl/>
        </w:rPr>
        <w:t xml:space="preserve">עדיין לאמץ את גישתם הכללית של תוספות, </w:t>
      </w:r>
      <w:r w:rsidR="00C155C6">
        <w:rPr>
          <w:rFonts w:eastAsia="Calibri" w:hint="cs"/>
          <w:rtl/>
        </w:rPr>
        <w:t xml:space="preserve">ועם זאת </w:t>
      </w:r>
      <w:r w:rsidRPr="00513460">
        <w:rPr>
          <w:rFonts w:eastAsia="Calibri"/>
          <w:rtl/>
        </w:rPr>
        <w:t xml:space="preserve">לטעון כי מדובר על </w:t>
      </w:r>
      <w:r w:rsidR="00406E23">
        <w:rPr>
          <w:rFonts w:eastAsia="Calibri" w:hint="cs"/>
          <w:rtl/>
        </w:rPr>
        <w:t xml:space="preserve">גדרים </w:t>
      </w:r>
      <w:r w:rsidRPr="00513460">
        <w:rPr>
          <w:rFonts w:eastAsia="Calibri"/>
          <w:rtl/>
        </w:rPr>
        <w:t>מדרבנן.</w:t>
      </w:r>
      <w:r>
        <w:rPr>
          <w:rFonts w:eastAsia="Calibri" w:hint="cs"/>
          <w:rtl/>
        </w:rPr>
        <w:t xml:space="preserve"> </w:t>
      </w:r>
      <w:r w:rsidRPr="00CA1DE0">
        <w:rPr>
          <w:rFonts w:eastAsia="Calibri"/>
          <w:rtl/>
        </w:rPr>
        <w:t xml:space="preserve">עדיין, השינוי האוטומטי בהגדרות הבעלות לא יכול להיות מוסבר על ידי 'ברית אבות' לבדה, </w:t>
      </w:r>
      <w:r w:rsidR="00303C94">
        <w:rPr>
          <w:rFonts w:eastAsia="Calibri" w:hint="cs"/>
          <w:rtl/>
        </w:rPr>
        <w:t>ו</w:t>
      </w:r>
      <w:r w:rsidRPr="00CA1DE0">
        <w:rPr>
          <w:rFonts w:eastAsia="Calibri"/>
          <w:rtl/>
        </w:rPr>
        <w:t>חייבים להיות לו שורשים אף בברית סיני</w:t>
      </w:r>
      <w:r w:rsidRPr="00BD2AE8">
        <w:rPr>
          <w:rFonts w:eastAsia="Calibri" w:cs="Arial"/>
          <w:rtl/>
        </w:rPr>
        <w:t>.</w:t>
      </w:r>
      <w:r w:rsidRPr="00513460">
        <w:rPr>
          <w:rFonts w:eastAsia="Calibri"/>
        </w:rPr>
        <w:t xml:space="preserve"> </w:t>
      </w:r>
    </w:p>
    <w:p w14:paraId="7E5AC88E" w14:textId="77777777" w:rsidR="007D2965" w:rsidRDefault="007D2965" w:rsidP="007D2965">
      <w:pPr>
        <w:spacing w:after="0" w:line="240" w:lineRule="auto"/>
        <w:rPr>
          <w:rFonts w:eastAsia="Calibri"/>
          <w:b/>
          <w:bCs/>
          <w:rtl/>
        </w:rPr>
      </w:pPr>
    </w:p>
    <w:p w14:paraId="7BCCF94D" w14:textId="77777777" w:rsidR="007D2965" w:rsidRPr="000E4773" w:rsidRDefault="007D2965" w:rsidP="009F6656">
      <w:pPr>
        <w:pStyle w:val="2"/>
        <w:rPr>
          <w:rFonts w:eastAsia="Calibri"/>
          <w:rtl/>
        </w:rPr>
      </w:pPr>
      <w:r w:rsidRPr="000E4773">
        <w:rPr>
          <w:rFonts w:eastAsia="Calibri" w:hint="cs"/>
          <w:rtl/>
        </w:rPr>
        <w:t>בעלות פרטית</w:t>
      </w:r>
    </w:p>
    <w:p w14:paraId="0184F9C9" w14:textId="00E7850F" w:rsidR="007D2965" w:rsidRPr="00513460" w:rsidRDefault="007D2965" w:rsidP="009F6656">
      <w:pPr>
        <w:rPr>
          <w:rtl/>
        </w:rPr>
      </w:pPr>
      <w:r w:rsidRPr="00513460">
        <w:rPr>
          <w:rtl/>
        </w:rPr>
        <w:t xml:space="preserve">עם נקודה אחרונה זו אנו מגיעים לחלק המסכם במאמרו של הרב ליכטנשטיין, </w:t>
      </w:r>
      <w:r w:rsidR="00303C94">
        <w:rPr>
          <w:rFonts w:hint="cs"/>
          <w:rtl/>
        </w:rPr>
        <w:t xml:space="preserve">שם </w:t>
      </w:r>
      <w:r w:rsidRPr="00513460">
        <w:rPr>
          <w:rtl/>
        </w:rPr>
        <w:t xml:space="preserve">דן </w:t>
      </w:r>
      <w:r w:rsidR="00303C94">
        <w:rPr>
          <w:rFonts w:hint="cs"/>
          <w:rtl/>
        </w:rPr>
        <w:t xml:space="preserve">הרב </w:t>
      </w:r>
      <w:r w:rsidRPr="00513460">
        <w:rPr>
          <w:rtl/>
        </w:rPr>
        <w:t>ביחס בין '</w:t>
      </w:r>
      <w:proofErr w:type="spellStart"/>
      <w:r w:rsidRPr="00513460">
        <w:rPr>
          <w:rtl/>
        </w:rPr>
        <w:t>כופין</w:t>
      </w:r>
      <w:proofErr w:type="spellEnd"/>
      <w:r w:rsidRPr="00513460">
        <w:rPr>
          <w:rtl/>
        </w:rPr>
        <w:t xml:space="preserve"> על מידת סדום' </w:t>
      </w:r>
      <w:r w:rsidR="00303C94">
        <w:rPr>
          <w:rFonts w:hint="cs"/>
          <w:rtl/>
        </w:rPr>
        <w:t>ל</w:t>
      </w:r>
      <w:r w:rsidRPr="00513460">
        <w:rPr>
          <w:rtl/>
        </w:rPr>
        <w:t>גישת ההלכה לרכוש ולבעלות באופן כללי. לדברי הרב ליכטנשטיין, "הגבלת הבעלות, מהווה מוטיב מרכזי בפרשת הכפייה על מידת סדום בכללותה". דברים אלו מובנים בקלות אם נגרוס כי הכפייה היא אוטומטית, אך גם, לטענת הרב ליכטנשטיין, אם הדבר דורש כפייה פעילה של בית הדין על הבעלים. הוא מסכם:</w:t>
      </w:r>
    </w:p>
    <w:p w14:paraId="656F3C67" w14:textId="77777777" w:rsidR="007D2965" w:rsidRPr="00513460" w:rsidRDefault="007D2965" w:rsidP="00693381">
      <w:pPr>
        <w:pStyle w:val="a9"/>
        <w:rPr>
          <w:rtl/>
        </w:rPr>
      </w:pPr>
      <w:r w:rsidRPr="00513460">
        <w:rPr>
          <w:rtl/>
        </w:rPr>
        <w:t>האמת הפשוטה ניתנת להיאמר: הכפייה על מידת סדום נוגדת לחלוטין את האידיאה הרווחת, שהאדם הוא השליט העליון על רכושו, שנכסיו בידו כחומר ביד היוצר, וככל שאינו מזיק לזולתו באורח ישיר יעשה בהם כרצונו באין מפריע.</w:t>
      </w:r>
    </w:p>
    <w:p w14:paraId="776D37F2" w14:textId="6D0C83F0" w:rsidR="007D2965" w:rsidRPr="00513460" w:rsidRDefault="007D2965" w:rsidP="00693381">
      <w:pPr>
        <w:pStyle w:val="a9"/>
        <w:rPr>
          <w:rtl/>
        </w:rPr>
      </w:pPr>
      <w:r w:rsidRPr="00513460">
        <w:rPr>
          <w:rtl/>
        </w:rPr>
        <w:t xml:space="preserve">אם רחוקה ההלכה ביותר מהכרזתו של </w:t>
      </w:r>
      <w:proofErr w:type="spellStart"/>
      <w:r w:rsidRPr="00513460">
        <w:rPr>
          <w:rtl/>
        </w:rPr>
        <w:t>פרודון</w:t>
      </w:r>
      <w:proofErr w:type="spellEnd"/>
      <w:r w:rsidRPr="00513460">
        <w:rPr>
          <w:rtl/>
        </w:rPr>
        <w:t xml:space="preserve">, כי "הבעלות היא </w:t>
      </w:r>
      <w:proofErr w:type="spellStart"/>
      <w:r w:rsidRPr="00513460">
        <w:rPr>
          <w:rtl/>
        </w:rPr>
        <w:t>גזילה</w:t>
      </w:r>
      <w:proofErr w:type="spellEnd"/>
      <w:r w:rsidRPr="00513460">
        <w:rPr>
          <w:rtl/>
        </w:rPr>
        <w:t>", הרי שמאידך גיסא היא מסרבת אף להסכים עם האמרה העממית, כי "בית האנגלי הוא מבצרו" (עמ</w:t>
      </w:r>
      <w:r w:rsidR="00303C94">
        <w:rPr>
          <w:rFonts w:hint="cs"/>
          <w:rtl/>
        </w:rPr>
        <w:t>'</w:t>
      </w:r>
      <w:r w:rsidRPr="00513460">
        <w:rPr>
          <w:rtl/>
        </w:rPr>
        <w:t xml:space="preserve"> 95-96)</w:t>
      </w:r>
      <w:r>
        <w:rPr>
          <w:rFonts w:hint="cs"/>
          <w:rtl/>
        </w:rPr>
        <w:t>.</w:t>
      </w:r>
    </w:p>
    <w:p w14:paraId="3408463C" w14:textId="392D6FFC" w:rsidR="007D2965" w:rsidRPr="00513460" w:rsidRDefault="007D2965" w:rsidP="007D2965">
      <w:pPr>
        <w:rPr>
          <w:rtl/>
        </w:rPr>
      </w:pPr>
      <w:r w:rsidRPr="00513460">
        <w:rPr>
          <w:rFonts w:eastAsia="Calibri"/>
          <w:rtl/>
        </w:rPr>
        <w:t>תובנה זו עומדת בפני עצמה, ודורשת מאיתנו, ללא תלות בשאלה מה הוא מקור הדין של '</w:t>
      </w:r>
      <w:proofErr w:type="spellStart"/>
      <w:r w:rsidRPr="00513460">
        <w:rPr>
          <w:rFonts w:eastAsia="Calibri"/>
          <w:rtl/>
        </w:rPr>
        <w:t>כופין</w:t>
      </w:r>
      <w:proofErr w:type="spellEnd"/>
      <w:r w:rsidRPr="00513460">
        <w:rPr>
          <w:rFonts w:eastAsia="Calibri"/>
          <w:rtl/>
        </w:rPr>
        <w:t xml:space="preserve"> על מידת סדום', לנסח באופן מדויק יותר מהי עמדת ההלכה </w:t>
      </w:r>
      <w:r w:rsidRPr="00513460">
        <w:rPr>
          <w:rFonts w:eastAsia="Calibri"/>
          <w:rtl/>
        </w:rPr>
        <w:t xml:space="preserve">בנוגע לרכוש. רק אעיר כאן כי </w:t>
      </w:r>
      <w:r w:rsidRPr="00513460">
        <w:rPr>
          <w:rtl/>
        </w:rPr>
        <w:t xml:space="preserve">תליית שורשי </w:t>
      </w:r>
      <w:r w:rsidR="004B731B">
        <w:rPr>
          <w:rFonts w:hint="cs"/>
          <w:rtl/>
        </w:rPr>
        <w:t xml:space="preserve">דין </w:t>
      </w:r>
      <w:r w:rsidRPr="00513460">
        <w:rPr>
          <w:rtl/>
        </w:rPr>
        <w:t>'</w:t>
      </w:r>
      <w:proofErr w:type="spellStart"/>
      <w:r w:rsidRPr="00513460">
        <w:rPr>
          <w:rtl/>
        </w:rPr>
        <w:t>כופין</w:t>
      </w:r>
      <w:proofErr w:type="spellEnd"/>
      <w:r w:rsidRPr="00513460">
        <w:rPr>
          <w:rtl/>
        </w:rPr>
        <w:t xml:space="preserve"> על מידת סדום' בברית אבות עשויה לאפשר לנו להרחיק אותו במכוון מההצהרה הפורמלית והמשפטית </w:t>
      </w:r>
      <w:proofErr w:type="spellStart"/>
      <w:r w:rsidRPr="00513460">
        <w:rPr>
          <w:rtl/>
        </w:rPr>
        <w:t>שב'ברית</w:t>
      </w:r>
      <w:proofErr w:type="spellEnd"/>
      <w:r w:rsidRPr="00513460">
        <w:rPr>
          <w:rtl/>
        </w:rPr>
        <w:t xml:space="preserve"> סיני'. כלומר, </w:t>
      </w:r>
      <w:r w:rsidR="004B731B">
        <w:rPr>
          <w:rFonts w:hint="cs"/>
          <w:rtl/>
        </w:rPr>
        <w:t xml:space="preserve">אפשר </w:t>
      </w:r>
      <w:r w:rsidRPr="00513460">
        <w:rPr>
          <w:rtl/>
        </w:rPr>
        <w:t>לומר כי זכויות הבעלות שמקנה ההלכה בברית סיני אכן מרחיקות לכת, אך ערכי הצדקה ומשפט של ברית האבות מכריחים את היהודי לוותר על חלק מזכויות אלו. רעיונית, הכפייה ההלכתית אינה משנה באופן מהותי את זכויות הקניין הבסיסיות אלא מחייבת גמילות חסדים. בפועל, כפי שמציין הרב ליכטנשטיין, אלטרואיזם כפוי יפלוש בהכרח לעבר המרחב האישי ועשוי להפר כמה מזכויות האוטונומיה, אך באופן בסיסי, זכויות משפטיות וחובות מוסריות עשויות לפעול במישורים שונים.</w:t>
      </w:r>
      <w:r w:rsidRPr="004B731B">
        <w:rPr>
          <w:rStyle w:val="a5"/>
          <w:rtl/>
        </w:rPr>
        <w:footnoteReference w:id="9"/>
      </w:r>
      <w:r w:rsidRPr="00513460">
        <w:rPr>
          <w:rtl/>
        </w:rPr>
        <w:t xml:space="preserve"> אם, לעומת זאת, הכפייה על מידת סדום משויכת לברית סיני, הרי שיחסי הגומלין בין היסודות השונים של החוק עשויים להיות עדינים יותר.</w:t>
      </w:r>
    </w:p>
    <w:p w14:paraId="3C7B476F" w14:textId="77777777" w:rsidR="007D2965" w:rsidRPr="00513460" w:rsidRDefault="007D2965" w:rsidP="007D2965">
      <w:pPr>
        <w:spacing w:after="0" w:line="240" w:lineRule="auto"/>
        <w:rPr>
          <w:rFonts w:eastAsia="Calibri"/>
          <w:rtl/>
        </w:rPr>
      </w:pPr>
    </w:p>
    <w:p w14:paraId="60704CC8" w14:textId="77777777" w:rsidR="007D2965" w:rsidRPr="000E4773" w:rsidRDefault="007D2965" w:rsidP="009541E9">
      <w:pPr>
        <w:pStyle w:val="2"/>
        <w:rPr>
          <w:rFonts w:eastAsia="Calibri"/>
          <w:rtl/>
        </w:rPr>
      </w:pPr>
      <w:r w:rsidRPr="000E4773">
        <w:rPr>
          <w:rFonts w:eastAsia="Calibri"/>
          <w:rtl/>
        </w:rPr>
        <w:t>"יש אומרים: זוהי מידת סדום"</w:t>
      </w:r>
    </w:p>
    <w:p w14:paraId="2B7D74A7" w14:textId="7547B0F5" w:rsidR="007D2965" w:rsidRPr="00513460" w:rsidRDefault="007D2965" w:rsidP="00A65727">
      <w:pPr>
        <w:rPr>
          <w:rFonts w:eastAsia="Calibri"/>
          <w:rtl/>
        </w:rPr>
      </w:pPr>
      <w:r w:rsidRPr="00513460">
        <w:rPr>
          <w:rFonts w:eastAsia="Calibri"/>
          <w:rtl/>
        </w:rPr>
        <w:t xml:space="preserve">הפרדה מוחלטת בין חיובים משפטיים </w:t>
      </w:r>
      <w:r w:rsidR="004B731B">
        <w:rPr>
          <w:rFonts w:eastAsia="Calibri" w:hint="cs"/>
          <w:rtl/>
        </w:rPr>
        <w:t>ל</w:t>
      </w:r>
      <w:r w:rsidRPr="00513460">
        <w:rPr>
          <w:rFonts w:eastAsia="Calibri"/>
          <w:rtl/>
        </w:rPr>
        <w:t xml:space="preserve">ציפיות מוסריות עשויה גם לספק קריאה שונה בנוגע לקביעת המשנה </w:t>
      </w:r>
      <w:r w:rsidR="004B731B">
        <w:rPr>
          <w:rFonts w:eastAsia="Calibri" w:hint="cs"/>
          <w:rtl/>
        </w:rPr>
        <w:t>באבות "</w:t>
      </w:r>
      <w:r w:rsidRPr="00513460">
        <w:rPr>
          <w:rFonts w:eastAsia="Calibri"/>
          <w:rtl/>
        </w:rPr>
        <w:t>שלי – שלי, שלך – שלך, זו מידה בינונית, ויש אומרים:</w:t>
      </w:r>
      <w:r w:rsidR="004C2212">
        <w:rPr>
          <w:rFonts w:eastAsia="Calibri" w:hint="cs"/>
          <w:rtl/>
        </w:rPr>
        <w:t xml:space="preserve"> </w:t>
      </w:r>
      <w:r w:rsidRPr="00513460">
        <w:rPr>
          <w:rFonts w:eastAsia="Calibri"/>
          <w:rtl/>
        </w:rPr>
        <w:t>זוהי מידת סדום</w:t>
      </w:r>
      <w:r w:rsidR="004B731B">
        <w:rPr>
          <w:rFonts w:eastAsia="Calibri" w:hint="cs"/>
          <w:rtl/>
        </w:rPr>
        <w:t>"</w:t>
      </w:r>
      <w:r w:rsidRPr="00513460">
        <w:rPr>
          <w:rFonts w:eastAsia="Calibri"/>
          <w:rtl/>
        </w:rPr>
        <w:t>. כפי שמבחין הרב ליכטנשטיין, בהתבססו על פרשנים מוקדמים יותר, קיימים שני קשיים במשנה זו. ראשית, מבחינ</w:t>
      </w:r>
      <w:r w:rsidR="004C2212">
        <w:rPr>
          <w:rFonts w:eastAsia="Calibri" w:hint="cs"/>
          <w:rtl/>
        </w:rPr>
        <w:t>ה</w:t>
      </w:r>
      <w:r w:rsidRPr="00513460">
        <w:rPr>
          <w:rFonts w:eastAsia="Calibri"/>
          <w:rtl/>
        </w:rPr>
        <w:t xml:space="preserve"> טקסטואלית נראה בבירור כי ישנה מחלוקת בנוגע להגדרתה של 'מידת סדום', בעוד </w:t>
      </w:r>
      <w:r w:rsidR="004B731B">
        <w:rPr>
          <w:rFonts w:eastAsia="Calibri" w:hint="cs"/>
          <w:rtl/>
        </w:rPr>
        <w:t xml:space="preserve">שבכמה </w:t>
      </w:r>
      <w:r w:rsidRPr="00513460">
        <w:rPr>
          <w:rFonts w:eastAsia="Calibri"/>
          <w:rtl/>
        </w:rPr>
        <w:t>סוגיות העוסקות בכלל '</w:t>
      </w:r>
      <w:proofErr w:type="spellStart"/>
      <w:r w:rsidRPr="00513460">
        <w:rPr>
          <w:rFonts w:eastAsia="Calibri"/>
          <w:rtl/>
        </w:rPr>
        <w:t>כופין</w:t>
      </w:r>
      <w:proofErr w:type="spellEnd"/>
      <w:r w:rsidRPr="00513460">
        <w:rPr>
          <w:rFonts w:eastAsia="Calibri"/>
          <w:rtl/>
        </w:rPr>
        <w:t xml:space="preserve"> על מידת </w:t>
      </w:r>
      <w:r w:rsidRPr="004C2212">
        <w:rPr>
          <w:rFonts w:eastAsia="Calibri"/>
          <w:rtl/>
        </w:rPr>
        <w:t xml:space="preserve">סדום' נראה כי לגמרא פשוט שהתנהגות 'קמצנית' נחשבת 'מידת סדום'. כלומר – הגמרא מצדדת בדעה </w:t>
      </w:r>
      <w:r w:rsidR="004B731B">
        <w:rPr>
          <w:rFonts w:eastAsia="Calibri" w:hint="cs"/>
          <w:rtl/>
        </w:rPr>
        <w:t>ש"</w:t>
      </w:r>
      <w:r w:rsidRPr="004C2212">
        <w:rPr>
          <w:rFonts w:eastAsia="Calibri"/>
          <w:rtl/>
        </w:rPr>
        <w:t xml:space="preserve">שלי </w:t>
      </w:r>
      <w:r w:rsidR="004B731B">
        <w:rPr>
          <w:rFonts w:eastAsia="Calibri"/>
          <w:rtl/>
        </w:rPr>
        <w:t>–</w:t>
      </w:r>
      <w:r w:rsidR="004B731B">
        <w:rPr>
          <w:rFonts w:eastAsia="Calibri" w:hint="cs"/>
          <w:rtl/>
        </w:rPr>
        <w:t xml:space="preserve"> </w:t>
      </w:r>
      <w:r w:rsidRPr="004C2212">
        <w:rPr>
          <w:rFonts w:eastAsia="Calibri"/>
          <w:rtl/>
        </w:rPr>
        <w:t>שלי</w:t>
      </w:r>
      <w:r w:rsidR="004B731B">
        <w:rPr>
          <w:rFonts w:eastAsia="Calibri" w:hint="cs"/>
          <w:rtl/>
        </w:rPr>
        <w:t>,</w:t>
      </w:r>
      <w:r w:rsidRPr="004C2212">
        <w:rPr>
          <w:rFonts w:eastAsia="Calibri"/>
          <w:rtl/>
        </w:rPr>
        <w:t xml:space="preserve"> שלך </w:t>
      </w:r>
      <w:r w:rsidR="004B731B">
        <w:rPr>
          <w:rFonts w:eastAsia="Calibri"/>
          <w:rtl/>
        </w:rPr>
        <w:t>–</w:t>
      </w:r>
      <w:r w:rsidR="004B731B">
        <w:rPr>
          <w:rFonts w:eastAsia="Calibri" w:hint="cs"/>
          <w:rtl/>
        </w:rPr>
        <w:t xml:space="preserve"> </w:t>
      </w:r>
      <w:r w:rsidRPr="004C2212">
        <w:rPr>
          <w:rFonts w:eastAsia="Calibri"/>
          <w:rtl/>
        </w:rPr>
        <w:t>שלך</w:t>
      </w:r>
      <w:r w:rsidR="004B731B">
        <w:rPr>
          <w:rFonts w:eastAsia="Calibri" w:hint="cs"/>
          <w:rtl/>
        </w:rPr>
        <w:t>",</w:t>
      </w:r>
      <w:r w:rsidRPr="004C2212">
        <w:rPr>
          <w:rFonts w:eastAsia="Calibri"/>
          <w:rtl/>
        </w:rPr>
        <w:t xml:space="preserve"> היא מידת סדום ומתעלמת לחלוטין מהדעה השנייה.</w:t>
      </w:r>
      <w:r>
        <w:rPr>
          <w:rFonts w:eastAsia="Calibri" w:hint="cs"/>
          <w:rtl/>
        </w:rPr>
        <w:t xml:space="preserve"> </w:t>
      </w:r>
      <w:r w:rsidRPr="00513460">
        <w:rPr>
          <w:rFonts w:eastAsia="Calibri"/>
          <w:rtl/>
        </w:rPr>
        <w:t xml:space="preserve">שנית, האם הגיוני כי תנא אחד יתעלם לחלוטין מ'מידת סדום' ויסכים לקבל את </w:t>
      </w:r>
      <w:r w:rsidR="004B731B">
        <w:rPr>
          <w:rFonts w:eastAsia="Calibri" w:hint="cs"/>
          <w:rtl/>
        </w:rPr>
        <w:t>"</w:t>
      </w:r>
      <w:r w:rsidRPr="00513460">
        <w:rPr>
          <w:rFonts w:eastAsia="Calibri"/>
          <w:rtl/>
        </w:rPr>
        <w:t>שלי – שלי, שלך – שלך</w:t>
      </w:r>
      <w:r w:rsidR="004B731B">
        <w:rPr>
          <w:rFonts w:eastAsia="Calibri" w:hint="cs"/>
          <w:rtl/>
        </w:rPr>
        <w:t xml:space="preserve">" </w:t>
      </w:r>
      <w:r w:rsidRPr="00513460">
        <w:rPr>
          <w:rFonts w:eastAsia="Calibri"/>
          <w:rtl/>
        </w:rPr>
        <w:t>כמידה בינונית?</w:t>
      </w:r>
    </w:p>
    <w:p w14:paraId="06F0EEA2" w14:textId="0AC88265" w:rsidR="007D2965" w:rsidRDefault="007D2965" w:rsidP="007D2965">
      <w:pPr>
        <w:rPr>
          <w:rtl/>
        </w:rPr>
      </w:pPr>
      <w:r w:rsidRPr="00513460">
        <w:rPr>
          <w:rFonts w:eastAsia="Calibri"/>
          <w:rtl/>
        </w:rPr>
        <w:t>כפי שציינו בשיעור הקודם, הרב ליכטנשטיין פותר בעיות אלו כאשר הוא מציע שהמשנה והגמרא דנות בשני עניינים שונים. המשנה עוסקת במידת סדום כפגם השקפתי שחומרתו עשויה להיות נתונה במחלוקת תנאים, בעוד הגמרא מתייחס</w:t>
      </w:r>
      <w:r w:rsidR="00A65727">
        <w:rPr>
          <w:rFonts w:eastAsia="Calibri" w:hint="cs"/>
          <w:rtl/>
        </w:rPr>
        <w:t>ת</w:t>
      </w:r>
      <w:r w:rsidRPr="00513460">
        <w:rPr>
          <w:rFonts w:eastAsia="Calibri"/>
          <w:rtl/>
        </w:rPr>
        <w:t xml:space="preserve"> למקרים של קמצנות ממשית בפועל, שאין מחלוקת בנוגע לחובה להוקיעה. באופן אחר </w:t>
      </w:r>
      <w:r w:rsidR="004B731B">
        <w:rPr>
          <w:rFonts w:eastAsia="Calibri" w:hint="cs"/>
          <w:rtl/>
        </w:rPr>
        <w:t xml:space="preserve">אפשר </w:t>
      </w:r>
      <w:r w:rsidRPr="00513460">
        <w:rPr>
          <w:rFonts w:eastAsia="Calibri"/>
          <w:rtl/>
        </w:rPr>
        <w:t xml:space="preserve">להציע כי התנאים שבמשנה עשויים להתייחס להיבטים שונים של </w:t>
      </w:r>
      <w:r w:rsidR="004B731B">
        <w:rPr>
          <w:rFonts w:eastAsia="Calibri" w:hint="cs"/>
          <w:rtl/>
        </w:rPr>
        <w:t>"</w:t>
      </w:r>
      <w:r w:rsidRPr="00513460">
        <w:rPr>
          <w:rFonts w:eastAsia="Calibri"/>
          <w:rtl/>
        </w:rPr>
        <w:t>שלי – שלי</w:t>
      </w:r>
      <w:r w:rsidR="004B731B">
        <w:rPr>
          <w:rFonts w:eastAsia="Calibri" w:hint="cs"/>
          <w:rtl/>
        </w:rPr>
        <w:t>"</w:t>
      </w:r>
      <w:r w:rsidRPr="00513460">
        <w:rPr>
          <w:rFonts w:eastAsia="Calibri"/>
          <w:rtl/>
        </w:rPr>
        <w:t xml:space="preserve"> ולפיכך אין כלל מחלוקת ביניהם:</w:t>
      </w:r>
      <w:r w:rsidRPr="004B731B">
        <w:rPr>
          <w:rStyle w:val="a5"/>
          <w:rtl/>
        </w:rPr>
        <w:footnoteReference w:id="10"/>
      </w:r>
      <w:r w:rsidRPr="00513460">
        <w:rPr>
          <w:rtl/>
        </w:rPr>
        <w:t xml:space="preserve"> לאור התובנה הקודמת שלנו, </w:t>
      </w:r>
      <w:r w:rsidR="004B731B">
        <w:rPr>
          <w:rFonts w:hint="cs"/>
          <w:rtl/>
        </w:rPr>
        <w:lastRenderedPageBreak/>
        <w:t>ייתכן ש</w:t>
      </w:r>
      <w:r w:rsidRPr="00513460">
        <w:rPr>
          <w:rtl/>
        </w:rPr>
        <w:t xml:space="preserve">הדעה הראשונה מתייחסת לממד של הסטנדרט החוקי, </w:t>
      </w:r>
      <w:r w:rsidR="004B731B">
        <w:rPr>
          <w:rFonts w:hint="cs"/>
          <w:rtl/>
        </w:rPr>
        <w:t>ו</w:t>
      </w:r>
      <w:r w:rsidRPr="00513460">
        <w:rPr>
          <w:rtl/>
        </w:rPr>
        <w:t xml:space="preserve">על פיו </w:t>
      </w:r>
      <w:r w:rsidR="004B731B">
        <w:rPr>
          <w:rFonts w:hint="cs"/>
          <w:rtl/>
        </w:rPr>
        <w:t>"</w:t>
      </w:r>
      <w:r w:rsidRPr="00513460">
        <w:rPr>
          <w:rtl/>
        </w:rPr>
        <w:t>שלי – שלי</w:t>
      </w:r>
      <w:r w:rsidR="004B731B">
        <w:rPr>
          <w:rFonts w:hint="cs"/>
          <w:rtl/>
        </w:rPr>
        <w:t>"</w:t>
      </w:r>
      <w:r w:rsidRPr="00513460">
        <w:rPr>
          <w:rtl/>
        </w:rPr>
        <w:t xml:space="preserve"> היא אמירה ניטרלית. הדעה השנייה, לעומת זאת, עוסקת בסטנדרט המוסרי, </w:t>
      </w:r>
      <w:r w:rsidR="004B731B">
        <w:rPr>
          <w:rFonts w:hint="cs"/>
          <w:rtl/>
        </w:rPr>
        <w:t>ו</w:t>
      </w:r>
      <w:r w:rsidRPr="00513460">
        <w:rPr>
          <w:rtl/>
        </w:rPr>
        <w:t>בו מתגל</w:t>
      </w:r>
      <w:r w:rsidR="004B731B">
        <w:rPr>
          <w:rFonts w:hint="cs"/>
          <w:rtl/>
        </w:rPr>
        <w:t>ית</w:t>
      </w:r>
      <w:r w:rsidRPr="00513460">
        <w:rPr>
          <w:rtl/>
        </w:rPr>
        <w:t xml:space="preserve"> </w:t>
      </w:r>
      <w:r w:rsidR="004B731B">
        <w:rPr>
          <w:rFonts w:hint="cs"/>
          <w:rtl/>
        </w:rPr>
        <w:t>האמירה "</w:t>
      </w:r>
      <w:r w:rsidRPr="00513460">
        <w:rPr>
          <w:rtl/>
        </w:rPr>
        <w:t>שלי – שלי</w:t>
      </w:r>
      <w:r w:rsidR="004B731B">
        <w:rPr>
          <w:rFonts w:hint="cs"/>
          <w:rtl/>
        </w:rPr>
        <w:t>"</w:t>
      </w:r>
      <w:r w:rsidRPr="00513460">
        <w:rPr>
          <w:rtl/>
        </w:rPr>
        <w:t xml:space="preserve"> כמידת סדום מחרידה. ההבדל בין הדעות לא נוגע </w:t>
      </w:r>
      <w:r w:rsidR="004B731B">
        <w:rPr>
          <w:rFonts w:hint="cs"/>
          <w:rtl/>
        </w:rPr>
        <w:t xml:space="preserve">אפוא </w:t>
      </w:r>
      <w:r w:rsidRPr="00513460">
        <w:rPr>
          <w:rtl/>
        </w:rPr>
        <w:t xml:space="preserve">לשיפוט ההשקפה </w:t>
      </w:r>
      <w:r w:rsidR="004B731B">
        <w:rPr>
          <w:rFonts w:hint="cs"/>
          <w:rtl/>
        </w:rPr>
        <w:t>"</w:t>
      </w:r>
      <w:r w:rsidRPr="00513460">
        <w:rPr>
          <w:rtl/>
        </w:rPr>
        <w:t>שלי – שלי</w:t>
      </w:r>
      <w:r w:rsidR="004B731B">
        <w:rPr>
          <w:rFonts w:hint="cs"/>
          <w:rtl/>
        </w:rPr>
        <w:t>"</w:t>
      </w:r>
      <w:r w:rsidRPr="00513460">
        <w:rPr>
          <w:rtl/>
        </w:rPr>
        <w:t>, אלא לעצם הנושא של המשנה עצמה: האם העמדות המפורטות במשנה נוגעות לסטנדרט משפטי או מוסרי?</w:t>
      </w:r>
      <w:r w:rsidRPr="004B731B">
        <w:rPr>
          <w:rStyle w:val="a5"/>
          <w:rtl/>
        </w:rPr>
        <w:footnoteReference w:id="11"/>
      </w:r>
    </w:p>
    <w:p w14:paraId="4E5D0ABA" w14:textId="77777777" w:rsidR="00753255" w:rsidRPr="00513460" w:rsidRDefault="00753255" w:rsidP="007D2965">
      <w:pPr>
        <w:rPr>
          <w:rtl/>
        </w:rPr>
      </w:pPr>
    </w:p>
    <w:p w14:paraId="63FF66A9" w14:textId="77777777" w:rsidR="007D2965" w:rsidRPr="00513460" w:rsidRDefault="007D2965" w:rsidP="00753255">
      <w:pPr>
        <w:pStyle w:val="2"/>
        <w:rPr>
          <w:rFonts w:eastAsia="Calibri"/>
          <w:rtl/>
        </w:rPr>
      </w:pPr>
      <w:r>
        <w:rPr>
          <w:rFonts w:eastAsia="Calibri" w:hint="cs"/>
          <w:rtl/>
        </w:rPr>
        <w:t>סיכום</w:t>
      </w:r>
    </w:p>
    <w:p w14:paraId="581248DF" w14:textId="0F69CB6E" w:rsidR="007D2965" w:rsidRPr="00513460" w:rsidRDefault="007D2965" w:rsidP="007D2965">
      <w:pPr>
        <w:rPr>
          <w:rtl/>
        </w:rPr>
      </w:pPr>
      <w:r w:rsidRPr="00513460">
        <w:rPr>
          <w:rFonts w:eastAsia="Calibri"/>
          <w:rtl/>
        </w:rPr>
        <w:t>בשני השיעורים האחרונים בחנ</w:t>
      </w:r>
      <w:r w:rsidR="004B731B">
        <w:rPr>
          <w:rFonts w:eastAsia="Calibri" w:hint="cs"/>
          <w:rtl/>
        </w:rPr>
        <w:t>ּ</w:t>
      </w:r>
      <w:r w:rsidRPr="00513460">
        <w:rPr>
          <w:rFonts w:eastAsia="Calibri"/>
          <w:rtl/>
        </w:rPr>
        <w:t>ו כלל חשוב בנוגע ליחסים בין אי</w:t>
      </w:r>
      <w:r w:rsidR="00F412CB">
        <w:rPr>
          <w:rFonts w:eastAsia="Calibri" w:hint="cs"/>
          <w:rtl/>
        </w:rPr>
        <w:t>שי</w:t>
      </w:r>
      <w:r w:rsidRPr="00513460">
        <w:rPr>
          <w:rFonts w:eastAsia="Calibri"/>
          <w:rtl/>
        </w:rPr>
        <w:t>ים</w:t>
      </w:r>
      <w:r w:rsidR="004B731B">
        <w:rPr>
          <w:rFonts w:eastAsia="Calibri" w:hint="cs"/>
          <w:rtl/>
        </w:rPr>
        <w:t>,</w:t>
      </w:r>
      <w:r w:rsidRPr="00513460">
        <w:rPr>
          <w:rFonts w:eastAsia="Calibri"/>
          <w:rtl/>
        </w:rPr>
        <w:t xml:space="preserve"> המוזכר </w:t>
      </w:r>
      <w:r w:rsidR="004B731B">
        <w:rPr>
          <w:rFonts w:eastAsia="Calibri" w:hint="cs"/>
          <w:rtl/>
        </w:rPr>
        <w:t xml:space="preserve">בכמה </w:t>
      </w:r>
      <w:r w:rsidRPr="00513460">
        <w:rPr>
          <w:rFonts w:eastAsia="Calibri"/>
          <w:rtl/>
        </w:rPr>
        <w:t xml:space="preserve">הקשרים שונים על ידי הגמרא, על אף שמקורו נותר עמום. </w:t>
      </w:r>
      <w:r w:rsidRPr="00513460">
        <w:rPr>
          <w:rtl/>
        </w:rPr>
        <w:t xml:space="preserve">בדומה למה שראינו בנוגע לנישואי תערובת, יישוב ארץ ישראל ודוגמאות אחרות, גם כאן </w:t>
      </w:r>
      <w:r>
        <w:rPr>
          <w:rFonts w:hint="cs"/>
          <w:rtl/>
        </w:rPr>
        <w:t xml:space="preserve">אפשר להציע הסבר כי </w:t>
      </w:r>
      <w:r w:rsidRPr="00513460">
        <w:rPr>
          <w:rtl/>
        </w:rPr>
        <w:t>התורה שבעל פה מצבי</w:t>
      </w:r>
      <w:r>
        <w:rPr>
          <w:rFonts w:hint="cs"/>
          <w:rtl/>
        </w:rPr>
        <w:t>ע</w:t>
      </w:r>
      <w:r w:rsidRPr="00513460">
        <w:rPr>
          <w:rtl/>
        </w:rPr>
        <w:t xml:space="preserve">ה לעבר ערך הקיים ב'ברית אבות' ומשלבת אותו בתמונה המקיפה של אחריות יהודית. הצעה זו נראית מפתה אף יותר כאשר המונחים </w:t>
      </w:r>
      <w:r w:rsidR="004B731B">
        <w:rPr>
          <w:rFonts w:hint="cs"/>
          <w:rtl/>
        </w:rPr>
        <w:t>ש</w:t>
      </w:r>
      <w:r w:rsidRPr="00513460">
        <w:rPr>
          <w:rtl/>
        </w:rPr>
        <w:t xml:space="preserve">בהם משתמשת הגמרא אכן מפנים בצורה מפורשת כל כך לפרשת וירא! </w:t>
      </w:r>
    </w:p>
    <w:p w14:paraId="508266EE" w14:textId="6CD6E967" w:rsidR="007D2965" w:rsidRPr="00513460" w:rsidRDefault="007D2965" w:rsidP="00386A32">
      <w:pPr>
        <w:rPr>
          <w:rtl/>
        </w:rPr>
      </w:pPr>
      <w:r w:rsidRPr="00513460">
        <w:rPr>
          <w:rFonts w:eastAsia="Calibri"/>
          <w:rtl/>
        </w:rPr>
        <w:t xml:space="preserve">גם אם אנו נוקטים שחז"ל בסופו של דבר קבעו כלל נוקשה בעל תוקף חוקי מוצק </w:t>
      </w:r>
      <w:r w:rsidR="004B731B">
        <w:rPr>
          <w:rFonts w:eastAsia="Calibri" w:hint="cs"/>
          <w:rtl/>
        </w:rPr>
        <w:t xml:space="preserve">כדי </w:t>
      </w:r>
      <w:r w:rsidRPr="00513460">
        <w:rPr>
          <w:rtl/>
        </w:rPr>
        <w:t xml:space="preserve">למשטר מקרים </w:t>
      </w:r>
      <w:r w:rsidR="004B731B">
        <w:rPr>
          <w:rFonts w:hint="cs"/>
          <w:rtl/>
        </w:rPr>
        <w:t>ש</w:t>
      </w:r>
      <w:r w:rsidRPr="00513460">
        <w:rPr>
          <w:rtl/>
        </w:rPr>
        <w:t xml:space="preserve">בהם "זה נהנה וזה לא חסר", הרי שבמקרה כזה ההפניה לסדום היא משמעותית אף יותר. </w:t>
      </w:r>
      <w:r w:rsidR="004B731B">
        <w:rPr>
          <w:rFonts w:hint="cs"/>
          <w:b/>
          <w:bCs/>
          <w:rtl/>
        </w:rPr>
        <w:t xml:space="preserve">קריאת </w:t>
      </w:r>
      <w:r w:rsidRPr="00513460">
        <w:rPr>
          <w:b/>
          <w:bCs/>
          <w:rtl/>
        </w:rPr>
        <w:t>שם שונה לאותו הכלל, הייתה מפספסת משהו יקר שאותו רצו חז"ל להעביר</w:t>
      </w:r>
      <w:r w:rsidRPr="004B731B">
        <w:rPr>
          <w:rtl/>
        </w:rPr>
        <w:t>.</w:t>
      </w:r>
      <w:r w:rsidRPr="00513460">
        <w:rPr>
          <w:rtl/>
        </w:rPr>
        <w:t xml:space="preserve"> דומני כי </w:t>
      </w:r>
      <w:r w:rsidR="004B731B">
        <w:rPr>
          <w:rFonts w:hint="cs"/>
          <w:rtl/>
        </w:rPr>
        <w:t xml:space="preserve">כך </w:t>
      </w:r>
      <w:r w:rsidRPr="00513460">
        <w:rPr>
          <w:rtl/>
        </w:rPr>
        <w:t xml:space="preserve">מדגישים </w:t>
      </w:r>
      <w:r w:rsidR="004B731B">
        <w:rPr>
          <w:rFonts w:hint="cs"/>
          <w:rtl/>
        </w:rPr>
        <w:t xml:space="preserve">חז"ל את העובדה </w:t>
      </w:r>
      <w:r w:rsidRPr="00513460">
        <w:rPr>
          <w:rtl/>
        </w:rPr>
        <w:t>שחוקיהם ותקנותיהם אינם תופס</w:t>
      </w:r>
      <w:r w:rsidR="00257A88">
        <w:rPr>
          <w:rFonts w:hint="cs"/>
          <w:rtl/>
        </w:rPr>
        <w:t>ים</w:t>
      </w:r>
      <w:r w:rsidRPr="00513460">
        <w:rPr>
          <w:rtl/>
        </w:rPr>
        <w:t xml:space="preserve"> את מקומה של ברית אבות אלא בא</w:t>
      </w:r>
      <w:r w:rsidR="00257A88">
        <w:rPr>
          <w:rFonts w:hint="cs"/>
          <w:rtl/>
        </w:rPr>
        <w:t>ים</w:t>
      </w:r>
      <w:r w:rsidRPr="00513460">
        <w:rPr>
          <w:rtl/>
        </w:rPr>
        <w:t xml:space="preserve"> להשלים אותה, תוך שילובה בתוך מערכת הכללים הפורמלית.</w:t>
      </w:r>
    </w:p>
    <w:p w14:paraId="35B3A316" w14:textId="77777777" w:rsidR="007D2965" w:rsidRPr="00513460" w:rsidRDefault="007D2965" w:rsidP="007D2965">
      <w:pPr>
        <w:rPr>
          <w:rtl/>
        </w:rPr>
      </w:pPr>
      <w:r w:rsidRPr="00513460">
        <w:rPr>
          <w:rtl/>
        </w:rPr>
        <w:t>על ידי החדירה התמידית של מידת סדום לשיח ההלכתי, מהמשנה והגמרא עד למשנה תורה ושולחן ערוך, נראה כי חכמינו מזכירים לנו שלוש נקודות מרכזיות:</w:t>
      </w:r>
    </w:p>
    <w:p w14:paraId="478448AD" w14:textId="5AB24590" w:rsidR="007D2965" w:rsidRPr="00513460" w:rsidRDefault="00565CA4" w:rsidP="004B731B">
      <w:pPr>
        <w:ind w:left="720"/>
      </w:pPr>
      <w:r>
        <w:rPr>
          <w:rFonts w:hint="cs"/>
          <w:rtl/>
        </w:rPr>
        <w:t xml:space="preserve">1) </w:t>
      </w:r>
      <w:r w:rsidR="007D2965" w:rsidRPr="00513460">
        <w:rPr>
          <w:rtl/>
        </w:rPr>
        <w:t>הכלל '</w:t>
      </w:r>
      <w:proofErr w:type="spellStart"/>
      <w:r w:rsidR="007D2965" w:rsidRPr="00513460">
        <w:rPr>
          <w:rtl/>
        </w:rPr>
        <w:t>כופין</w:t>
      </w:r>
      <w:proofErr w:type="spellEnd"/>
      <w:r w:rsidR="007D2965" w:rsidRPr="00513460">
        <w:rPr>
          <w:rtl/>
        </w:rPr>
        <w:t xml:space="preserve"> על מידת סדום' יכול לחול בנסיבות נבחרות ובמקרים מסוימים בלבד, אך הוא מייצג מסורת מוסרית רחבה ועמוקה יותר.</w:t>
      </w:r>
    </w:p>
    <w:p w14:paraId="38E4EBD7" w14:textId="5A4ECE1A" w:rsidR="007D2965" w:rsidRPr="00513460" w:rsidRDefault="007C0302" w:rsidP="004B731B">
      <w:pPr>
        <w:ind w:left="720"/>
      </w:pPr>
      <w:r>
        <w:rPr>
          <w:rFonts w:hint="cs"/>
          <w:rtl/>
        </w:rPr>
        <w:t xml:space="preserve">2) </w:t>
      </w:r>
      <w:r w:rsidR="007D2965" w:rsidRPr="00513460">
        <w:rPr>
          <w:rtl/>
        </w:rPr>
        <w:t>'מידת סדום' היא איום מתמשך הדורש התנגדות פעילה, גם אם רק לעיתים רחוקות אנו נאלצים להתמודד עמו בפועל.</w:t>
      </w:r>
    </w:p>
    <w:p w14:paraId="41386C86" w14:textId="75F32FA9" w:rsidR="007D2965" w:rsidRPr="00513460" w:rsidRDefault="00C65208" w:rsidP="004B731B">
      <w:pPr>
        <w:ind w:left="720"/>
        <w:rPr>
          <w:rtl/>
        </w:rPr>
      </w:pPr>
      <w:r>
        <w:rPr>
          <w:rFonts w:hint="cs"/>
          <w:rtl/>
        </w:rPr>
        <w:t xml:space="preserve">3) </w:t>
      </w:r>
      <w:r w:rsidR="007D2965" w:rsidRPr="00513460">
        <w:rPr>
          <w:rtl/>
        </w:rPr>
        <w:t>אנו שואפים לא רק להימנע מהחריגות המוסריות הקיצוניות ביותר שהתקיימו בסדום, אלא להחליף את האתוס הסדומי באתוס של צדקה ומשפט, שאליהם יש לחתור בצורה אגרסיבית ומרחיבה ככל האפשר.</w:t>
      </w:r>
    </w:p>
    <w:p w14:paraId="2CA82D38" w14:textId="51068C86" w:rsidR="007D2965" w:rsidRPr="00513460" w:rsidRDefault="007D2965" w:rsidP="007D2965">
      <w:pPr>
        <w:rPr>
          <w:rtl/>
        </w:rPr>
      </w:pPr>
      <w:r w:rsidRPr="00513460">
        <w:rPr>
          <w:rtl/>
        </w:rPr>
        <w:t>לבסוף, על אף שגישה זו שונה מזו של הרב ליכטנשטיין, אני חושב שהמכנה המשותף שלה</w:t>
      </w:r>
      <w:r w:rsidR="004B731B">
        <w:rPr>
          <w:rFonts w:hint="cs"/>
          <w:rtl/>
        </w:rPr>
        <w:t>ן</w:t>
      </w:r>
      <w:r w:rsidRPr="00513460">
        <w:rPr>
          <w:rtl/>
        </w:rPr>
        <w:t xml:space="preserve"> משמעותי יותר מההבחנות שביניה</w:t>
      </w:r>
      <w:r w:rsidR="004B731B">
        <w:rPr>
          <w:rFonts w:hint="cs"/>
          <w:rtl/>
        </w:rPr>
        <w:t>ן</w:t>
      </w:r>
      <w:r w:rsidRPr="00513460">
        <w:rPr>
          <w:rtl/>
        </w:rPr>
        <w:t xml:space="preserve">. 'לפנים משורת הדין' ו'צדקה ומשפט' הם שני עקרונות המעודדים אתיקה אינטואיטיבית שהפורמליזם ההלכתי הקפדני לא יכול להעמיד. שניהם קוראים לאדם לא רק </w:t>
      </w:r>
      <w:r w:rsidR="00AB3C8F">
        <w:rPr>
          <w:rFonts w:hint="cs"/>
          <w:rtl/>
        </w:rPr>
        <w:t>ל</w:t>
      </w:r>
      <w:r w:rsidRPr="00513460">
        <w:rPr>
          <w:rtl/>
        </w:rPr>
        <w:t xml:space="preserve">ציית לחוק אלא גם </w:t>
      </w:r>
      <w:r w:rsidR="00AB3C8F">
        <w:rPr>
          <w:rFonts w:hint="cs"/>
          <w:rtl/>
        </w:rPr>
        <w:t>לפסוק</w:t>
      </w:r>
      <w:r w:rsidRPr="00513460">
        <w:rPr>
          <w:rtl/>
        </w:rPr>
        <w:t xml:space="preserve">; לעיתים, ובדרגות שונות, הם אף מעודדים אותו להיות חלוץ המחפש דרך או אפילו פורץ דרך. בקצוות הנמוכים יותר </w:t>
      </w:r>
      <w:r w:rsidR="00AB3C8F">
        <w:rPr>
          <w:rFonts w:hint="cs"/>
          <w:rtl/>
        </w:rPr>
        <w:t>י</w:t>
      </w:r>
      <w:r w:rsidRPr="00513460">
        <w:rPr>
          <w:rtl/>
        </w:rPr>
        <w:t xml:space="preserve">יתכנו מקרים שעברו קודיפיקציה הלכתית כך שתוקפם ההלכתי הפך למחייב, אך </w:t>
      </w:r>
      <w:r w:rsidR="00AB3C8F">
        <w:rPr>
          <w:rFonts w:hint="cs"/>
          <w:rtl/>
        </w:rPr>
        <w:t xml:space="preserve">הם </w:t>
      </w:r>
      <w:r w:rsidRPr="00513460">
        <w:rPr>
          <w:rtl/>
        </w:rPr>
        <w:t xml:space="preserve">אינם פוגמים </w:t>
      </w:r>
      <w:r w:rsidR="00AB3C8F">
        <w:rPr>
          <w:rFonts w:hint="cs"/>
          <w:rtl/>
        </w:rPr>
        <w:t>ב</w:t>
      </w:r>
      <w:r w:rsidRPr="00513460">
        <w:rPr>
          <w:rtl/>
        </w:rPr>
        <w:t>מגמה הכללית שיוצרים ערכים אלו</w:t>
      </w:r>
      <w:r w:rsidR="00AB3C8F">
        <w:rPr>
          <w:rFonts w:hint="cs"/>
          <w:rtl/>
        </w:rPr>
        <w:t>,</w:t>
      </w:r>
      <w:r w:rsidRPr="00513460">
        <w:rPr>
          <w:rtl/>
        </w:rPr>
        <w:t xml:space="preserve"> </w:t>
      </w:r>
      <w:r w:rsidR="00AB3C8F">
        <w:rPr>
          <w:rFonts w:hint="cs"/>
          <w:rtl/>
        </w:rPr>
        <w:t xml:space="preserve">מגמה של </w:t>
      </w:r>
      <w:r w:rsidRPr="00513460">
        <w:rPr>
          <w:rtl/>
        </w:rPr>
        <w:t>יוזמה, מעורבות ושאפתנות.</w:t>
      </w:r>
    </w:p>
    <w:p w14:paraId="4ADB7D55" w14:textId="0349DCCE" w:rsidR="007D2965" w:rsidRDefault="007D2965" w:rsidP="007D2965">
      <w:pPr>
        <w:rPr>
          <w:rtl/>
        </w:rPr>
      </w:pPr>
      <w:r w:rsidRPr="00513460">
        <w:rPr>
          <w:rtl/>
        </w:rPr>
        <w:t>במובן מסוים מקור הדין אינו חשוב כאן כמו היעד – חיים של מעורבות ואתגר פעילים, הבנויים על עמוד שדרה הלכתי, אך לעולם לא חנוקים על ידו, במרדף נצחי אחר האידיאל המוסרי.</w:t>
      </w:r>
    </w:p>
    <w:p w14:paraId="6A0B7EFA" w14:textId="77777777" w:rsidR="00D41720" w:rsidRDefault="00D41720" w:rsidP="007D2965">
      <w:pPr>
        <w:rPr>
          <w:rtl/>
        </w:rPr>
      </w:pPr>
    </w:p>
    <w:p w14:paraId="6164045D" w14:textId="77777777" w:rsidR="007D2965" w:rsidRPr="00AA66C2" w:rsidRDefault="007D2965" w:rsidP="00602EA1">
      <w:pPr>
        <w:pStyle w:val="2"/>
        <w:rPr>
          <w:rtl/>
        </w:rPr>
      </w:pPr>
      <w:r w:rsidRPr="00AA66C2">
        <w:rPr>
          <w:rFonts w:hint="cs"/>
          <w:rtl/>
        </w:rPr>
        <w:t>למחשבה נוספת</w:t>
      </w:r>
    </w:p>
    <w:p w14:paraId="55083F7F" w14:textId="50BD9D04" w:rsidR="007D2965" w:rsidRPr="00513460" w:rsidRDefault="007D2965" w:rsidP="007742D9">
      <w:pPr>
        <w:rPr>
          <w:rtl/>
        </w:rPr>
      </w:pPr>
      <w:r w:rsidRPr="00513460">
        <w:rPr>
          <w:rtl/>
        </w:rPr>
        <w:t>במהלך סדרה זו נ</w:t>
      </w:r>
      <w:r>
        <w:rPr>
          <w:rFonts w:hint="cs"/>
          <w:rtl/>
        </w:rPr>
        <w:t>י</w:t>
      </w:r>
      <w:r w:rsidRPr="00513460">
        <w:rPr>
          <w:rtl/>
        </w:rPr>
        <w:t xml:space="preserve">תחנו מקרים </w:t>
      </w:r>
      <w:r>
        <w:rPr>
          <w:rFonts w:hint="cs"/>
          <w:rtl/>
        </w:rPr>
        <w:t>ש</w:t>
      </w:r>
      <w:r w:rsidRPr="00513460">
        <w:rPr>
          <w:rtl/>
        </w:rPr>
        <w:t xml:space="preserve">בהם אנו דנים עבירות באופן חמור יותר מהחומרה המיוחסת להם כאשר מסווגים אותם בצורה החוקית-פורמלית. </w:t>
      </w:r>
      <w:r w:rsidR="00AB3C8F">
        <w:rPr>
          <w:rFonts w:hint="cs"/>
          <w:rtl/>
        </w:rPr>
        <w:t xml:space="preserve">בחיפוש </w:t>
      </w:r>
      <w:r w:rsidRPr="00513460">
        <w:rPr>
          <w:rtl/>
        </w:rPr>
        <w:t xml:space="preserve">אחר בסיס ל'שדרוג' חומרה שכזה, פנינו פעם אחר פעם לכיוון של 'ברית אבות' (ראו בשיעורים ו-ז). </w:t>
      </w:r>
    </w:p>
    <w:p w14:paraId="0E0C66C5" w14:textId="4D393ABF" w:rsidR="007D2965" w:rsidRPr="00513460" w:rsidRDefault="007D2965" w:rsidP="00BC238F">
      <w:pPr>
        <w:rPr>
          <w:rtl/>
        </w:rPr>
      </w:pPr>
      <w:r w:rsidRPr="00513460">
        <w:rPr>
          <w:rtl/>
        </w:rPr>
        <w:t>יש לקחת בחשבון מקרים נוספים המופיעים במשנה תורה</w:t>
      </w:r>
      <w:r w:rsidR="00AB3C8F">
        <w:rPr>
          <w:rFonts w:hint="cs"/>
          <w:rtl/>
        </w:rPr>
        <w:t xml:space="preserve"> </w:t>
      </w:r>
      <w:r w:rsidRPr="00513460">
        <w:rPr>
          <w:rtl/>
        </w:rPr>
        <w:t>לרמב"ם. בשיעור זה הזכרנו את עניין הרכילות (הלכות דעות ז, א-ג) וקניית סחורות גנובות (הלכות גניבה ה, א). בהקשרים אלו הצענו כי ההשלכות של עבירות אלו עשוי</w:t>
      </w:r>
      <w:r w:rsidR="00B52F85">
        <w:rPr>
          <w:rFonts w:hint="cs"/>
          <w:rtl/>
        </w:rPr>
        <w:t>ות</w:t>
      </w:r>
      <w:r w:rsidRPr="00513460">
        <w:rPr>
          <w:rtl/>
        </w:rPr>
        <w:t xml:space="preserve"> להסביר את ההתייחסות הקשה אליהם מצד המערכת הלכתית, חרף העובדה שכל מעשה שכזה בנפרד איננו מחייב עונש כלל.</w:t>
      </w:r>
      <w:r w:rsidRPr="00AB3C8F">
        <w:rPr>
          <w:rStyle w:val="a5"/>
          <w:rtl/>
        </w:rPr>
        <w:footnoteReference w:id="12"/>
      </w:r>
      <w:r w:rsidRPr="00513460">
        <w:rPr>
          <w:rtl/>
        </w:rPr>
        <w:t xml:space="preserve"> </w:t>
      </w:r>
    </w:p>
    <w:p w14:paraId="068F068D" w14:textId="7284DC89" w:rsidR="007D2965" w:rsidRDefault="007D2965" w:rsidP="009541E9">
      <w:pPr>
        <w:rPr>
          <w:rtl/>
        </w:rPr>
      </w:pPr>
      <w:r w:rsidRPr="00513460">
        <w:rPr>
          <w:rtl/>
        </w:rPr>
        <w:t xml:space="preserve">הרמב"ם </w:t>
      </w:r>
      <w:r>
        <w:rPr>
          <w:rFonts w:hint="cs"/>
          <w:rtl/>
        </w:rPr>
        <w:t xml:space="preserve">נוקט עמדה דומה </w:t>
      </w:r>
      <w:r w:rsidRPr="00513460">
        <w:rPr>
          <w:rtl/>
        </w:rPr>
        <w:t>– בעקבות חז"ל – כא</w:t>
      </w:r>
      <w:r w:rsidR="00AB3C8F">
        <w:rPr>
          <w:rFonts w:hint="cs"/>
          <w:rtl/>
        </w:rPr>
        <w:t>ש</w:t>
      </w:r>
      <w:r w:rsidRPr="00513460">
        <w:rPr>
          <w:rtl/>
        </w:rPr>
        <w:t>ר הוא עוסק במלבין פני חברו ברבים (הלכות דעות ו, ח והלכות חובל ומזיק ג, ז) ובמבזה תלמידי חכמים (הלכות תלמוד תורה ו, יא); בסגנון מעט שונה</w:t>
      </w:r>
      <w:r w:rsidR="00AB3C8F">
        <w:rPr>
          <w:rFonts w:hint="cs"/>
          <w:rtl/>
        </w:rPr>
        <w:t>,</w:t>
      </w:r>
      <w:r w:rsidRPr="00513460">
        <w:rPr>
          <w:rtl/>
        </w:rPr>
        <w:t xml:space="preserve"> ראו הלכות דעות (ז, ז-ח) והלכות תשובה (ד, א). יש לציין כי כמעט כל המקומות הללו עוסקים בעבירות שבין אדם לחברו. בכל אחד ממקרים אלו אנו יכולים לשאול: מה </w:t>
      </w:r>
      <w:r w:rsidRPr="00513460">
        <w:rPr>
          <w:rtl/>
        </w:rPr>
        <w:lastRenderedPageBreak/>
        <w:t>מצדיק את קביעתו של הרמב"ם? האם היא נובעת מההשלכות הרחבות יותר של עבירה מסוימת, האם יש לתלות אותה בניגודה לערכי ה'צדקה ומשפט' המסתעפים מברית אבות, או שמא קיים בכלל גורם אחר?</w:t>
      </w:r>
      <w:r w:rsidRPr="00AB3C8F">
        <w:rPr>
          <w:rStyle w:val="a5"/>
          <w:rtl/>
        </w:rPr>
        <w:footnoteReference w:id="13"/>
      </w:r>
    </w:p>
    <w:p w14:paraId="7F710FE5" w14:textId="77777777" w:rsidR="00AB3C8F" w:rsidRPr="00513460" w:rsidRDefault="00AB3C8F" w:rsidP="009541E9">
      <w:pPr>
        <w:rPr>
          <w:rtl/>
        </w:rPr>
      </w:pPr>
    </w:p>
    <w:p w14:paraId="34D9D0BC" w14:textId="065BCE6E" w:rsidR="007D2965" w:rsidRPr="00513460" w:rsidRDefault="00AB3C8F" w:rsidP="007D2965">
      <w:pPr>
        <w:spacing w:after="0" w:line="240" w:lineRule="auto"/>
        <w:rPr>
          <w:rtl/>
        </w:rPr>
      </w:pPr>
      <w:r w:rsidRPr="00AB3C8F">
        <w:rPr>
          <w:rtl/>
        </w:rPr>
        <w:t>שאלות או הערות?</w:t>
      </w:r>
      <w:r>
        <w:rPr>
          <w:rFonts w:hint="cs"/>
          <w:rtl/>
        </w:rPr>
        <w:t xml:space="preserve"> </w:t>
      </w:r>
      <w:r w:rsidR="007D2965" w:rsidRPr="00513460">
        <w:rPr>
          <w:rtl/>
        </w:rPr>
        <w:t xml:space="preserve">אנו שלחו את תגובתכם ישירות למייל: </w:t>
      </w:r>
      <w:hyperlink r:id="rId8" w:history="1">
        <w:r w:rsidR="007D2965" w:rsidRPr="00513460">
          <w:rPr>
            <w:rStyle w:val="Hyperlink"/>
          </w:rPr>
          <w:t>judahlgoldberg@gmail.com</w:t>
        </w:r>
      </w:hyperlink>
    </w:p>
    <w:p w14:paraId="23297E9C" w14:textId="77777777" w:rsidR="007D2965" w:rsidRPr="00513460" w:rsidRDefault="007D2965" w:rsidP="007D2965">
      <w:pPr>
        <w:spacing w:after="0" w:line="240" w:lineRule="auto"/>
        <w:rPr>
          <w:rtl/>
        </w:rPr>
      </w:pPr>
    </w:p>
    <w:p w14:paraId="450E1090" w14:textId="297CD61F" w:rsidR="004F64BE" w:rsidRPr="003E126A" w:rsidRDefault="004F64BE" w:rsidP="005865D6"/>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43471B" w14:paraId="3A07EE0E" w14:textId="77777777" w:rsidTr="0043471B">
        <w:trPr>
          <w:cantSplit/>
        </w:trPr>
        <w:tc>
          <w:tcPr>
            <w:tcW w:w="283" w:type="dxa"/>
            <w:hideMark/>
          </w:tcPr>
          <w:p w14:paraId="66FD0585" w14:textId="77777777" w:rsidR="0043471B" w:rsidRDefault="0043471B">
            <w:pPr>
              <w:pStyle w:val="ab"/>
              <w:bidi w:val="0"/>
            </w:pPr>
            <w:r>
              <w:rPr>
                <w:rtl/>
              </w:rPr>
              <w:t>*</w:t>
            </w:r>
          </w:p>
        </w:tc>
        <w:tc>
          <w:tcPr>
            <w:tcW w:w="4111" w:type="dxa"/>
            <w:hideMark/>
          </w:tcPr>
          <w:p w14:paraId="13C9A692" w14:textId="77777777" w:rsidR="0043471B" w:rsidRDefault="0043471B">
            <w:pPr>
              <w:pStyle w:val="ab"/>
            </w:pPr>
            <w:r>
              <w:rPr>
                <w:rtl/>
              </w:rPr>
              <w:t>**********************************************************</w:t>
            </w:r>
          </w:p>
        </w:tc>
      </w:tr>
      <w:tr w:rsidR="0043471B" w14:paraId="45D9EDD8" w14:textId="77777777" w:rsidTr="0043471B">
        <w:trPr>
          <w:cantSplit/>
        </w:trPr>
        <w:tc>
          <w:tcPr>
            <w:tcW w:w="283" w:type="dxa"/>
            <w:hideMark/>
          </w:tcPr>
          <w:p w14:paraId="5D445FB5" w14:textId="77777777" w:rsidR="0043471B" w:rsidRDefault="0043471B">
            <w:pPr>
              <w:pStyle w:val="ab"/>
            </w:pPr>
            <w:r>
              <w:rPr>
                <w:rtl/>
              </w:rPr>
              <w:t xml:space="preserve">* * * * * * * </w:t>
            </w:r>
          </w:p>
        </w:tc>
        <w:tc>
          <w:tcPr>
            <w:tcW w:w="4111" w:type="dxa"/>
          </w:tcPr>
          <w:p w14:paraId="23188DAE" w14:textId="68D0E963" w:rsidR="0043471B" w:rsidRDefault="0043471B">
            <w:pPr>
              <w:pStyle w:val="ab"/>
            </w:pPr>
            <w:r>
              <w:rPr>
                <w:rtl/>
              </w:rPr>
              <w:t xml:space="preserve">כל הזכויות שמורות לישיבת הר עציון ולרב </w:t>
            </w:r>
            <w:r w:rsidR="003A4FE0">
              <w:rPr>
                <w:rFonts w:hint="cs"/>
                <w:rtl/>
              </w:rPr>
              <w:t>יהודה לב גולדברג</w:t>
            </w:r>
          </w:p>
          <w:p w14:paraId="00000769" w14:textId="51164567" w:rsidR="0043471B" w:rsidRDefault="0043471B">
            <w:pPr>
              <w:pStyle w:val="ab"/>
              <w:rPr>
                <w:rtl/>
              </w:rPr>
            </w:pPr>
            <w:r>
              <w:rPr>
                <w:rtl/>
              </w:rPr>
              <w:t>תרגום:</w:t>
            </w:r>
            <w:r w:rsidR="007A202E">
              <w:rPr>
                <w:rFonts w:hint="cs"/>
                <w:rtl/>
              </w:rPr>
              <w:t xml:space="preserve"> </w:t>
            </w:r>
            <w:r w:rsidR="00333186">
              <w:rPr>
                <w:rFonts w:hint="cs"/>
                <w:rtl/>
              </w:rPr>
              <w:t>אסף בראון,</w:t>
            </w:r>
            <w:r>
              <w:rPr>
                <w:rFonts w:hint="cs"/>
                <w:rtl/>
              </w:rPr>
              <w:t xml:space="preserve"> תש"פ</w:t>
            </w:r>
          </w:p>
          <w:p w14:paraId="1C28E74B" w14:textId="4DA89942" w:rsidR="0043471B" w:rsidRDefault="0043471B">
            <w:pPr>
              <w:pStyle w:val="ab"/>
              <w:rPr>
                <w:rtl/>
              </w:rPr>
            </w:pPr>
            <w:r>
              <w:rPr>
                <w:rtl/>
              </w:rPr>
              <w:t>עורך:</w:t>
            </w:r>
            <w:r w:rsidR="00333186">
              <w:rPr>
                <w:rFonts w:hint="cs"/>
                <w:rtl/>
              </w:rPr>
              <w:t xml:space="preserve"> בנימין פרנקל</w:t>
            </w:r>
            <w:r>
              <w:rPr>
                <w:rtl/>
              </w:rPr>
              <w:t>, תש</w:t>
            </w:r>
            <w:r>
              <w:rPr>
                <w:rFonts w:hint="cs"/>
                <w:rtl/>
              </w:rPr>
              <w:t>"פ</w:t>
            </w:r>
          </w:p>
          <w:p w14:paraId="683DD8CD" w14:textId="77777777" w:rsidR="0043471B" w:rsidRDefault="0043471B">
            <w:pPr>
              <w:pStyle w:val="ab"/>
              <w:rPr>
                <w:rtl/>
              </w:rPr>
            </w:pPr>
            <w:r>
              <w:rPr>
                <w:rtl/>
              </w:rPr>
              <w:t>*******************************************************</w:t>
            </w:r>
          </w:p>
          <w:p w14:paraId="27B30CB6" w14:textId="77777777" w:rsidR="0043471B" w:rsidRDefault="0043471B">
            <w:pPr>
              <w:pStyle w:val="ab"/>
              <w:rPr>
                <w:rtl/>
              </w:rPr>
            </w:pPr>
            <w:r>
              <w:rPr>
                <w:rtl/>
              </w:rPr>
              <w:t xml:space="preserve">בית המדרש הוירטואלי </w:t>
            </w:r>
          </w:p>
          <w:p w14:paraId="1AFB6C99" w14:textId="77777777" w:rsidR="0043471B" w:rsidRDefault="0043471B">
            <w:pPr>
              <w:pStyle w:val="ab"/>
              <w:rPr>
                <w:rtl/>
              </w:rPr>
            </w:pPr>
            <w:r>
              <w:rPr>
                <w:rtl/>
              </w:rPr>
              <w:t xml:space="preserve">מיסודו של </w:t>
            </w:r>
          </w:p>
          <w:p w14:paraId="3A81F230" w14:textId="77777777" w:rsidR="0043471B" w:rsidRDefault="0043471B">
            <w:pPr>
              <w:pStyle w:val="ab"/>
              <w:rPr>
                <w:rtl/>
              </w:rPr>
            </w:pPr>
            <w:r>
              <w:t>The Israel Koschitzky Virtual Beit Midrash</w:t>
            </w:r>
          </w:p>
          <w:p w14:paraId="2634F5A7" w14:textId="3438CA7B" w:rsidR="0043471B" w:rsidRDefault="0043471B">
            <w:pPr>
              <w:pStyle w:val="ab"/>
              <w:rPr>
                <w:noProof w:val="0"/>
                <w:rtl/>
              </w:rPr>
            </w:pPr>
            <w:r>
              <w:rPr>
                <w:noProof w:val="0"/>
                <w:rtl/>
              </w:rPr>
              <w:t>האתר בעברית:</w:t>
            </w:r>
            <w:r>
              <w:rPr>
                <w:noProof w:val="0"/>
                <w:rtl/>
              </w:rPr>
              <w:tab/>
            </w:r>
            <w:hyperlink r:id="rId9" w:history="1">
              <w:r w:rsidR="005A7CEB">
                <w:t xml:space="preserve"> </w:t>
              </w:r>
              <w:hyperlink r:id="rId10" w:history="1">
                <w:r w:rsidR="005A7CEB" w:rsidRPr="00FD7DC4">
                  <w:rPr>
                    <w:rStyle w:val="Hyperlink"/>
                  </w:rPr>
                  <w:t>http://www.etzion.org.il</w:t>
                </w:r>
              </w:hyperlink>
              <w:r>
                <w:rPr>
                  <w:rStyle w:val="Hyperlink"/>
                </w:rPr>
                <w:t>l</w:t>
              </w:r>
            </w:hyperlink>
          </w:p>
          <w:p w14:paraId="58C0D5D1" w14:textId="77777777" w:rsidR="0043471B" w:rsidRDefault="0043471B">
            <w:pPr>
              <w:pStyle w:val="ab"/>
              <w:rPr>
                <w:noProof w:val="0"/>
                <w:rtl/>
              </w:rPr>
            </w:pPr>
            <w:r>
              <w:rPr>
                <w:noProof w:val="0"/>
                <w:rtl/>
              </w:rPr>
              <w:t>האתר באנגלית:</w:t>
            </w:r>
            <w:r>
              <w:rPr>
                <w:noProof w:val="0"/>
                <w:rtl/>
              </w:rPr>
              <w:tab/>
            </w:r>
            <w:hyperlink r:id="rId11" w:history="1">
              <w:r>
                <w:rPr>
                  <w:rStyle w:val="Hyperlink"/>
                </w:rPr>
                <w:t>http://www.vbm-torah.org</w:t>
              </w:r>
            </w:hyperlink>
          </w:p>
          <w:p w14:paraId="78D79E12" w14:textId="77777777" w:rsidR="0043471B" w:rsidRDefault="0043471B">
            <w:pPr>
              <w:pStyle w:val="ab"/>
              <w:rPr>
                <w:rtl/>
              </w:rPr>
            </w:pPr>
          </w:p>
          <w:p w14:paraId="02D80F01" w14:textId="77777777" w:rsidR="0043471B" w:rsidRDefault="0043471B">
            <w:pPr>
              <w:pStyle w:val="ab"/>
              <w:rPr>
                <w:rtl/>
              </w:rPr>
            </w:pPr>
            <w:r>
              <w:rPr>
                <w:rtl/>
              </w:rPr>
              <w:t xml:space="preserve">משרדי בית המדרש הוירטואלי: 02-9937300 שלוחה 5 </w:t>
            </w:r>
          </w:p>
          <w:p w14:paraId="35C45395" w14:textId="77777777" w:rsidR="0043471B" w:rsidRDefault="0043471B">
            <w:pPr>
              <w:pStyle w:val="ab"/>
              <w:rPr>
                <w:noProof w:val="0"/>
                <w:rtl/>
              </w:rPr>
            </w:pPr>
            <w:r>
              <w:rPr>
                <w:noProof w:val="0"/>
                <w:rtl/>
              </w:rPr>
              <w:t xml:space="preserve">דוא"ל: </w:t>
            </w:r>
            <w:hyperlink r:id="rId12" w:history="1">
              <w:r>
                <w:rPr>
                  <w:rStyle w:val="Hyperlink"/>
                </w:rPr>
                <w:t>office@etzion.org.il</w:t>
              </w:r>
            </w:hyperlink>
          </w:p>
          <w:p w14:paraId="47C75A24" w14:textId="77777777" w:rsidR="0043471B" w:rsidRDefault="0043471B">
            <w:pPr>
              <w:pStyle w:val="ab"/>
            </w:pPr>
          </w:p>
        </w:tc>
      </w:tr>
    </w:tbl>
    <w:p w14:paraId="189912E7" w14:textId="77777777" w:rsidR="00144C37" w:rsidRDefault="00144C37" w:rsidP="00DF5F22">
      <w:pPr>
        <w:pStyle w:val="a9"/>
        <w:rPr>
          <w:rtl/>
        </w:rPr>
      </w:pPr>
    </w:p>
    <w:sectPr w:rsidR="00144C37" w:rsidSect="006F016B">
      <w:headerReference w:type="default" r:id="rId13"/>
      <w:headerReference w:type="first" r:id="rId14"/>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5AED5" w14:textId="77777777" w:rsidR="00795661" w:rsidRDefault="00795661" w:rsidP="00405665">
      <w:r>
        <w:separator/>
      </w:r>
    </w:p>
  </w:endnote>
  <w:endnote w:type="continuationSeparator" w:id="0">
    <w:p w14:paraId="63816C42" w14:textId="77777777" w:rsidR="00795661" w:rsidRDefault="00795661"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57E77" w14:textId="77777777" w:rsidR="00795661" w:rsidRDefault="00795661" w:rsidP="00405665">
      <w:r>
        <w:separator/>
      </w:r>
    </w:p>
  </w:footnote>
  <w:footnote w:type="continuationSeparator" w:id="0">
    <w:p w14:paraId="4B889D86" w14:textId="77777777" w:rsidR="00795661" w:rsidRDefault="00795661" w:rsidP="00405665">
      <w:r>
        <w:continuationSeparator/>
      </w:r>
    </w:p>
  </w:footnote>
  <w:footnote w:id="1">
    <w:p w14:paraId="755D2858" w14:textId="77777777" w:rsidR="00FE3099" w:rsidRDefault="00FE3099" w:rsidP="00FE3099">
      <w:pPr>
        <w:pStyle w:val="a3"/>
      </w:pPr>
      <w:r>
        <w:rPr>
          <w:rStyle w:val="a5"/>
          <w:rFonts w:eastAsia="Narkisim"/>
        </w:rPr>
        <w:footnoteRef/>
      </w:r>
      <w:r>
        <w:rPr>
          <w:rtl/>
        </w:rPr>
        <w:t xml:space="preserve"> </w:t>
      </w:r>
      <w:r>
        <w:rPr>
          <w:rFonts w:hint="cs"/>
          <w:rtl/>
        </w:rPr>
        <w:t>ראו בסמ"ק מצוה מט.</w:t>
      </w:r>
    </w:p>
  </w:footnote>
  <w:footnote w:id="2">
    <w:p w14:paraId="6AADEBFF" w14:textId="00A1777E" w:rsidR="00CD1A6F" w:rsidRDefault="00CD1A6F">
      <w:pPr>
        <w:pStyle w:val="a3"/>
      </w:pPr>
      <w:r>
        <w:rPr>
          <w:rStyle w:val="a5"/>
          <w:rFonts w:eastAsia="Narkisim"/>
        </w:rPr>
        <w:footnoteRef/>
      </w:r>
      <w:r>
        <w:rPr>
          <w:rtl/>
        </w:rPr>
        <w:t xml:space="preserve"> </w:t>
      </w:r>
      <w:r>
        <w:rPr>
          <w:rFonts w:hint="cs"/>
          <w:rtl/>
        </w:rPr>
        <w:t xml:space="preserve">ראו גם פירושו של הרב </w:t>
      </w:r>
      <w:r w:rsidRPr="006A0D01">
        <w:rPr>
          <w:rtl/>
        </w:rPr>
        <w:t xml:space="preserve">מתתיהו </w:t>
      </w:r>
      <w:proofErr w:type="spellStart"/>
      <w:r w:rsidRPr="006A0D01">
        <w:rPr>
          <w:rtl/>
        </w:rPr>
        <w:t>היצהרי</w:t>
      </w:r>
      <w:proofErr w:type="spellEnd"/>
      <w:r>
        <w:rPr>
          <w:rFonts w:hint="cs"/>
          <w:rtl/>
        </w:rPr>
        <w:t xml:space="preserve"> לאבות ה', י. </w:t>
      </w:r>
      <w:r w:rsidRPr="006634E4">
        <w:rPr>
          <w:rtl/>
        </w:rPr>
        <w:t>המהר"ל מציין את שני סוגי הנזקים, אם כי הוא נותן הסבר מטאפיזי</w:t>
      </w:r>
      <w:r>
        <w:rPr>
          <w:rFonts w:hint="cs"/>
          <w:rtl/>
        </w:rPr>
        <w:t>,</w:t>
      </w:r>
      <w:r w:rsidRPr="006634E4">
        <w:rPr>
          <w:rtl/>
        </w:rPr>
        <w:t xml:space="preserve"> ולא סוציולוגי, </w:t>
      </w:r>
      <w:r>
        <w:rPr>
          <w:rFonts w:hint="cs"/>
          <w:rtl/>
        </w:rPr>
        <w:t>ל</w:t>
      </w:r>
      <w:r w:rsidRPr="006634E4">
        <w:rPr>
          <w:rtl/>
        </w:rPr>
        <w:t>הרס החברתי ש</w:t>
      </w:r>
      <w:r>
        <w:rPr>
          <w:rFonts w:hint="cs"/>
          <w:rtl/>
        </w:rPr>
        <w:t xml:space="preserve">מידת </w:t>
      </w:r>
      <w:r w:rsidRPr="006634E4">
        <w:rPr>
          <w:rtl/>
        </w:rPr>
        <w:t>סדום יכול</w:t>
      </w:r>
      <w:r>
        <w:rPr>
          <w:rFonts w:hint="cs"/>
          <w:rtl/>
        </w:rPr>
        <w:t>ה</w:t>
      </w:r>
      <w:r w:rsidRPr="006634E4">
        <w:rPr>
          <w:rtl/>
        </w:rPr>
        <w:t xml:space="preserve"> לגרום</w:t>
      </w:r>
      <w:r>
        <w:rPr>
          <w:rFonts w:hint="cs"/>
          <w:rtl/>
        </w:rPr>
        <w:t xml:space="preserve"> (</w:t>
      </w:r>
      <w:r>
        <w:rPr>
          <w:rtl/>
        </w:rPr>
        <w:t>נתיבות עולם, נתיב גמילות</w:t>
      </w:r>
      <w:r>
        <w:rPr>
          <w:rFonts w:hint="cs"/>
          <w:rtl/>
        </w:rPr>
        <w:t xml:space="preserve"> </w:t>
      </w:r>
      <w:r>
        <w:rPr>
          <w:rtl/>
        </w:rPr>
        <w:t>חסדים, פרק ה</w:t>
      </w:r>
      <w:r>
        <w:rPr>
          <w:rFonts w:hint="cs"/>
          <w:rtl/>
        </w:rPr>
        <w:t>).</w:t>
      </w:r>
    </w:p>
  </w:footnote>
  <w:footnote w:id="3">
    <w:p w14:paraId="0D47CC69" w14:textId="4DD2CB00" w:rsidR="007D2965" w:rsidRPr="005F2A65" w:rsidRDefault="007D2965" w:rsidP="00215B8C">
      <w:pPr>
        <w:pStyle w:val="a3"/>
        <w:rPr>
          <w:rtl/>
        </w:rPr>
      </w:pPr>
      <w:r>
        <w:rPr>
          <w:rStyle w:val="a5"/>
          <w:rFonts w:eastAsia="Narkisim"/>
        </w:rPr>
        <w:footnoteRef/>
      </w:r>
      <w:r>
        <w:t xml:space="preserve"> </w:t>
      </w:r>
      <w:r>
        <w:rPr>
          <w:rFonts w:hint="cs"/>
          <w:rtl/>
        </w:rPr>
        <w:t xml:space="preserve">בהקשר זה ראו גם את לשון </w:t>
      </w:r>
      <w:proofErr w:type="spellStart"/>
      <w:r>
        <w:rPr>
          <w:rFonts w:hint="cs"/>
          <w:rtl/>
        </w:rPr>
        <w:t>הרשב"ש</w:t>
      </w:r>
      <w:proofErr w:type="spellEnd"/>
      <w:r>
        <w:rPr>
          <w:rFonts w:hint="cs"/>
          <w:rtl/>
        </w:rPr>
        <w:t>: "</w:t>
      </w:r>
      <w:r w:rsidRPr="00F57341">
        <w:rPr>
          <w:rtl/>
        </w:rPr>
        <w:t xml:space="preserve">לפי שאנחנו קהל עדת ישראל אנו גומלי חסדים ואין אנחנו </w:t>
      </w:r>
      <w:proofErr w:type="spellStart"/>
      <w:r w:rsidRPr="00F57341">
        <w:rPr>
          <w:rtl/>
        </w:rPr>
        <w:t>כמדת</w:t>
      </w:r>
      <w:proofErr w:type="spellEnd"/>
      <w:r w:rsidRPr="00F57341">
        <w:rPr>
          <w:rtl/>
        </w:rPr>
        <w:t xml:space="preserve"> סדום קפדנים, וכל דבר שזה נהנה וזה אינו חסר, כל מי שמקפיד בו הוא </w:t>
      </w:r>
      <w:proofErr w:type="spellStart"/>
      <w:r w:rsidRPr="00F57341">
        <w:rPr>
          <w:rtl/>
        </w:rPr>
        <w:t>ממדת</w:t>
      </w:r>
      <w:proofErr w:type="spellEnd"/>
      <w:r w:rsidRPr="00F57341">
        <w:rPr>
          <w:rtl/>
        </w:rPr>
        <w:t xml:space="preserve"> סדום, וראוי עלינו שלא להקפיד בזה</w:t>
      </w:r>
      <w:r>
        <w:rPr>
          <w:rFonts w:hint="cs"/>
          <w:rtl/>
        </w:rPr>
        <w:t>" (</w:t>
      </w:r>
      <w:r w:rsidRPr="00F57341">
        <w:rPr>
          <w:rtl/>
        </w:rPr>
        <w:t xml:space="preserve">שו"ת </w:t>
      </w:r>
      <w:proofErr w:type="spellStart"/>
      <w:r w:rsidRPr="00F57341">
        <w:rPr>
          <w:rtl/>
        </w:rPr>
        <w:t>הרשב"ש</w:t>
      </w:r>
      <w:proofErr w:type="spellEnd"/>
      <w:r w:rsidRPr="00F57341">
        <w:rPr>
          <w:rtl/>
        </w:rPr>
        <w:t xml:space="preserve"> סימן </w:t>
      </w:r>
      <w:proofErr w:type="spellStart"/>
      <w:r w:rsidRPr="00F57341">
        <w:rPr>
          <w:rtl/>
        </w:rPr>
        <w:t>סז</w:t>
      </w:r>
      <w:proofErr w:type="spellEnd"/>
      <w:r>
        <w:rPr>
          <w:rFonts w:hint="cs"/>
          <w:rtl/>
        </w:rPr>
        <w:t>)</w:t>
      </w:r>
      <w:r w:rsidRPr="00F57341">
        <w:rPr>
          <w:rtl/>
        </w:rPr>
        <w:t>.</w:t>
      </w:r>
    </w:p>
  </w:footnote>
  <w:footnote w:id="4">
    <w:p w14:paraId="12EAD59B" w14:textId="557860A0" w:rsidR="00CD1A6F" w:rsidRDefault="00CD1A6F">
      <w:pPr>
        <w:pStyle w:val="a3"/>
      </w:pPr>
      <w:r>
        <w:rPr>
          <w:rStyle w:val="a5"/>
          <w:rFonts w:eastAsia="Narkisim"/>
        </w:rPr>
        <w:footnoteRef/>
      </w:r>
      <w:r>
        <w:rPr>
          <w:rtl/>
        </w:rPr>
        <w:t xml:space="preserve"> </w:t>
      </w:r>
      <w:r w:rsidRPr="008F1476">
        <w:rPr>
          <w:rtl/>
        </w:rPr>
        <w:t>במקור התלמודי להצהרה אחרונה זו</w:t>
      </w:r>
      <w:r>
        <w:rPr>
          <w:rFonts w:hint="cs"/>
          <w:rtl/>
        </w:rPr>
        <w:t>,</w:t>
      </w:r>
      <w:r w:rsidRPr="008F1476">
        <w:rPr>
          <w:rtl/>
        </w:rPr>
        <w:t xml:space="preserve"> </w:t>
      </w:r>
      <w:r>
        <w:rPr>
          <w:rFonts w:hint="cs"/>
          <w:rtl/>
        </w:rPr>
        <w:t>ה</w:t>
      </w:r>
      <w:r w:rsidRPr="008F1476">
        <w:rPr>
          <w:rtl/>
        </w:rPr>
        <w:t xml:space="preserve">הוכחה </w:t>
      </w:r>
      <w:r>
        <w:rPr>
          <w:rFonts w:hint="cs"/>
          <w:rtl/>
        </w:rPr>
        <w:t>למידת ה</w:t>
      </w:r>
      <w:r w:rsidRPr="008F1476">
        <w:rPr>
          <w:rtl/>
        </w:rPr>
        <w:t xml:space="preserve">חסד </w:t>
      </w:r>
      <w:r>
        <w:rPr>
          <w:rFonts w:hint="cs"/>
          <w:rtl/>
        </w:rPr>
        <w:t>ה</w:t>
      </w:r>
      <w:r w:rsidRPr="008F1476">
        <w:rPr>
          <w:rtl/>
        </w:rPr>
        <w:t>יהודי</w:t>
      </w:r>
      <w:r>
        <w:rPr>
          <w:rFonts w:hint="cs"/>
          <w:rtl/>
        </w:rPr>
        <w:t xml:space="preserve">ת היא מבראשית י"ח, </w:t>
      </w:r>
      <w:proofErr w:type="spellStart"/>
      <w:r>
        <w:rPr>
          <w:rFonts w:hint="cs"/>
          <w:rtl/>
        </w:rPr>
        <w:t>יט</w:t>
      </w:r>
      <w:proofErr w:type="spellEnd"/>
      <w:r>
        <w:rPr>
          <w:rFonts w:hint="cs"/>
          <w:rtl/>
        </w:rPr>
        <w:t xml:space="preserve"> (יבמות עט ע"א).</w:t>
      </w:r>
    </w:p>
  </w:footnote>
  <w:footnote w:id="5">
    <w:p w14:paraId="519A712A" w14:textId="42AB2173" w:rsidR="007D2965" w:rsidRDefault="007D2965" w:rsidP="007D2965">
      <w:pPr>
        <w:pStyle w:val="a3"/>
      </w:pPr>
      <w:r>
        <w:rPr>
          <w:rStyle w:val="a5"/>
          <w:rFonts w:eastAsia="Narkisim"/>
        </w:rPr>
        <w:footnoteRef/>
      </w:r>
      <w:r>
        <w:rPr>
          <w:rtl/>
        </w:rPr>
        <w:t xml:space="preserve"> </w:t>
      </w:r>
      <w:r>
        <w:rPr>
          <w:rFonts w:hint="cs"/>
          <w:rtl/>
        </w:rPr>
        <w:t>ראו בראשית רבה (ל, א).</w:t>
      </w:r>
    </w:p>
  </w:footnote>
  <w:footnote w:id="6">
    <w:p w14:paraId="2CF4316D" w14:textId="36E7ED60" w:rsidR="007D2965" w:rsidRPr="00540588" w:rsidRDefault="007D2965" w:rsidP="007D2965">
      <w:pPr>
        <w:pStyle w:val="a3"/>
      </w:pPr>
      <w:r>
        <w:rPr>
          <w:rStyle w:val="a5"/>
          <w:rFonts w:eastAsia="Narkisim"/>
        </w:rPr>
        <w:footnoteRef/>
      </w:r>
      <w:r>
        <w:rPr>
          <w:rtl/>
        </w:rPr>
        <w:t xml:space="preserve"> </w:t>
      </w:r>
      <w:r w:rsidR="003E4ED1">
        <w:rPr>
          <w:rFonts w:hint="cs"/>
          <w:rtl/>
        </w:rPr>
        <w:t>יעוין גם ב</w:t>
      </w:r>
      <w:r>
        <w:rPr>
          <w:rFonts w:hint="cs"/>
          <w:rtl/>
        </w:rPr>
        <w:t>דברי רבינו יונה. בדומה לכך, ראו קידושין נט ע"א</w:t>
      </w:r>
      <w:r w:rsidR="003E4ED1">
        <w:rPr>
          <w:rFonts w:hint="cs"/>
          <w:rtl/>
        </w:rPr>
        <w:t>,</w:t>
      </w:r>
      <w:r>
        <w:rPr>
          <w:rFonts w:hint="cs"/>
          <w:rtl/>
        </w:rPr>
        <w:t xml:space="preserve"> ו</w:t>
      </w:r>
      <w:r w:rsidR="003E4ED1">
        <w:rPr>
          <w:rFonts w:hint="cs"/>
          <w:rtl/>
        </w:rPr>
        <w:t>ב</w:t>
      </w:r>
      <w:r>
        <w:rPr>
          <w:rFonts w:hint="cs"/>
          <w:rtl/>
        </w:rPr>
        <w:t xml:space="preserve">פירוש </w:t>
      </w:r>
      <w:proofErr w:type="spellStart"/>
      <w:r>
        <w:rPr>
          <w:rFonts w:hint="cs"/>
          <w:rtl/>
        </w:rPr>
        <w:t>הר"ן</w:t>
      </w:r>
      <w:proofErr w:type="spellEnd"/>
      <w:r>
        <w:rPr>
          <w:rFonts w:hint="cs"/>
          <w:rtl/>
        </w:rPr>
        <w:t xml:space="preserve"> (כ"ד ע"א בדפי </w:t>
      </w:r>
      <w:proofErr w:type="spellStart"/>
      <w:r>
        <w:rPr>
          <w:rFonts w:hint="cs"/>
          <w:rtl/>
        </w:rPr>
        <w:t>הרי"ף</w:t>
      </w:r>
      <w:proofErr w:type="spellEnd"/>
      <w:r>
        <w:rPr>
          <w:rFonts w:hint="cs"/>
          <w:rtl/>
        </w:rPr>
        <w:t xml:space="preserve">) </w:t>
      </w:r>
      <w:proofErr w:type="spellStart"/>
      <w:r>
        <w:rPr>
          <w:rFonts w:hint="cs"/>
          <w:rtl/>
        </w:rPr>
        <w:t>והמרדכי</w:t>
      </w:r>
      <w:proofErr w:type="spellEnd"/>
      <w:r>
        <w:rPr>
          <w:rFonts w:hint="cs"/>
          <w:rtl/>
        </w:rPr>
        <w:t xml:space="preserve"> (רמז </w:t>
      </w:r>
      <w:proofErr w:type="spellStart"/>
      <w:r>
        <w:rPr>
          <w:rFonts w:hint="cs"/>
          <w:rtl/>
        </w:rPr>
        <w:t>תקכד</w:t>
      </w:r>
      <w:proofErr w:type="spellEnd"/>
      <w:r>
        <w:rPr>
          <w:rFonts w:hint="cs"/>
          <w:rtl/>
        </w:rPr>
        <w:t xml:space="preserve">) </w:t>
      </w:r>
      <w:r w:rsidRPr="00540588">
        <w:rPr>
          <w:rtl/>
        </w:rPr>
        <w:t xml:space="preserve">לגבי קונה </w:t>
      </w:r>
      <w:r>
        <w:rPr>
          <w:rFonts w:hint="cs"/>
          <w:rtl/>
        </w:rPr>
        <w:t xml:space="preserve">שמקדים מישהו </w:t>
      </w:r>
      <w:r w:rsidRPr="00540588">
        <w:rPr>
          <w:rtl/>
        </w:rPr>
        <w:t>אחר שכבר מנהל משא ומתן לרכישה</w:t>
      </w:r>
      <w:r>
        <w:rPr>
          <w:rFonts w:hint="cs"/>
          <w:rtl/>
        </w:rPr>
        <w:t xml:space="preserve">. </w:t>
      </w:r>
      <w:r w:rsidR="003E4ED1">
        <w:rPr>
          <w:rFonts w:hint="cs"/>
          <w:rtl/>
        </w:rPr>
        <w:t>מאידך גיסא</w:t>
      </w:r>
      <w:r>
        <w:rPr>
          <w:rFonts w:hint="cs"/>
          <w:rtl/>
        </w:rPr>
        <w:t xml:space="preserve">, ראו </w:t>
      </w:r>
      <w:r w:rsidR="003E4ED1">
        <w:rPr>
          <w:rFonts w:hint="cs"/>
          <w:rtl/>
        </w:rPr>
        <w:t>ב</w:t>
      </w:r>
      <w:r>
        <w:rPr>
          <w:rFonts w:hint="cs"/>
          <w:rtl/>
        </w:rPr>
        <w:t xml:space="preserve">תשובתו של הרב </w:t>
      </w:r>
      <w:r w:rsidRPr="00540588">
        <w:rPr>
          <w:rtl/>
        </w:rPr>
        <w:t>שמעון בן צמח דוראן</w:t>
      </w:r>
      <w:r w:rsidR="003E4ED1">
        <w:rPr>
          <w:rFonts w:hint="cs"/>
          <w:rtl/>
        </w:rPr>
        <w:t xml:space="preserve"> (</w:t>
      </w:r>
      <w:r>
        <w:rPr>
          <w:rFonts w:hint="cs"/>
          <w:rtl/>
        </w:rPr>
        <w:t xml:space="preserve">שו"ת </w:t>
      </w:r>
      <w:proofErr w:type="spellStart"/>
      <w:r>
        <w:rPr>
          <w:rFonts w:hint="cs"/>
          <w:rtl/>
        </w:rPr>
        <w:t>התשב"ץ</w:t>
      </w:r>
      <w:proofErr w:type="spellEnd"/>
      <w:r>
        <w:rPr>
          <w:rFonts w:hint="cs"/>
          <w:rtl/>
        </w:rPr>
        <w:t xml:space="preserve"> חלק ד טור א סימן כד</w:t>
      </w:r>
      <w:r w:rsidR="003E4ED1">
        <w:rPr>
          <w:rFonts w:hint="cs"/>
          <w:rtl/>
        </w:rPr>
        <w:t>)</w:t>
      </w:r>
      <w:r>
        <w:rPr>
          <w:rFonts w:hint="cs"/>
          <w:rtl/>
        </w:rPr>
        <w:t>.</w:t>
      </w:r>
    </w:p>
  </w:footnote>
  <w:footnote w:id="7">
    <w:p w14:paraId="2F18DBEB" w14:textId="62A1CB10" w:rsidR="007D2965" w:rsidRDefault="007D2965" w:rsidP="007D2965">
      <w:pPr>
        <w:pStyle w:val="a3"/>
      </w:pPr>
      <w:r>
        <w:rPr>
          <w:rStyle w:val="a5"/>
          <w:rFonts w:eastAsia="Narkisim"/>
        </w:rPr>
        <w:footnoteRef/>
      </w:r>
      <w:r>
        <w:rPr>
          <w:rtl/>
        </w:rPr>
        <w:t xml:space="preserve"> </w:t>
      </w:r>
      <w:r w:rsidR="00345F3C" w:rsidRPr="00345F3C">
        <w:rPr>
          <w:rtl/>
        </w:rPr>
        <w:t xml:space="preserve">שיעורי ר' שמואל, בבא </w:t>
      </w:r>
      <w:proofErr w:type="spellStart"/>
      <w:r w:rsidR="00345F3C" w:rsidRPr="00345F3C">
        <w:rPr>
          <w:rtl/>
        </w:rPr>
        <w:t>בתרא</w:t>
      </w:r>
      <w:proofErr w:type="spellEnd"/>
      <w:r w:rsidR="00345F3C" w:rsidRPr="00345F3C">
        <w:rPr>
          <w:rtl/>
        </w:rPr>
        <w:t>, עמ</w:t>
      </w:r>
      <w:r w:rsidR="00345F3C">
        <w:rPr>
          <w:rFonts w:hint="cs"/>
          <w:rtl/>
        </w:rPr>
        <w:t>'</w:t>
      </w:r>
      <w:r w:rsidR="00345F3C" w:rsidRPr="00345F3C">
        <w:rPr>
          <w:rtl/>
        </w:rPr>
        <w:t xml:space="preserve"> 220-224</w:t>
      </w:r>
      <w:r w:rsidR="00345F3C">
        <w:rPr>
          <w:rFonts w:hint="cs"/>
          <w:rtl/>
        </w:rPr>
        <w:t xml:space="preserve">. </w:t>
      </w:r>
      <w:r>
        <w:rPr>
          <w:rFonts w:hint="cs"/>
          <w:rtl/>
        </w:rPr>
        <w:t xml:space="preserve">שאלת התוספות מהדהדת גם בדבריהם של רבינו יונה, </w:t>
      </w:r>
      <w:proofErr w:type="spellStart"/>
      <w:r>
        <w:rPr>
          <w:rFonts w:hint="cs"/>
          <w:rtl/>
        </w:rPr>
        <w:t>הרשב"א</w:t>
      </w:r>
      <w:proofErr w:type="spellEnd"/>
      <w:r>
        <w:rPr>
          <w:rFonts w:hint="cs"/>
          <w:rtl/>
        </w:rPr>
        <w:t xml:space="preserve"> </w:t>
      </w:r>
      <w:proofErr w:type="spellStart"/>
      <w:r>
        <w:rPr>
          <w:rFonts w:hint="cs"/>
          <w:rtl/>
        </w:rPr>
        <w:t>והריטב"א</w:t>
      </w:r>
      <w:proofErr w:type="spellEnd"/>
      <w:r>
        <w:rPr>
          <w:rFonts w:hint="cs"/>
          <w:rtl/>
        </w:rPr>
        <w:t xml:space="preserve">. </w:t>
      </w:r>
    </w:p>
  </w:footnote>
  <w:footnote w:id="8">
    <w:p w14:paraId="67B99E7C" w14:textId="1A44F8A8" w:rsidR="007D2965" w:rsidRDefault="007D2965" w:rsidP="007D2965">
      <w:pPr>
        <w:pStyle w:val="a3"/>
      </w:pPr>
      <w:r>
        <w:rPr>
          <w:rStyle w:val="a5"/>
          <w:rFonts w:eastAsia="Narkisim"/>
        </w:rPr>
        <w:footnoteRef/>
      </w:r>
      <w:r>
        <w:rPr>
          <w:rtl/>
        </w:rPr>
        <w:t xml:space="preserve"> </w:t>
      </w:r>
      <w:r>
        <w:rPr>
          <w:rFonts w:hint="cs"/>
          <w:rtl/>
        </w:rPr>
        <w:t xml:space="preserve">ראו גם מוסר אביב, "לבירור </w:t>
      </w:r>
      <w:proofErr w:type="spellStart"/>
      <w:r>
        <w:rPr>
          <w:rFonts w:hint="cs"/>
          <w:rtl/>
        </w:rPr>
        <w:t>כופין</w:t>
      </w:r>
      <w:proofErr w:type="spellEnd"/>
      <w:r>
        <w:rPr>
          <w:rFonts w:hint="cs"/>
          <w:rtl/>
        </w:rPr>
        <w:t xml:space="preserve"> על מידת סדום", עמ</w:t>
      </w:r>
      <w:r w:rsidR="00303C94">
        <w:rPr>
          <w:rFonts w:hint="cs"/>
          <w:rtl/>
        </w:rPr>
        <w:t>'</w:t>
      </w:r>
      <w:r>
        <w:rPr>
          <w:rFonts w:hint="cs"/>
          <w:rtl/>
        </w:rPr>
        <w:t xml:space="preserve"> 84-85, 90-91. </w:t>
      </w:r>
    </w:p>
  </w:footnote>
  <w:footnote w:id="9">
    <w:p w14:paraId="5701EC43" w14:textId="7B9D636A" w:rsidR="007D2965" w:rsidRDefault="007D2965" w:rsidP="007D2965">
      <w:pPr>
        <w:pStyle w:val="a3"/>
      </w:pPr>
      <w:r>
        <w:rPr>
          <w:rStyle w:val="a5"/>
          <w:rFonts w:eastAsia="Narkisim"/>
        </w:rPr>
        <w:footnoteRef/>
      </w:r>
      <w:r>
        <w:rPr>
          <w:rtl/>
        </w:rPr>
        <w:t xml:space="preserve"> </w:t>
      </w:r>
      <w:r>
        <w:rPr>
          <w:rFonts w:hint="cs"/>
          <w:rtl/>
        </w:rPr>
        <w:t xml:space="preserve">אין להבין מכאן כי </w:t>
      </w:r>
      <w:r w:rsidRPr="00FF35CC">
        <w:rPr>
          <w:rtl/>
        </w:rPr>
        <w:t xml:space="preserve">ההלכה </w:t>
      </w:r>
      <w:r>
        <w:rPr>
          <w:rFonts w:hint="cs"/>
          <w:rtl/>
        </w:rPr>
        <w:t xml:space="preserve">תמיד נמנעת </w:t>
      </w:r>
      <w:r w:rsidR="00303C94">
        <w:rPr>
          <w:rFonts w:hint="cs"/>
          <w:rtl/>
        </w:rPr>
        <w:t xml:space="preserve">מהגבלת </w:t>
      </w:r>
      <w:r w:rsidRPr="00FF35CC">
        <w:rPr>
          <w:rtl/>
        </w:rPr>
        <w:t>זכויות הקניין.</w:t>
      </w:r>
      <w:r>
        <w:rPr>
          <w:rFonts w:hint="cs"/>
          <w:rtl/>
        </w:rPr>
        <w:t xml:space="preserve"> ראו למשל בגמרא </w:t>
      </w:r>
      <w:proofErr w:type="spellStart"/>
      <w:r>
        <w:rPr>
          <w:rFonts w:hint="cs"/>
          <w:rtl/>
        </w:rPr>
        <w:t>בבבא</w:t>
      </w:r>
      <w:proofErr w:type="spellEnd"/>
      <w:r>
        <w:rPr>
          <w:rFonts w:hint="cs"/>
          <w:rtl/>
        </w:rPr>
        <w:t xml:space="preserve"> </w:t>
      </w:r>
      <w:proofErr w:type="spellStart"/>
      <w:r>
        <w:rPr>
          <w:rFonts w:hint="cs"/>
          <w:rtl/>
        </w:rPr>
        <w:t>בתרא</w:t>
      </w:r>
      <w:proofErr w:type="spellEnd"/>
      <w:r>
        <w:rPr>
          <w:rFonts w:hint="cs"/>
          <w:rtl/>
        </w:rPr>
        <w:t xml:space="preserve"> (נט ע"ב)</w:t>
      </w:r>
      <w:r w:rsidR="00303C94">
        <w:rPr>
          <w:rFonts w:hint="cs"/>
          <w:rtl/>
        </w:rPr>
        <w:t>,</w:t>
      </w:r>
      <w:r>
        <w:rPr>
          <w:rFonts w:hint="cs"/>
          <w:rtl/>
        </w:rPr>
        <w:t xml:space="preserve"> המובאת על ידי הרב </w:t>
      </w:r>
      <w:r w:rsidRPr="00FF35CC">
        <w:rPr>
          <w:rtl/>
        </w:rPr>
        <w:t>ליכטנשטיין</w:t>
      </w:r>
      <w:r>
        <w:rPr>
          <w:rFonts w:hint="cs"/>
          <w:rtl/>
        </w:rPr>
        <w:t xml:space="preserve"> (עמודים 93-94), וכן </w:t>
      </w:r>
      <w:r w:rsidR="00303C94">
        <w:rPr>
          <w:rFonts w:hint="cs"/>
          <w:rtl/>
        </w:rPr>
        <w:t>ב</w:t>
      </w:r>
      <w:r>
        <w:rPr>
          <w:rFonts w:hint="cs"/>
          <w:rtl/>
        </w:rPr>
        <w:t xml:space="preserve">גמרא </w:t>
      </w:r>
      <w:proofErr w:type="spellStart"/>
      <w:r>
        <w:rPr>
          <w:rFonts w:hint="cs"/>
          <w:rtl/>
        </w:rPr>
        <w:t>בבבא</w:t>
      </w:r>
      <w:proofErr w:type="spellEnd"/>
      <w:r>
        <w:rPr>
          <w:rFonts w:hint="cs"/>
          <w:rtl/>
        </w:rPr>
        <w:t xml:space="preserve"> קמא (פא ע"ב)</w:t>
      </w:r>
      <w:r w:rsidR="00303C94">
        <w:rPr>
          <w:rFonts w:hint="cs"/>
          <w:rtl/>
        </w:rPr>
        <w:t>,</w:t>
      </w:r>
      <w:r>
        <w:rPr>
          <w:rFonts w:hint="cs"/>
          <w:rtl/>
        </w:rPr>
        <w:t xml:space="preserve"> המובאת על ידי </w:t>
      </w:r>
      <w:proofErr w:type="spellStart"/>
      <w:r>
        <w:rPr>
          <w:rFonts w:hint="cs"/>
          <w:rtl/>
        </w:rPr>
        <w:t>הנצי"ב</w:t>
      </w:r>
      <w:proofErr w:type="spellEnd"/>
      <w:r>
        <w:rPr>
          <w:rFonts w:hint="cs"/>
          <w:rtl/>
        </w:rPr>
        <w:t xml:space="preserve"> (בקטע החותם את העמק שאלה ושו"ת משיב דבר ב, צב). למרות זאת, המושג '</w:t>
      </w:r>
      <w:proofErr w:type="spellStart"/>
      <w:r>
        <w:rPr>
          <w:rFonts w:hint="cs"/>
          <w:rtl/>
        </w:rPr>
        <w:t>כופין</w:t>
      </w:r>
      <w:proofErr w:type="spellEnd"/>
      <w:r>
        <w:rPr>
          <w:rFonts w:hint="cs"/>
          <w:rtl/>
        </w:rPr>
        <w:t xml:space="preserve"> על מידת סדום' אינו מופיע שם בצורה מפורשת (אך ראו בפירוש </w:t>
      </w:r>
      <w:proofErr w:type="spellStart"/>
      <w:r>
        <w:rPr>
          <w:rFonts w:hint="cs"/>
          <w:rtl/>
        </w:rPr>
        <w:t>ה</w:t>
      </w:r>
      <w:r w:rsidRPr="00FF35CC">
        <w:rPr>
          <w:rtl/>
        </w:rPr>
        <w:t>ר"י</w:t>
      </w:r>
      <w:proofErr w:type="spellEnd"/>
      <w:r w:rsidRPr="00FF35CC">
        <w:rPr>
          <w:rtl/>
        </w:rPr>
        <w:t xml:space="preserve"> </w:t>
      </w:r>
      <w:proofErr w:type="spellStart"/>
      <w:r w:rsidRPr="00FF35CC">
        <w:rPr>
          <w:rtl/>
        </w:rPr>
        <w:t>מיגאש</w:t>
      </w:r>
      <w:proofErr w:type="spellEnd"/>
      <w:r>
        <w:rPr>
          <w:rFonts w:hint="cs"/>
          <w:rtl/>
        </w:rPr>
        <w:t xml:space="preserve"> וברבינו יונה על בבא </w:t>
      </w:r>
      <w:proofErr w:type="spellStart"/>
      <w:r>
        <w:rPr>
          <w:rFonts w:hint="cs"/>
          <w:rtl/>
        </w:rPr>
        <w:t>בתרא</w:t>
      </w:r>
      <w:proofErr w:type="spellEnd"/>
      <w:r>
        <w:rPr>
          <w:rFonts w:hint="cs"/>
          <w:rtl/>
        </w:rPr>
        <w:t xml:space="preserve"> שם,</w:t>
      </w:r>
      <w:r w:rsidR="00900795">
        <w:rPr>
          <w:rFonts w:hint="cs"/>
          <w:rtl/>
        </w:rPr>
        <w:t xml:space="preserve"> </w:t>
      </w:r>
      <w:r>
        <w:rPr>
          <w:rFonts w:hint="cs"/>
          <w:rtl/>
        </w:rPr>
        <w:t>בנוגע ל</w:t>
      </w:r>
      <w:r w:rsidRPr="00FF35CC">
        <w:rPr>
          <w:rtl/>
        </w:rPr>
        <w:t xml:space="preserve">חוסר </w:t>
      </w:r>
      <w:r>
        <w:rPr>
          <w:rFonts w:hint="cs"/>
          <w:rtl/>
        </w:rPr>
        <w:t>ה</w:t>
      </w:r>
      <w:r w:rsidRPr="00FF35CC">
        <w:rPr>
          <w:rtl/>
        </w:rPr>
        <w:t>יכולת למחות</w:t>
      </w:r>
      <w:r>
        <w:rPr>
          <w:rFonts w:hint="cs"/>
          <w:rtl/>
        </w:rPr>
        <w:t xml:space="preserve">), </w:t>
      </w:r>
      <w:r w:rsidR="00303C94">
        <w:rPr>
          <w:rFonts w:hint="cs"/>
          <w:rtl/>
        </w:rPr>
        <w:t xml:space="preserve">ואפשר </w:t>
      </w:r>
      <w:r w:rsidRPr="00FF35CC">
        <w:rPr>
          <w:rtl/>
        </w:rPr>
        <w:t xml:space="preserve">לכאורה </w:t>
      </w:r>
      <w:r w:rsidR="00303C94">
        <w:rPr>
          <w:rFonts w:hint="cs"/>
          <w:rtl/>
        </w:rPr>
        <w:t xml:space="preserve">לחלק </w:t>
      </w:r>
      <w:r w:rsidRPr="00FF35CC">
        <w:rPr>
          <w:rtl/>
        </w:rPr>
        <w:t>בין המקרים.</w:t>
      </w:r>
    </w:p>
  </w:footnote>
  <w:footnote w:id="10">
    <w:p w14:paraId="7FD1B1C9" w14:textId="77777777" w:rsidR="007D2965" w:rsidRDefault="007D2965" w:rsidP="007D2965">
      <w:pPr>
        <w:pStyle w:val="a3"/>
      </w:pPr>
      <w:r>
        <w:rPr>
          <w:rStyle w:val="a5"/>
          <w:rFonts w:eastAsia="Narkisim"/>
        </w:rPr>
        <w:footnoteRef/>
      </w:r>
      <w:r>
        <w:rPr>
          <w:rtl/>
        </w:rPr>
        <w:t xml:space="preserve"> </w:t>
      </w:r>
      <w:r>
        <w:rPr>
          <w:rFonts w:hint="cs"/>
          <w:rtl/>
        </w:rPr>
        <w:t xml:space="preserve">ראו גם את פירושו של </w:t>
      </w:r>
      <w:proofErr w:type="spellStart"/>
      <w:r>
        <w:rPr>
          <w:rFonts w:hint="cs"/>
          <w:rtl/>
        </w:rPr>
        <w:t>הרשב"ץ</w:t>
      </w:r>
      <w:proofErr w:type="spellEnd"/>
      <w:r>
        <w:rPr>
          <w:rFonts w:hint="cs"/>
          <w:rtl/>
        </w:rPr>
        <w:t xml:space="preserve"> ב"מגן אבות". </w:t>
      </w:r>
    </w:p>
  </w:footnote>
  <w:footnote w:id="11">
    <w:p w14:paraId="2A9E57FE" w14:textId="72A9DCF8" w:rsidR="007D2965" w:rsidRDefault="007D2965" w:rsidP="007D2965">
      <w:pPr>
        <w:pStyle w:val="a3"/>
      </w:pPr>
      <w:r>
        <w:rPr>
          <w:rStyle w:val="a5"/>
          <w:rFonts w:eastAsia="Narkisim"/>
        </w:rPr>
        <w:footnoteRef/>
      </w:r>
      <w:r>
        <w:rPr>
          <w:rtl/>
        </w:rPr>
        <w:t xml:space="preserve"> </w:t>
      </w:r>
      <w:r w:rsidRPr="00FF35CC">
        <w:rPr>
          <w:rtl/>
        </w:rPr>
        <w:t>לח</w:t>
      </w:r>
      <w:r w:rsidR="006C43CA">
        <w:rPr>
          <w:rFonts w:hint="cs"/>
          <w:rtl/>
        </w:rPr>
        <w:t>י</w:t>
      </w:r>
      <w:r w:rsidRPr="00FF35CC">
        <w:rPr>
          <w:rtl/>
        </w:rPr>
        <w:t>לופין, אם ניקח בחשבון את ההשפעות החברתיות ש</w:t>
      </w:r>
      <w:r>
        <w:rPr>
          <w:rFonts w:hint="cs"/>
          <w:rtl/>
        </w:rPr>
        <w:t xml:space="preserve">מידת </w:t>
      </w:r>
      <w:r w:rsidRPr="00FF35CC">
        <w:rPr>
          <w:rtl/>
        </w:rPr>
        <w:t>סדום</w:t>
      </w:r>
      <w:r>
        <w:rPr>
          <w:rFonts w:hint="cs"/>
          <w:rtl/>
        </w:rPr>
        <w:t xml:space="preserve"> עלולה לגרום</w:t>
      </w:r>
      <w:r w:rsidRPr="00FF35CC">
        <w:rPr>
          <w:rtl/>
        </w:rPr>
        <w:t xml:space="preserve"> (רא</w:t>
      </w:r>
      <w:r>
        <w:rPr>
          <w:rFonts w:hint="cs"/>
          <w:rtl/>
        </w:rPr>
        <w:t>ו</w:t>
      </w:r>
      <w:r w:rsidRPr="00FF35CC">
        <w:rPr>
          <w:rtl/>
        </w:rPr>
        <w:t xml:space="preserve"> הערה </w:t>
      </w:r>
      <w:r>
        <w:rPr>
          <w:rFonts w:hint="cs"/>
          <w:rtl/>
        </w:rPr>
        <w:t>2</w:t>
      </w:r>
      <w:r w:rsidRPr="00FF35CC">
        <w:rPr>
          <w:rtl/>
        </w:rPr>
        <w:t xml:space="preserve">), נוכל לומר ששתי הדעות במשנה </w:t>
      </w:r>
      <w:r>
        <w:rPr>
          <w:rFonts w:hint="cs"/>
          <w:rtl/>
        </w:rPr>
        <w:t xml:space="preserve">עוסקות בשני מישורים שונים </w:t>
      </w:r>
      <w:r>
        <w:rPr>
          <w:rtl/>
        </w:rPr>
        <w:t>–</w:t>
      </w:r>
      <w:r>
        <w:rPr>
          <w:rFonts w:hint="cs"/>
          <w:rtl/>
        </w:rPr>
        <w:t xml:space="preserve"> האישי והקולקטיבי</w:t>
      </w:r>
      <w:r w:rsidRPr="00FF35CC">
        <w:rPr>
          <w:rtl/>
        </w:rPr>
        <w:t>.</w:t>
      </w:r>
      <w:r>
        <w:rPr>
          <w:rFonts w:hint="cs"/>
          <w:rtl/>
        </w:rPr>
        <w:t xml:space="preserve"> כך, "שלי </w:t>
      </w:r>
      <w:r w:rsidR="004B731B">
        <w:rPr>
          <w:rtl/>
        </w:rPr>
        <w:t>–</w:t>
      </w:r>
      <w:r w:rsidR="004B731B">
        <w:rPr>
          <w:rFonts w:hint="cs"/>
          <w:rtl/>
        </w:rPr>
        <w:t xml:space="preserve"> </w:t>
      </w:r>
      <w:r>
        <w:rPr>
          <w:rFonts w:hint="cs"/>
          <w:rtl/>
        </w:rPr>
        <w:t xml:space="preserve">שלי" </w:t>
      </w:r>
      <w:r w:rsidRPr="00FF35CC">
        <w:rPr>
          <w:rtl/>
        </w:rPr>
        <w:t xml:space="preserve">יכול להיות </w:t>
      </w:r>
      <w:r>
        <w:rPr>
          <w:rFonts w:hint="cs"/>
          <w:rtl/>
        </w:rPr>
        <w:t xml:space="preserve">'מידה ממוצעת' בהסתכלות על האדם הפרטי, </w:t>
      </w:r>
      <w:r w:rsidRPr="00FF35CC">
        <w:rPr>
          <w:rtl/>
        </w:rPr>
        <w:t>אך</w:t>
      </w:r>
      <w:r>
        <w:rPr>
          <w:rFonts w:hint="cs"/>
          <w:rtl/>
        </w:rPr>
        <w:t xml:space="preserve"> הרסני</w:t>
      </w:r>
      <w:r w:rsidRPr="00FF35CC">
        <w:rPr>
          <w:rtl/>
        </w:rPr>
        <w:t xml:space="preserve"> בסופו של דבר </w:t>
      </w:r>
      <w:r>
        <w:rPr>
          <w:rFonts w:hint="cs"/>
          <w:rtl/>
        </w:rPr>
        <w:t>בהסתכלות חברתית כוללת.</w:t>
      </w:r>
    </w:p>
  </w:footnote>
  <w:footnote w:id="12">
    <w:p w14:paraId="17A27B60" w14:textId="77777777" w:rsidR="007D2965" w:rsidRDefault="007D2965" w:rsidP="007D2965">
      <w:pPr>
        <w:pStyle w:val="a3"/>
        <w:rPr>
          <w:rtl/>
        </w:rPr>
      </w:pPr>
      <w:r>
        <w:rPr>
          <w:rStyle w:val="a5"/>
          <w:rFonts w:eastAsia="Narkisim"/>
        </w:rPr>
        <w:footnoteRef/>
      </w:r>
      <w:r>
        <w:t xml:space="preserve"> </w:t>
      </w:r>
      <w:r>
        <w:rPr>
          <w:rFonts w:hint="cs"/>
          <w:rtl/>
        </w:rPr>
        <w:t>השוו גם להלכות תשובה (א, ב ו-ד) והלכות שבועות (</w:t>
      </w:r>
      <w:proofErr w:type="spellStart"/>
      <w:r>
        <w:rPr>
          <w:rFonts w:hint="cs"/>
          <w:rtl/>
        </w:rPr>
        <w:t>יב</w:t>
      </w:r>
      <w:proofErr w:type="spellEnd"/>
      <w:r>
        <w:rPr>
          <w:rFonts w:hint="cs"/>
          <w:rtl/>
        </w:rPr>
        <w:t>, א-ב).</w:t>
      </w:r>
    </w:p>
  </w:footnote>
  <w:footnote w:id="13">
    <w:p w14:paraId="4F63CC05" w14:textId="77777777" w:rsidR="007D2965" w:rsidRDefault="007D2965" w:rsidP="007D2965">
      <w:pPr>
        <w:pStyle w:val="a3"/>
      </w:pPr>
      <w:r>
        <w:rPr>
          <w:rStyle w:val="a5"/>
          <w:rFonts w:eastAsia="Narkisim"/>
        </w:rPr>
        <w:footnoteRef/>
      </w:r>
      <w:r>
        <w:rPr>
          <w:rtl/>
        </w:rPr>
        <w:t xml:space="preserve"> </w:t>
      </w:r>
      <w:r>
        <w:rPr>
          <w:rFonts w:hint="cs"/>
          <w:rtl/>
        </w:rPr>
        <w:t xml:space="preserve">ראו גם הלכות תשובה (ג, ו', י-יד).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E63DF2" w:rsidRDefault="00E63DF2"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63DF2" w:rsidRDefault="00E63DF2"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63DF2" w:rsidRPr="006216C9" w14:paraId="3B079562" w14:textId="77777777" w:rsidTr="00FA1793">
      <w:tc>
        <w:tcPr>
          <w:tcW w:w="6506" w:type="dxa"/>
          <w:tcBorders>
            <w:bottom w:val="double" w:sz="4" w:space="0" w:color="auto"/>
          </w:tcBorders>
        </w:tcPr>
        <w:p w14:paraId="3AD8C92A" w14:textId="0314041C" w:rsidR="00E63DF2" w:rsidRPr="006216C9" w:rsidRDefault="00E63DF2"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5B8609A2" w:rsidR="00E63DF2" w:rsidRPr="006216C9" w:rsidRDefault="00E63DF2" w:rsidP="00CD6003">
          <w:pPr>
            <w:spacing w:after="0"/>
            <w:rPr>
              <w:sz w:val="22"/>
              <w:szCs w:val="22"/>
            </w:rPr>
          </w:pPr>
          <w:r>
            <w:rPr>
              <w:rFonts w:hint="cs"/>
              <w:sz w:val="22"/>
              <w:szCs w:val="22"/>
              <w:rtl/>
            </w:rPr>
            <w:t>לפני סיני</w:t>
          </w:r>
        </w:p>
      </w:tc>
      <w:tc>
        <w:tcPr>
          <w:tcW w:w="3348" w:type="dxa"/>
          <w:tcBorders>
            <w:bottom w:val="double" w:sz="4" w:space="0" w:color="auto"/>
          </w:tcBorders>
          <w:vAlign w:val="center"/>
        </w:tcPr>
        <w:p w14:paraId="7D40D3BB" w14:textId="4457956C" w:rsidR="00E63DF2" w:rsidRPr="006216C9" w:rsidRDefault="00795661" w:rsidP="006216C9">
          <w:pPr>
            <w:bidi w:val="0"/>
            <w:spacing w:after="0"/>
            <w:rPr>
              <w:sz w:val="22"/>
              <w:szCs w:val="22"/>
            </w:rPr>
          </w:pPr>
          <w:hyperlink r:id="rId1" w:history="1">
            <w:r w:rsidR="005A7CEB" w:rsidRPr="00FD7DC4">
              <w:rPr>
                <w:rStyle w:val="Hyperlink"/>
              </w:rPr>
              <w:t>http://www.etzion.org.il</w:t>
            </w:r>
          </w:hyperlink>
        </w:p>
      </w:tc>
    </w:tr>
  </w:tbl>
  <w:p w14:paraId="2CFAB289" w14:textId="77777777" w:rsidR="00E63DF2" w:rsidRPr="00AC2922" w:rsidRDefault="00E63DF2"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063101"/>
    <w:multiLevelType w:val="multilevel"/>
    <w:tmpl w:val="61D6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997DF8"/>
    <w:multiLevelType w:val="hybridMultilevel"/>
    <w:tmpl w:val="BDD40F9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2327"/>
    <w:rsid w:val="0000263F"/>
    <w:rsid w:val="00005156"/>
    <w:rsid w:val="00007261"/>
    <w:rsid w:val="00012A92"/>
    <w:rsid w:val="00013331"/>
    <w:rsid w:val="00015437"/>
    <w:rsid w:val="00015C4E"/>
    <w:rsid w:val="00017774"/>
    <w:rsid w:val="00017E6D"/>
    <w:rsid w:val="0002046F"/>
    <w:rsid w:val="00021437"/>
    <w:rsid w:val="00021ADE"/>
    <w:rsid w:val="00022A1A"/>
    <w:rsid w:val="0002308C"/>
    <w:rsid w:val="00026734"/>
    <w:rsid w:val="000268F4"/>
    <w:rsid w:val="0003164E"/>
    <w:rsid w:val="00031797"/>
    <w:rsid w:val="00031E48"/>
    <w:rsid w:val="00032E49"/>
    <w:rsid w:val="00033014"/>
    <w:rsid w:val="00033E9C"/>
    <w:rsid w:val="00034C35"/>
    <w:rsid w:val="00040A12"/>
    <w:rsid w:val="00042703"/>
    <w:rsid w:val="00043F83"/>
    <w:rsid w:val="0004660C"/>
    <w:rsid w:val="00056413"/>
    <w:rsid w:val="00057741"/>
    <w:rsid w:val="00057C75"/>
    <w:rsid w:val="00060ED0"/>
    <w:rsid w:val="00062C83"/>
    <w:rsid w:val="0006305C"/>
    <w:rsid w:val="0006682D"/>
    <w:rsid w:val="00066C50"/>
    <w:rsid w:val="00067AB4"/>
    <w:rsid w:val="000709B1"/>
    <w:rsid w:val="00072052"/>
    <w:rsid w:val="000720B2"/>
    <w:rsid w:val="00074142"/>
    <w:rsid w:val="00075E70"/>
    <w:rsid w:val="00076337"/>
    <w:rsid w:val="0007734B"/>
    <w:rsid w:val="000773F4"/>
    <w:rsid w:val="00083EDB"/>
    <w:rsid w:val="000845ED"/>
    <w:rsid w:val="00084B00"/>
    <w:rsid w:val="00086970"/>
    <w:rsid w:val="000963EF"/>
    <w:rsid w:val="00097639"/>
    <w:rsid w:val="00097DEC"/>
    <w:rsid w:val="000A1BE6"/>
    <w:rsid w:val="000A56FC"/>
    <w:rsid w:val="000A5D16"/>
    <w:rsid w:val="000A7A3E"/>
    <w:rsid w:val="000B18D3"/>
    <w:rsid w:val="000B4AA4"/>
    <w:rsid w:val="000B59A2"/>
    <w:rsid w:val="000B5CC2"/>
    <w:rsid w:val="000C42E4"/>
    <w:rsid w:val="000C5EDE"/>
    <w:rsid w:val="000C694E"/>
    <w:rsid w:val="000D14EE"/>
    <w:rsid w:val="000D150D"/>
    <w:rsid w:val="000D25BF"/>
    <w:rsid w:val="000D2F68"/>
    <w:rsid w:val="000D4260"/>
    <w:rsid w:val="000E21BC"/>
    <w:rsid w:val="000E2322"/>
    <w:rsid w:val="000E3B5A"/>
    <w:rsid w:val="000E6C3C"/>
    <w:rsid w:val="000E7962"/>
    <w:rsid w:val="000E7FF3"/>
    <w:rsid w:val="000F6308"/>
    <w:rsid w:val="000F641A"/>
    <w:rsid w:val="000F6479"/>
    <w:rsid w:val="000F65CB"/>
    <w:rsid w:val="001009EE"/>
    <w:rsid w:val="0010214C"/>
    <w:rsid w:val="00102306"/>
    <w:rsid w:val="00102A1E"/>
    <w:rsid w:val="00102A2A"/>
    <w:rsid w:val="00103A68"/>
    <w:rsid w:val="001051EE"/>
    <w:rsid w:val="001057D7"/>
    <w:rsid w:val="00106143"/>
    <w:rsid w:val="001112EE"/>
    <w:rsid w:val="00112FFD"/>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2D3"/>
    <w:rsid w:val="00147F05"/>
    <w:rsid w:val="00151635"/>
    <w:rsid w:val="001571DB"/>
    <w:rsid w:val="00160BB3"/>
    <w:rsid w:val="0016153A"/>
    <w:rsid w:val="001615CD"/>
    <w:rsid w:val="00163EE5"/>
    <w:rsid w:val="00164CE6"/>
    <w:rsid w:val="00165922"/>
    <w:rsid w:val="00165923"/>
    <w:rsid w:val="00171247"/>
    <w:rsid w:val="00175D42"/>
    <w:rsid w:val="00176834"/>
    <w:rsid w:val="001771DB"/>
    <w:rsid w:val="001777A6"/>
    <w:rsid w:val="001820F1"/>
    <w:rsid w:val="001852B1"/>
    <w:rsid w:val="0018776A"/>
    <w:rsid w:val="00190F04"/>
    <w:rsid w:val="00190FEA"/>
    <w:rsid w:val="001921C2"/>
    <w:rsid w:val="0019238A"/>
    <w:rsid w:val="001935D9"/>
    <w:rsid w:val="001960A3"/>
    <w:rsid w:val="001A160E"/>
    <w:rsid w:val="001A54AC"/>
    <w:rsid w:val="001A5C79"/>
    <w:rsid w:val="001A6573"/>
    <w:rsid w:val="001B0107"/>
    <w:rsid w:val="001B7F24"/>
    <w:rsid w:val="001C1CAA"/>
    <w:rsid w:val="001C2D48"/>
    <w:rsid w:val="001C4940"/>
    <w:rsid w:val="001C4B5E"/>
    <w:rsid w:val="001C4E63"/>
    <w:rsid w:val="001C6C39"/>
    <w:rsid w:val="001D4A9B"/>
    <w:rsid w:val="001E11C3"/>
    <w:rsid w:val="001E1D48"/>
    <w:rsid w:val="001E3883"/>
    <w:rsid w:val="001E5152"/>
    <w:rsid w:val="001E7F11"/>
    <w:rsid w:val="001F4F6D"/>
    <w:rsid w:val="00203453"/>
    <w:rsid w:val="00211322"/>
    <w:rsid w:val="002115E2"/>
    <w:rsid w:val="00211DA7"/>
    <w:rsid w:val="00212A5E"/>
    <w:rsid w:val="00213FDA"/>
    <w:rsid w:val="002142D4"/>
    <w:rsid w:val="00214428"/>
    <w:rsid w:val="00215905"/>
    <w:rsid w:val="00215B8C"/>
    <w:rsid w:val="00216E59"/>
    <w:rsid w:val="0022042F"/>
    <w:rsid w:val="00220D4A"/>
    <w:rsid w:val="00223CEC"/>
    <w:rsid w:val="002262D4"/>
    <w:rsid w:val="002314D2"/>
    <w:rsid w:val="002338A7"/>
    <w:rsid w:val="00233E7F"/>
    <w:rsid w:val="00235575"/>
    <w:rsid w:val="00243635"/>
    <w:rsid w:val="00251114"/>
    <w:rsid w:val="0025188F"/>
    <w:rsid w:val="00252934"/>
    <w:rsid w:val="002548F1"/>
    <w:rsid w:val="00254B6E"/>
    <w:rsid w:val="00254CCB"/>
    <w:rsid w:val="0025700E"/>
    <w:rsid w:val="0025727A"/>
    <w:rsid w:val="00257A88"/>
    <w:rsid w:val="00260AA2"/>
    <w:rsid w:val="002635D1"/>
    <w:rsid w:val="00264FE6"/>
    <w:rsid w:val="00267C22"/>
    <w:rsid w:val="00270BA3"/>
    <w:rsid w:val="00270E17"/>
    <w:rsid w:val="002717E2"/>
    <w:rsid w:val="0027267B"/>
    <w:rsid w:val="00272883"/>
    <w:rsid w:val="0027382B"/>
    <w:rsid w:val="002744D7"/>
    <w:rsid w:val="00275739"/>
    <w:rsid w:val="00275B17"/>
    <w:rsid w:val="002808B3"/>
    <w:rsid w:val="00281070"/>
    <w:rsid w:val="00282163"/>
    <w:rsid w:val="002826F7"/>
    <w:rsid w:val="00284937"/>
    <w:rsid w:val="00284E60"/>
    <w:rsid w:val="00285A99"/>
    <w:rsid w:val="00291A14"/>
    <w:rsid w:val="00291DC9"/>
    <w:rsid w:val="00293727"/>
    <w:rsid w:val="00293BED"/>
    <w:rsid w:val="0029412F"/>
    <w:rsid w:val="002965E4"/>
    <w:rsid w:val="002A01CA"/>
    <w:rsid w:val="002A26CA"/>
    <w:rsid w:val="002A300A"/>
    <w:rsid w:val="002A5F0F"/>
    <w:rsid w:val="002A7264"/>
    <w:rsid w:val="002B0904"/>
    <w:rsid w:val="002B2022"/>
    <w:rsid w:val="002B33FB"/>
    <w:rsid w:val="002B3B0F"/>
    <w:rsid w:val="002B4D51"/>
    <w:rsid w:val="002B5DC5"/>
    <w:rsid w:val="002B6CA6"/>
    <w:rsid w:val="002C12A6"/>
    <w:rsid w:val="002C268E"/>
    <w:rsid w:val="002C33E6"/>
    <w:rsid w:val="002C3C5F"/>
    <w:rsid w:val="002C528D"/>
    <w:rsid w:val="002D120B"/>
    <w:rsid w:val="002D22C4"/>
    <w:rsid w:val="002D7743"/>
    <w:rsid w:val="002E0589"/>
    <w:rsid w:val="002E098C"/>
    <w:rsid w:val="002E0D3F"/>
    <w:rsid w:val="002E2489"/>
    <w:rsid w:val="002E34D4"/>
    <w:rsid w:val="002E403B"/>
    <w:rsid w:val="002E417E"/>
    <w:rsid w:val="002E447A"/>
    <w:rsid w:val="002E602A"/>
    <w:rsid w:val="002E65D7"/>
    <w:rsid w:val="002E6729"/>
    <w:rsid w:val="002F1D82"/>
    <w:rsid w:val="002F2680"/>
    <w:rsid w:val="002F7C51"/>
    <w:rsid w:val="002F7DBF"/>
    <w:rsid w:val="003014C4"/>
    <w:rsid w:val="00303C94"/>
    <w:rsid w:val="00304682"/>
    <w:rsid w:val="003060D9"/>
    <w:rsid w:val="00306B3F"/>
    <w:rsid w:val="00307245"/>
    <w:rsid w:val="003116C3"/>
    <w:rsid w:val="003128B3"/>
    <w:rsid w:val="00315888"/>
    <w:rsid w:val="0032321C"/>
    <w:rsid w:val="00323FBD"/>
    <w:rsid w:val="00324177"/>
    <w:rsid w:val="00324B44"/>
    <w:rsid w:val="00324BEF"/>
    <w:rsid w:val="00325C45"/>
    <w:rsid w:val="00326887"/>
    <w:rsid w:val="00332A56"/>
    <w:rsid w:val="00333186"/>
    <w:rsid w:val="003349E8"/>
    <w:rsid w:val="003403F3"/>
    <w:rsid w:val="0034040A"/>
    <w:rsid w:val="00340D7F"/>
    <w:rsid w:val="00343750"/>
    <w:rsid w:val="0034550A"/>
    <w:rsid w:val="00345F3C"/>
    <w:rsid w:val="00346874"/>
    <w:rsid w:val="00350ADE"/>
    <w:rsid w:val="0035152D"/>
    <w:rsid w:val="00351974"/>
    <w:rsid w:val="003531FA"/>
    <w:rsid w:val="00356341"/>
    <w:rsid w:val="00367299"/>
    <w:rsid w:val="00367660"/>
    <w:rsid w:val="00370395"/>
    <w:rsid w:val="0037500C"/>
    <w:rsid w:val="0037776B"/>
    <w:rsid w:val="0038000A"/>
    <w:rsid w:val="003814BA"/>
    <w:rsid w:val="003825B9"/>
    <w:rsid w:val="003828F1"/>
    <w:rsid w:val="003833E1"/>
    <w:rsid w:val="00383BEA"/>
    <w:rsid w:val="00384863"/>
    <w:rsid w:val="003858FE"/>
    <w:rsid w:val="00386A32"/>
    <w:rsid w:val="00386EC8"/>
    <w:rsid w:val="00393D29"/>
    <w:rsid w:val="0039677C"/>
    <w:rsid w:val="003A4332"/>
    <w:rsid w:val="003A4FE0"/>
    <w:rsid w:val="003A57E9"/>
    <w:rsid w:val="003A5EDC"/>
    <w:rsid w:val="003A67F4"/>
    <w:rsid w:val="003A7237"/>
    <w:rsid w:val="003B0CAF"/>
    <w:rsid w:val="003B10E1"/>
    <w:rsid w:val="003B38FF"/>
    <w:rsid w:val="003B4443"/>
    <w:rsid w:val="003B480F"/>
    <w:rsid w:val="003B482F"/>
    <w:rsid w:val="003B5490"/>
    <w:rsid w:val="003B6DA7"/>
    <w:rsid w:val="003B6F64"/>
    <w:rsid w:val="003C07F9"/>
    <w:rsid w:val="003C1DF2"/>
    <w:rsid w:val="003C1F10"/>
    <w:rsid w:val="003C32D1"/>
    <w:rsid w:val="003C52A8"/>
    <w:rsid w:val="003C65D7"/>
    <w:rsid w:val="003D7E06"/>
    <w:rsid w:val="003E126A"/>
    <w:rsid w:val="003E3654"/>
    <w:rsid w:val="003E4ED1"/>
    <w:rsid w:val="003E6B7E"/>
    <w:rsid w:val="003E7DF7"/>
    <w:rsid w:val="003F0F92"/>
    <w:rsid w:val="003F2CD8"/>
    <w:rsid w:val="003F2D61"/>
    <w:rsid w:val="003F3DF3"/>
    <w:rsid w:val="003F72ED"/>
    <w:rsid w:val="004007E7"/>
    <w:rsid w:val="004041BA"/>
    <w:rsid w:val="00405665"/>
    <w:rsid w:val="00406E23"/>
    <w:rsid w:val="004104A8"/>
    <w:rsid w:val="00413028"/>
    <w:rsid w:val="004148C3"/>
    <w:rsid w:val="00414E9E"/>
    <w:rsid w:val="00420307"/>
    <w:rsid w:val="00421EAB"/>
    <w:rsid w:val="00422C44"/>
    <w:rsid w:val="00431FA5"/>
    <w:rsid w:val="00432922"/>
    <w:rsid w:val="00432A7E"/>
    <w:rsid w:val="00433049"/>
    <w:rsid w:val="0043471B"/>
    <w:rsid w:val="004353C9"/>
    <w:rsid w:val="00437A07"/>
    <w:rsid w:val="00437E61"/>
    <w:rsid w:val="00440618"/>
    <w:rsid w:val="00440B94"/>
    <w:rsid w:val="00441895"/>
    <w:rsid w:val="004434D2"/>
    <w:rsid w:val="00443A27"/>
    <w:rsid w:val="004443B4"/>
    <w:rsid w:val="0044583D"/>
    <w:rsid w:val="00451C66"/>
    <w:rsid w:val="0045432D"/>
    <w:rsid w:val="00460362"/>
    <w:rsid w:val="00460E6D"/>
    <w:rsid w:val="00464F58"/>
    <w:rsid w:val="004655DC"/>
    <w:rsid w:val="0046577D"/>
    <w:rsid w:val="004752AE"/>
    <w:rsid w:val="00475741"/>
    <w:rsid w:val="00476985"/>
    <w:rsid w:val="00476D9D"/>
    <w:rsid w:val="00477C74"/>
    <w:rsid w:val="00481042"/>
    <w:rsid w:val="00481FF6"/>
    <w:rsid w:val="00482852"/>
    <w:rsid w:val="0048350A"/>
    <w:rsid w:val="00484A46"/>
    <w:rsid w:val="00484DA1"/>
    <w:rsid w:val="004853A2"/>
    <w:rsid w:val="00486E88"/>
    <w:rsid w:val="0049613D"/>
    <w:rsid w:val="00497938"/>
    <w:rsid w:val="004A1673"/>
    <w:rsid w:val="004A2571"/>
    <w:rsid w:val="004A4864"/>
    <w:rsid w:val="004A4A66"/>
    <w:rsid w:val="004A7AF8"/>
    <w:rsid w:val="004B0420"/>
    <w:rsid w:val="004B0B1E"/>
    <w:rsid w:val="004B1B28"/>
    <w:rsid w:val="004B34E9"/>
    <w:rsid w:val="004B64A8"/>
    <w:rsid w:val="004B731B"/>
    <w:rsid w:val="004C2212"/>
    <w:rsid w:val="004C6137"/>
    <w:rsid w:val="004C6B5D"/>
    <w:rsid w:val="004C7011"/>
    <w:rsid w:val="004D0C20"/>
    <w:rsid w:val="004D31E2"/>
    <w:rsid w:val="004D47F3"/>
    <w:rsid w:val="004D6030"/>
    <w:rsid w:val="004D79F4"/>
    <w:rsid w:val="004E0136"/>
    <w:rsid w:val="004E21CA"/>
    <w:rsid w:val="004E37D0"/>
    <w:rsid w:val="004E3883"/>
    <w:rsid w:val="004F0D92"/>
    <w:rsid w:val="004F1BA9"/>
    <w:rsid w:val="004F25D6"/>
    <w:rsid w:val="004F2997"/>
    <w:rsid w:val="004F3587"/>
    <w:rsid w:val="004F5AC8"/>
    <w:rsid w:val="004F64BE"/>
    <w:rsid w:val="004F7707"/>
    <w:rsid w:val="0050074F"/>
    <w:rsid w:val="00504931"/>
    <w:rsid w:val="00506D17"/>
    <w:rsid w:val="00507EFA"/>
    <w:rsid w:val="005122B5"/>
    <w:rsid w:val="00512C3A"/>
    <w:rsid w:val="005141A4"/>
    <w:rsid w:val="00514939"/>
    <w:rsid w:val="005160F8"/>
    <w:rsid w:val="00520723"/>
    <w:rsid w:val="00521C86"/>
    <w:rsid w:val="005221B7"/>
    <w:rsid w:val="00523738"/>
    <w:rsid w:val="00526F83"/>
    <w:rsid w:val="00527203"/>
    <w:rsid w:val="00533123"/>
    <w:rsid w:val="005342F8"/>
    <w:rsid w:val="00537C4E"/>
    <w:rsid w:val="005404FB"/>
    <w:rsid w:val="0054165C"/>
    <w:rsid w:val="00541677"/>
    <w:rsid w:val="00541BB4"/>
    <w:rsid w:val="005421D4"/>
    <w:rsid w:val="005427CB"/>
    <w:rsid w:val="005468C3"/>
    <w:rsid w:val="005515D3"/>
    <w:rsid w:val="005559A7"/>
    <w:rsid w:val="00555DAE"/>
    <w:rsid w:val="00556775"/>
    <w:rsid w:val="00557B56"/>
    <w:rsid w:val="00557D11"/>
    <w:rsid w:val="00560304"/>
    <w:rsid w:val="005615C3"/>
    <w:rsid w:val="00563D4C"/>
    <w:rsid w:val="00564C43"/>
    <w:rsid w:val="00565CA4"/>
    <w:rsid w:val="00570081"/>
    <w:rsid w:val="00570720"/>
    <w:rsid w:val="0057194E"/>
    <w:rsid w:val="00573B7B"/>
    <w:rsid w:val="00573E12"/>
    <w:rsid w:val="00575C0F"/>
    <w:rsid w:val="00576198"/>
    <w:rsid w:val="00576A9E"/>
    <w:rsid w:val="0057733D"/>
    <w:rsid w:val="00581739"/>
    <w:rsid w:val="00581F75"/>
    <w:rsid w:val="005847F6"/>
    <w:rsid w:val="005865D6"/>
    <w:rsid w:val="00587EE2"/>
    <w:rsid w:val="0059115C"/>
    <w:rsid w:val="005932A1"/>
    <w:rsid w:val="005946FD"/>
    <w:rsid w:val="00594DAB"/>
    <w:rsid w:val="00595AC7"/>
    <w:rsid w:val="005964B2"/>
    <w:rsid w:val="005970EF"/>
    <w:rsid w:val="0059787B"/>
    <w:rsid w:val="005979AB"/>
    <w:rsid w:val="005A009C"/>
    <w:rsid w:val="005A0904"/>
    <w:rsid w:val="005A3CE7"/>
    <w:rsid w:val="005A4E5A"/>
    <w:rsid w:val="005A5215"/>
    <w:rsid w:val="005A7CEB"/>
    <w:rsid w:val="005B08DB"/>
    <w:rsid w:val="005B11E9"/>
    <w:rsid w:val="005B52E4"/>
    <w:rsid w:val="005B6383"/>
    <w:rsid w:val="005C06E5"/>
    <w:rsid w:val="005C0C87"/>
    <w:rsid w:val="005C1685"/>
    <w:rsid w:val="005C53F3"/>
    <w:rsid w:val="005C5B0A"/>
    <w:rsid w:val="005C6015"/>
    <w:rsid w:val="005D120F"/>
    <w:rsid w:val="005D3CF2"/>
    <w:rsid w:val="005D4972"/>
    <w:rsid w:val="005D5801"/>
    <w:rsid w:val="005D5DBD"/>
    <w:rsid w:val="005D6D51"/>
    <w:rsid w:val="005E0E1B"/>
    <w:rsid w:val="005E146F"/>
    <w:rsid w:val="005E33F6"/>
    <w:rsid w:val="005E50E0"/>
    <w:rsid w:val="005E604F"/>
    <w:rsid w:val="005E65BE"/>
    <w:rsid w:val="005F4985"/>
    <w:rsid w:val="005F7954"/>
    <w:rsid w:val="00602EA1"/>
    <w:rsid w:val="00603920"/>
    <w:rsid w:val="00605B50"/>
    <w:rsid w:val="00607423"/>
    <w:rsid w:val="006101DF"/>
    <w:rsid w:val="00611BF8"/>
    <w:rsid w:val="006126F5"/>
    <w:rsid w:val="00612A40"/>
    <w:rsid w:val="006158F7"/>
    <w:rsid w:val="00615999"/>
    <w:rsid w:val="006216C9"/>
    <w:rsid w:val="0062196F"/>
    <w:rsid w:val="00621C68"/>
    <w:rsid w:val="00622528"/>
    <w:rsid w:val="00624354"/>
    <w:rsid w:val="0062477E"/>
    <w:rsid w:val="006250F5"/>
    <w:rsid w:val="00625DC3"/>
    <w:rsid w:val="00630771"/>
    <w:rsid w:val="00632DE8"/>
    <w:rsid w:val="0063413D"/>
    <w:rsid w:val="006350C4"/>
    <w:rsid w:val="0063579A"/>
    <w:rsid w:val="0063660F"/>
    <w:rsid w:val="0064066D"/>
    <w:rsid w:val="00640ED2"/>
    <w:rsid w:val="00641C4F"/>
    <w:rsid w:val="0064335B"/>
    <w:rsid w:val="006438A7"/>
    <w:rsid w:val="00643B0D"/>
    <w:rsid w:val="00644A0E"/>
    <w:rsid w:val="00646840"/>
    <w:rsid w:val="00651C3E"/>
    <w:rsid w:val="0065284D"/>
    <w:rsid w:val="00652D29"/>
    <w:rsid w:val="00656260"/>
    <w:rsid w:val="00657B50"/>
    <w:rsid w:val="00660BA1"/>
    <w:rsid w:val="00660BD6"/>
    <w:rsid w:val="00663423"/>
    <w:rsid w:val="00663450"/>
    <w:rsid w:val="00664FE2"/>
    <w:rsid w:val="00665F8F"/>
    <w:rsid w:val="00666CEB"/>
    <w:rsid w:val="00667557"/>
    <w:rsid w:val="00670555"/>
    <w:rsid w:val="0067070B"/>
    <w:rsid w:val="00670F7F"/>
    <w:rsid w:val="00673031"/>
    <w:rsid w:val="00677A2B"/>
    <w:rsid w:val="00680CBB"/>
    <w:rsid w:val="00681BC7"/>
    <w:rsid w:val="006828A7"/>
    <w:rsid w:val="006842BD"/>
    <w:rsid w:val="006860DF"/>
    <w:rsid w:val="00686D8D"/>
    <w:rsid w:val="006901D9"/>
    <w:rsid w:val="006925D3"/>
    <w:rsid w:val="00692B3F"/>
    <w:rsid w:val="00693381"/>
    <w:rsid w:val="00694377"/>
    <w:rsid w:val="006945E2"/>
    <w:rsid w:val="00695100"/>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B5C"/>
    <w:rsid w:val="006C1C74"/>
    <w:rsid w:val="006C330B"/>
    <w:rsid w:val="006C3C7C"/>
    <w:rsid w:val="006C43CA"/>
    <w:rsid w:val="006D3420"/>
    <w:rsid w:val="006D5A1C"/>
    <w:rsid w:val="006D74BE"/>
    <w:rsid w:val="006E3F9D"/>
    <w:rsid w:val="006E5E02"/>
    <w:rsid w:val="006F0018"/>
    <w:rsid w:val="006F016B"/>
    <w:rsid w:val="006F20BC"/>
    <w:rsid w:val="006F34B7"/>
    <w:rsid w:val="006F3743"/>
    <w:rsid w:val="006F5E3E"/>
    <w:rsid w:val="006F77DB"/>
    <w:rsid w:val="006F7B26"/>
    <w:rsid w:val="00701021"/>
    <w:rsid w:val="00701DF9"/>
    <w:rsid w:val="00702359"/>
    <w:rsid w:val="00706365"/>
    <w:rsid w:val="007071A9"/>
    <w:rsid w:val="00711334"/>
    <w:rsid w:val="007115F7"/>
    <w:rsid w:val="0072125D"/>
    <w:rsid w:val="00722481"/>
    <w:rsid w:val="00723694"/>
    <w:rsid w:val="00725328"/>
    <w:rsid w:val="00726594"/>
    <w:rsid w:val="0073082F"/>
    <w:rsid w:val="00731FFA"/>
    <w:rsid w:val="00732736"/>
    <w:rsid w:val="00737519"/>
    <w:rsid w:val="00740096"/>
    <w:rsid w:val="00743AC7"/>
    <w:rsid w:val="00744A25"/>
    <w:rsid w:val="0074567B"/>
    <w:rsid w:val="007517C5"/>
    <w:rsid w:val="00753255"/>
    <w:rsid w:val="00754383"/>
    <w:rsid w:val="0075484A"/>
    <w:rsid w:val="00755D64"/>
    <w:rsid w:val="007574F5"/>
    <w:rsid w:val="00760C49"/>
    <w:rsid w:val="007633BC"/>
    <w:rsid w:val="00764151"/>
    <w:rsid w:val="00765370"/>
    <w:rsid w:val="00772EFB"/>
    <w:rsid w:val="007738DC"/>
    <w:rsid w:val="00773907"/>
    <w:rsid w:val="007742D9"/>
    <w:rsid w:val="007763BC"/>
    <w:rsid w:val="007769B1"/>
    <w:rsid w:val="0077787E"/>
    <w:rsid w:val="00781669"/>
    <w:rsid w:val="00782136"/>
    <w:rsid w:val="0078227C"/>
    <w:rsid w:val="00785703"/>
    <w:rsid w:val="00787E90"/>
    <w:rsid w:val="00790506"/>
    <w:rsid w:val="00790711"/>
    <w:rsid w:val="007908FE"/>
    <w:rsid w:val="0079116D"/>
    <w:rsid w:val="007915D4"/>
    <w:rsid w:val="007940B6"/>
    <w:rsid w:val="0079460C"/>
    <w:rsid w:val="00795661"/>
    <w:rsid w:val="007962FF"/>
    <w:rsid w:val="00796EBC"/>
    <w:rsid w:val="007970DA"/>
    <w:rsid w:val="00797A7E"/>
    <w:rsid w:val="007A041D"/>
    <w:rsid w:val="007A202E"/>
    <w:rsid w:val="007A3B6C"/>
    <w:rsid w:val="007A3EDF"/>
    <w:rsid w:val="007A5439"/>
    <w:rsid w:val="007B0635"/>
    <w:rsid w:val="007B118B"/>
    <w:rsid w:val="007B2890"/>
    <w:rsid w:val="007B2CFF"/>
    <w:rsid w:val="007B5D21"/>
    <w:rsid w:val="007C0302"/>
    <w:rsid w:val="007C0DC9"/>
    <w:rsid w:val="007C2346"/>
    <w:rsid w:val="007C44C2"/>
    <w:rsid w:val="007C4D4F"/>
    <w:rsid w:val="007C4F8F"/>
    <w:rsid w:val="007C776B"/>
    <w:rsid w:val="007C7C70"/>
    <w:rsid w:val="007D07DF"/>
    <w:rsid w:val="007D2965"/>
    <w:rsid w:val="007D29CA"/>
    <w:rsid w:val="007D2A3D"/>
    <w:rsid w:val="007D3DF8"/>
    <w:rsid w:val="007D5680"/>
    <w:rsid w:val="007D65E1"/>
    <w:rsid w:val="007E5113"/>
    <w:rsid w:val="007E73F1"/>
    <w:rsid w:val="007E7534"/>
    <w:rsid w:val="007E7BBB"/>
    <w:rsid w:val="007E7DC2"/>
    <w:rsid w:val="007F05B7"/>
    <w:rsid w:val="007F0B79"/>
    <w:rsid w:val="007F2116"/>
    <w:rsid w:val="007F2FEF"/>
    <w:rsid w:val="007F35DF"/>
    <w:rsid w:val="007F551E"/>
    <w:rsid w:val="007F719A"/>
    <w:rsid w:val="007F769C"/>
    <w:rsid w:val="00800A47"/>
    <w:rsid w:val="0080158A"/>
    <w:rsid w:val="00810CF9"/>
    <w:rsid w:val="00810D7F"/>
    <w:rsid w:val="008114FA"/>
    <w:rsid w:val="0081158D"/>
    <w:rsid w:val="00811A01"/>
    <w:rsid w:val="00817321"/>
    <w:rsid w:val="00820DAB"/>
    <w:rsid w:val="00820E72"/>
    <w:rsid w:val="00825DCA"/>
    <w:rsid w:val="00827253"/>
    <w:rsid w:val="00827967"/>
    <w:rsid w:val="008309A4"/>
    <w:rsid w:val="008329EF"/>
    <w:rsid w:val="00832F1E"/>
    <w:rsid w:val="00834286"/>
    <w:rsid w:val="00836815"/>
    <w:rsid w:val="00841279"/>
    <w:rsid w:val="008412B6"/>
    <w:rsid w:val="00847928"/>
    <w:rsid w:val="00850E4B"/>
    <w:rsid w:val="00853097"/>
    <w:rsid w:val="00855513"/>
    <w:rsid w:val="00856FE3"/>
    <w:rsid w:val="00861EBC"/>
    <w:rsid w:val="00863AD1"/>
    <w:rsid w:val="00863B49"/>
    <w:rsid w:val="008657A6"/>
    <w:rsid w:val="00870E8C"/>
    <w:rsid w:val="00872A3A"/>
    <w:rsid w:val="00873BF1"/>
    <w:rsid w:val="00873C0B"/>
    <w:rsid w:val="00874681"/>
    <w:rsid w:val="00875E01"/>
    <w:rsid w:val="008779E6"/>
    <w:rsid w:val="00880A53"/>
    <w:rsid w:val="00880F6C"/>
    <w:rsid w:val="008829C2"/>
    <w:rsid w:val="00887F07"/>
    <w:rsid w:val="00890769"/>
    <w:rsid w:val="0089145F"/>
    <w:rsid w:val="00895B8B"/>
    <w:rsid w:val="00896063"/>
    <w:rsid w:val="00897D94"/>
    <w:rsid w:val="008A0C18"/>
    <w:rsid w:val="008A1CA1"/>
    <w:rsid w:val="008A253C"/>
    <w:rsid w:val="008A37C4"/>
    <w:rsid w:val="008A58F7"/>
    <w:rsid w:val="008A5995"/>
    <w:rsid w:val="008A5B88"/>
    <w:rsid w:val="008A6431"/>
    <w:rsid w:val="008A7986"/>
    <w:rsid w:val="008A7B5C"/>
    <w:rsid w:val="008B17AB"/>
    <w:rsid w:val="008B754C"/>
    <w:rsid w:val="008C0308"/>
    <w:rsid w:val="008C0A08"/>
    <w:rsid w:val="008C1606"/>
    <w:rsid w:val="008C169E"/>
    <w:rsid w:val="008C1C3B"/>
    <w:rsid w:val="008C30B9"/>
    <w:rsid w:val="008C677E"/>
    <w:rsid w:val="008C7D5D"/>
    <w:rsid w:val="008D059F"/>
    <w:rsid w:val="008D1AC0"/>
    <w:rsid w:val="008D390A"/>
    <w:rsid w:val="008D66BA"/>
    <w:rsid w:val="008D7767"/>
    <w:rsid w:val="008E201F"/>
    <w:rsid w:val="008E2357"/>
    <w:rsid w:val="008E484C"/>
    <w:rsid w:val="008E5674"/>
    <w:rsid w:val="008E644F"/>
    <w:rsid w:val="008E6EB2"/>
    <w:rsid w:val="008F0483"/>
    <w:rsid w:val="008F0E76"/>
    <w:rsid w:val="008F153C"/>
    <w:rsid w:val="008F1D1E"/>
    <w:rsid w:val="008F20B2"/>
    <w:rsid w:val="008F3787"/>
    <w:rsid w:val="008F3B1D"/>
    <w:rsid w:val="008F3E4C"/>
    <w:rsid w:val="008F503B"/>
    <w:rsid w:val="008F5D1F"/>
    <w:rsid w:val="008F61FC"/>
    <w:rsid w:val="008F62ED"/>
    <w:rsid w:val="008F7B09"/>
    <w:rsid w:val="0090034A"/>
    <w:rsid w:val="00900795"/>
    <w:rsid w:val="00900E0C"/>
    <w:rsid w:val="00901EEB"/>
    <w:rsid w:val="0090224D"/>
    <w:rsid w:val="009038BC"/>
    <w:rsid w:val="00904182"/>
    <w:rsid w:val="009078BC"/>
    <w:rsid w:val="0091527C"/>
    <w:rsid w:val="009179AD"/>
    <w:rsid w:val="00917B82"/>
    <w:rsid w:val="0092030C"/>
    <w:rsid w:val="00920604"/>
    <w:rsid w:val="00920E0E"/>
    <w:rsid w:val="00922523"/>
    <w:rsid w:val="00922FDE"/>
    <w:rsid w:val="00926A5D"/>
    <w:rsid w:val="00927D87"/>
    <w:rsid w:val="0093096E"/>
    <w:rsid w:val="00933CB5"/>
    <w:rsid w:val="00937C12"/>
    <w:rsid w:val="00940B8D"/>
    <w:rsid w:val="00942486"/>
    <w:rsid w:val="00943EE6"/>
    <w:rsid w:val="00944737"/>
    <w:rsid w:val="0094617E"/>
    <w:rsid w:val="009464C8"/>
    <w:rsid w:val="00947D7E"/>
    <w:rsid w:val="00950244"/>
    <w:rsid w:val="009541E9"/>
    <w:rsid w:val="00954E7F"/>
    <w:rsid w:val="0095654A"/>
    <w:rsid w:val="009565EF"/>
    <w:rsid w:val="009608C5"/>
    <w:rsid w:val="00960A84"/>
    <w:rsid w:val="009611B3"/>
    <w:rsid w:val="0096284E"/>
    <w:rsid w:val="009652AE"/>
    <w:rsid w:val="00967C40"/>
    <w:rsid w:val="00971096"/>
    <w:rsid w:val="0097343D"/>
    <w:rsid w:val="009737F2"/>
    <w:rsid w:val="009741EC"/>
    <w:rsid w:val="009753CB"/>
    <w:rsid w:val="009757AF"/>
    <w:rsid w:val="009769CF"/>
    <w:rsid w:val="00976E22"/>
    <w:rsid w:val="0097792C"/>
    <w:rsid w:val="00984CE6"/>
    <w:rsid w:val="009850FB"/>
    <w:rsid w:val="0098577E"/>
    <w:rsid w:val="00986B75"/>
    <w:rsid w:val="00987542"/>
    <w:rsid w:val="0099229A"/>
    <w:rsid w:val="009929C4"/>
    <w:rsid w:val="0099633B"/>
    <w:rsid w:val="009978F6"/>
    <w:rsid w:val="009A0E87"/>
    <w:rsid w:val="009A0FB2"/>
    <w:rsid w:val="009A1BC8"/>
    <w:rsid w:val="009A1BFD"/>
    <w:rsid w:val="009A3467"/>
    <w:rsid w:val="009A3A51"/>
    <w:rsid w:val="009A419C"/>
    <w:rsid w:val="009B1220"/>
    <w:rsid w:val="009B1EE6"/>
    <w:rsid w:val="009B23DE"/>
    <w:rsid w:val="009B292D"/>
    <w:rsid w:val="009B2B8D"/>
    <w:rsid w:val="009B2DC8"/>
    <w:rsid w:val="009B416F"/>
    <w:rsid w:val="009B5B33"/>
    <w:rsid w:val="009B723D"/>
    <w:rsid w:val="009C15BC"/>
    <w:rsid w:val="009C33C3"/>
    <w:rsid w:val="009C3C36"/>
    <w:rsid w:val="009C44E2"/>
    <w:rsid w:val="009C7227"/>
    <w:rsid w:val="009C78DC"/>
    <w:rsid w:val="009C7DF2"/>
    <w:rsid w:val="009D18C3"/>
    <w:rsid w:val="009D49AE"/>
    <w:rsid w:val="009D5639"/>
    <w:rsid w:val="009D5EF8"/>
    <w:rsid w:val="009D72D0"/>
    <w:rsid w:val="009E4552"/>
    <w:rsid w:val="009F2C29"/>
    <w:rsid w:val="009F3BF5"/>
    <w:rsid w:val="009F4270"/>
    <w:rsid w:val="009F4718"/>
    <w:rsid w:val="009F61BF"/>
    <w:rsid w:val="009F6656"/>
    <w:rsid w:val="009F725D"/>
    <w:rsid w:val="009F7970"/>
    <w:rsid w:val="00A02C46"/>
    <w:rsid w:val="00A03F28"/>
    <w:rsid w:val="00A049F9"/>
    <w:rsid w:val="00A04FE1"/>
    <w:rsid w:val="00A058B1"/>
    <w:rsid w:val="00A11992"/>
    <w:rsid w:val="00A11C2D"/>
    <w:rsid w:val="00A12614"/>
    <w:rsid w:val="00A14B38"/>
    <w:rsid w:val="00A16E40"/>
    <w:rsid w:val="00A179B2"/>
    <w:rsid w:val="00A17DAF"/>
    <w:rsid w:val="00A24A8D"/>
    <w:rsid w:val="00A27984"/>
    <w:rsid w:val="00A304CA"/>
    <w:rsid w:val="00A34ADA"/>
    <w:rsid w:val="00A34B5A"/>
    <w:rsid w:val="00A355D1"/>
    <w:rsid w:val="00A3624F"/>
    <w:rsid w:val="00A4058B"/>
    <w:rsid w:val="00A4449A"/>
    <w:rsid w:val="00A45D24"/>
    <w:rsid w:val="00A47B1D"/>
    <w:rsid w:val="00A51334"/>
    <w:rsid w:val="00A51A07"/>
    <w:rsid w:val="00A53716"/>
    <w:rsid w:val="00A53973"/>
    <w:rsid w:val="00A56A61"/>
    <w:rsid w:val="00A57682"/>
    <w:rsid w:val="00A61CC1"/>
    <w:rsid w:val="00A65685"/>
    <w:rsid w:val="00A65727"/>
    <w:rsid w:val="00A65CE5"/>
    <w:rsid w:val="00A67CE0"/>
    <w:rsid w:val="00A67F66"/>
    <w:rsid w:val="00A7069D"/>
    <w:rsid w:val="00A70ABB"/>
    <w:rsid w:val="00A714FE"/>
    <w:rsid w:val="00A7465C"/>
    <w:rsid w:val="00A74AB1"/>
    <w:rsid w:val="00A76558"/>
    <w:rsid w:val="00A828AD"/>
    <w:rsid w:val="00A837BF"/>
    <w:rsid w:val="00A84AC7"/>
    <w:rsid w:val="00A851A9"/>
    <w:rsid w:val="00A86F24"/>
    <w:rsid w:val="00A91B8A"/>
    <w:rsid w:val="00A926D1"/>
    <w:rsid w:val="00A92C0A"/>
    <w:rsid w:val="00A93C3C"/>
    <w:rsid w:val="00A93E01"/>
    <w:rsid w:val="00A94303"/>
    <w:rsid w:val="00A95BD5"/>
    <w:rsid w:val="00A96885"/>
    <w:rsid w:val="00A9790C"/>
    <w:rsid w:val="00AA284F"/>
    <w:rsid w:val="00AA2E53"/>
    <w:rsid w:val="00AA4FCC"/>
    <w:rsid w:val="00AA6B58"/>
    <w:rsid w:val="00AB17BF"/>
    <w:rsid w:val="00AB39B7"/>
    <w:rsid w:val="00AB3C8F"/>
    <w:rsid w:val="00AB415E"/>
    <w:rsid w:val="00AB473F"/>
    <w:rsid w:val="00AB6820"/>
    <w:rsid w:val="00AB6DD5"/>
    <w:rsid w:val="00AC13F4"/>
    <w:rsid w:val="00AC2A83"/>
    <w:rsid w:val="00AC2DE1"/>
    <w:rsid w:val="00AC641C"/>
    <w:rsid w:val="00AD10A8"/>
    <w:rsid w:val="00AE0F86"/>
    <w:rsid w:val="00AE1049"/>
    <w:rsid w:val="00AF2437"/>
    <w:rsid w:val="00AF2A9C"/>
    <w:rsid w:val="00AF38C2"/>
    <w:rsid w:val="00AF3A89"/>
    <w:rsid w:val="00AF3EDA"/>
    <w:rsid w:val="00AF4646"/>
    <w:rsid w:val="00AF4F8B"/>
    <w:rsid w:val="00AF573F"/>
    <w:rsid w:val="00AF65BD"/>
    <w:rsid w:val="00B006CF"/>
    <w:rsid w:val="00B01054"/>
    <w:rsid w:val="00B0115F"/>
    <w:rsid w:val="00B01A63"/>
    <w:rsid w:val="00B01D45"/>
    <w:rsid w:val="00B02BF1"/>
    <w:rsid w:val="00B02FBA"/>
    <w:rsid w:val="00B034CE"/>
    <w:rsid w:val="00B03548"/>
    <w:rsid w:val="00B048C7"/>
    <w:rsid w:val="00B06009"/>
    <w:rsid w:val="00B07677"/>
    <w:rsid w:val="00B11E87"/>
    <w:rsid w:val="00B135A3"/>
    <w:rsid w:val="00B13A6F"/>
    <w:rsid w:val="00B1517B"/>
    <w:rsid w:val="00B163C7"/>
    <w:rsid w:val="00B16C72"/>
    <w:rsid w:val="00B16F98"/>
    <w:rsid w:val="00B17E38"/>
    <w:rsid w:val="00B21616"/>
    <w:rsid w:val="00B2204C"/>
    <w:rsid w:val="00B233D4"/>
    <w:rsid w:val="00B24B4D"/>
    <w:rsid w:val="00B25AB3"/>
    <w:rsid w:val="00B265C9"/>
    <w:rsid w:val="00B307A7"/>
    <w:rsid w:val="00B3187E"/>
    <w:rsid w:val="00B3255D"/>
    <w:rsid w:val="00B32D38"/>
    <w:rsid w:val="00B343B7"/>
    <w:rsid w:val="00B34BF1"/>
    <w:rsid w:val="00B35366"/>
    <w:rsid w:val="00B35C47"/>
    <w:rsid w:val="00B36EAE"/>
    <w:rsid w:val="00B404B0"/>
    <w:rsid w:val="00B422E9"/>
    <w:rsid w:val="00B46B08"/>
    <w:rsid w:val="00B506C1"/>
    <w:rsid w:val="00B52F85"/>
    <w:rsid w:val="00B54C6C"/>
    <w:rsid w:val="00B5550A"/>
    <w:rsid w:val="00B602E5"/>
    <w:rsid w:val="00B62349"/>
    <w:rsid w:val="00B63160"/>
    <w:rsid w:val="00B6457B"/>
    <w:rsid w:val="00B65450"/>
    <w:rsid w:val="00B66196"/>
    <w:rsid w:val="00B66A50"/>
    <w:rsid w:val="00B66BAE"/>
    <w:rsid w:val="00B67B77"/>
    <w:rsid w:val="00B70FE9"/>
    <w:rsid w:val="00B74501"/>
    <w:rsid w:val="00B768C2"/>
    <w:rsid w:val="00B76ED1"/>
    <w:rsid w:val="00B83769"/>
    <w:rsid w:val="00B84799"/>
    <w:rsid w:val="00B87015"/>
    <w:rsid w:val="00B879AC"/>
    <w:rsid w:val="00B87E5B"/>
    <w:rsid w:val="00B91C42"/>
    <w:rsid w:val="00B948EF"/>
    <w:rsid w:val="00B94A1E"/>
    <w:rsid w:val="00B96F8B"/>
    <w:rsid w:val="00BA0A20"/>
    <w:rsid w:val="00BA0D34"/>
    <w:rsid w:val="00BA30E2"/>
    <w:rsid w:val="00BA5C53"/>
    <w:rsid w:val="00BB06C8"/>
    <w:rsid w:val="00BB1BB6"/>
    <w:rsid w:val="00BB2FA9"/>
    <w:rsid w:val="00BB34C2"/>
    <w:rsid w:val="00BB3B92"/>
    <w:rsid w:val="00BB52ED"/>
    <w:rsid w:val="00BB6B52"/>
    <w:rsid w:val="00BC238F"/>
    <w:rsid w:val="00BC2F69"/>
    <w:rsid w:val="00BC3398"/>
    <w:rsid w:val="00BC5418"/>
    <w:rsid w:val="00BC692F"/>
    <w:rsid w:val="00BD0D01"/>
    <w:rsid w:val="00BD4185"/>
    <w:rsid w:val="00BD5546"/>
    <w:rsid w:val="00BD5842"/>
    <w:rsid w:val="00BD7EC0"/>
    <w:rsid w:val="00BE0E97"/>
    <w:rsid w:val="00BE1125"/>
    <w:rsid w:val="00BE35D3"/>
    <w:rsid w:val="00BE62BC"/>
    <w:rsid w:val="00BE6C28"/>
    <w:rsid w:val="00BF08BD"/>
    <w:rsid w:val="00BF251F"/>
    <w:rsid w:val="00BF31D1"/>
    <w:rsid w:val="00BF58B6"/>
    <w:rsid w:val="00C00364"/>
    <w:rsid w:val="00C01534"/>
    <w:rsid w:val="00C028C7"/>
    <w:rsid w:val="00C02AD6"/>
    <w:rsid w:val="00C02D94"/>
    <w:rsid w:val="00C03545"/>
    <w:rsid w:val="00C04B32"/>
    <w:rsid w:val="00C04D9A"/>
    <w:rsid w:val="00C1023C"/>
    <w:rsid w:val="00C11014"/>
    <w:rsid w:val="00C117C9"/>
    <w:rsid w:val="00C12029"/>
    <w:rsid w:val="00C155C6"/>
    <w:rsid w:val="00C17C31"/>
    <w:rsid w:val="00C20987"/>
    <w:rsid w:val="00C21D06"/>
    <w:rsid w:val="00C26085"/>
    <w:rsid w:val="00C3089F"/>
    <w:rsid w:val="00C320DF"/>
    <w:rsid w:val="00C32335"/>
    <w:rsid w:val="00C3290D"/>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5208"/>
    <w:rsid w:val="00C72113"/>
    <w:rsid w:val="00C72129"/>
    <w:rsid w:val="00C73BAB"/>
    <w:rsid w:val="00C766FB"/>
    <w:rsid w:val="00C76B15"/>
    <w:rsid w:val="00C83636"/>
    <w:rsid w:val="00C8748C"/>
    <w:rsid w:val="00C8776F"/>
    <w:rsid w:val="00C90A9B"/>
    <w:rsid w:val="00C9158D"/>
    <w:rsid w:val="00C91B83"/>
    <w:rsid w:val="00C91E73"/>
    <w:rsid w:val="00C921A2"/>
    <w:rsid w:val="00C96E9D"/>
    <w:rsid w:val="00C9772B"/>
    <w:rsid w:val="00C97E38"/>
    <w:rsid w:val="00CA1DE0"/>
    <w:rsid w:val="00CA2BDA"/>
    <w:rsid w:val="00CA437A"/>
    <w:rsid w:val="00CA6998"/>
    <w:rsid w:val="00CB10FF"/>
    <w:rsid w:val="00CB1178"/>
    <w:rsid w:val="00CB1E2B"/>
    <w:rsid w:val="00CB2FAC"/>
    <w:rsid w:val="00CB3BA6"/>
    <w:rsid w:val="00CB57A1"/>
    <w:rsid w:val="00CB75CA"/>
    <w:rsid w:val="00CC0FCC"/>
    <w:rsid w:val="00CC4361"/>
    <w:rsid w:val="00CC46FB"/>
    <w:rsid w:val="00CC5DA5"/>
    <w:rsid w:val="00CC7150"/>
    <w:rsid w:val="00CD1A6F"/>
    <w:rsid w:val="00CD5CB8"/>
    <w:rsid w:val="00CD6003"/>
    <w:rsid w:val="00CD7181"/>
    <w:rsid w:val="00CE2AB3"/>
    <w:rsid w:val="00CE2C48"/>
    <w:rsid w:val="00CE33CD"/>
    <w:rsid w:val="00CE4D47"/>
    <w:rsid w:val="00CE657E"/>
    <w:rsid w:val="00CE7E7C"/>
    <w:rsid w:val="00CF054B"/>
    <w:rsid w:val="00CF0678"/>
    <w:rsid w:val="00CF1BE4"/>
    <w:rsid w:val="00CF255F"/>
    <w:rsid w:val="00CF3213"/>
    <w:rsid w:val="00CF39C7"/>
    <w:rsid w:val="00CF4435"/>
    <w:rsid w:val="00CF4F7F"/>
    <w:rsid w:val="00CF67A5"/>
    <w:rsid w:val="00D004C3"/>
    <w:rsid w:val="00D02643"/>
    <w:rsid w:val="00D037D3"/>
    <w:rsid w:val="00D06C62"/>
    <w:rsid w:val="00D0716C"/>
    <w:rsid w:val="00D10B8A"/>
    <w:rsid w:val="00D139EF"/>
    <w:rsid w:val="00D151FC"/>
    <w:rsid w:val="00D225C7"/>
    <w:rsid w:val="00D25526"/>
    <w:rsid w:val="00D27C12"/>
    <w:rsid w:val="00D27EDF"/>
    <w:rsid w:val="00D31DEC"/>
    <w:rsid w:val="00D336A7"/>
    <w:rsid w:val="00D347EF"/>
    <w:rsid w:val="00D356BC"/>
    <w:rsid w:val="00D36698"/>
    <w:rsid w:val="00D41720"/>
    <w:rsid w:val="00D42146"/>
    <w:rsid w:val="00D4379E"/>
    <w:rsid w:val="00D47C2F"/>
    <w:rsid w:val="00D51713"/>
    <w:rsid w:val="00D537E3"/>
    <w:rsid w:val="00D5679B"/>
    <w:rsid w:val="00D56E36"/>
    <w:rsid w:val="00D57205"/>
    <w:rsid w:val="00D6022C"/>
    <w:rsid w:val="00D605F5"/>
    <w:rsid w:val="00D61AEB"/>
    <w:rsid w:val="00D61D45"/>
    <w:rsid w:val="00D64133"/>
    <w:rsid w:val="00D64984"/>
    <w:rsid w:val="00D66810"/>
    <w:rsid w:val="00D6735F"/>
    <w:rsid w:val="00D67641"/>
    <w:rsid w:val="00D71413"/>
    <w:rsid w:val="00D71547"/>
    <w:rsid w:val="00D7291E"/>
    <w:rsid w:val="00D72C26"/>
    <w:rsid w:val="00D72CBA"/>
    <w:rsid w:val="00D73A0A"/>
    <w:rsid w:val="00D774DD"/>
    <w:rsid w:val="00D84B04"/>
    <w:rsid w:val="00D8770D"/>
    <w:rsid w:val="00D87EA2"/>
    <w:rsid w:val="00D87FB2"/>
    <w:rsid w:val="00D90B4E"/>
    <w:rsid w:val="00D91240"/>
    <w:rsid w:val="00D93018"/>
    <w:rsid w:val="00D9632B"/>
    <w:rsid w:val="00D9657F"/>
    <w:rsid w:val="00D97B6F"/>
    <w:rsid w:val="00DA0136"/>
    <w:rsid w:val="00DA077C"/>
    <w:rsid w:val="00DA07D3"/>
    <w:rsid w:val="00DA57E1"/>
    <w:rsid w:val="00DA693A"/>
    <w:rsid w:val="00DA7341"/>
    <w:rsid w:val="00DB0322"/>
    <w:rsid w:val="00DB300A"/>
    <w:rsid w:val="00DB43F6"/>
    <w:rsid w:val="00DB453D"/>
    <w:rsid w:val="00DB6C23"/>
    <w:rsid w:val="00DB7104"/>
    <w:rsid w:val="00DB71CD"/>
    <w:rsid w:val="00DB7921"/>
    <w:rsid w:val="00DC00F6"/>
    <w:rsid w:val="00DC2348"/>
    <w:rsid w:val="00DC597F"/>
    <w:rsid w:val="00DC6B71"/>
    <w:rsid w:val="00DC775F"/>
    <w:rsid w:val="00DD08BF"/>
    <w:rsid w:val="00DD0B8D"/>
    <w:rsid w:val="00DD1649"/>
    <w:rsid w:val="00DD18A7"/>
    <w:rsid w:val="00DD2471"/>
    <w:rsid w:val="00DD30A2"/>
    <w:rsid w:val="00DD4BCD"/>
    <w:rsid w:val="00DD56DF"/>
    <w:rsid w:val="00DD67F5"/>
    <w:rsid w:val="00DE14A7"/>
    <w:rsid w:val="00DE1653"/>
    <w:rsid w:val="00DE1889"/>
    <w:rsid w:val="00DE3BEF"/>
    <w:rsid w:val="00DE73FF"/>
    <w:rsid w:val="00DE7AC8"/>
    <w:rsid w:val="00DF2498"/>
    <w:rsid w:val="00DF4FF7"/>
    <w:rsid w:val="00DF5A0E"/>
    <w:rsid w:val="00DF5F22"/>
    <w:rsid w:val="00E00BC5"/>
    <w:rsid w:val="00E011B4"/>
    <w:rsid w:val="00E03ABB"/>
    <w:rsid w:val="00E06D13"/>
    <w:rsid w:val="00E0740F"/>
    <w:rsid w:val="00E10606"/>
    <w:rsid w:val="00E10C99"/>
    <w:rsid w:val="00E10E63"/>
    <w:rsid w:val="00E127D3"/>
    <w:rsid w:val="00E1586F"/>
    <w:rsid w:val="00E16389"/>
    <w:rsid w:val="00E16B60"/>
    <w:rsid w:val="00E17D16"/>
    <w:rsid w:val="00E17E55"/>
    <w:rsid w:val="00E215AA"/>
    <w:rsid w:val="00E25294"/>
    <w:rsid w:val="00E2598B"/>
    <w:rsid w:val="00E31AC1"/>
    <w:rsid w:val="00E33C36"/>
    <w:rsid w:val="00E413D7"/>
    <w:rsid w:val="00E41D93"/>
    <w:rsid w:val="00E4366C"/>
    <w:rsid w:val="00E43687"/>
    <w:rsid w:val="00E439D4"/>
    <w:rsid w:val="00E44E5C"/>
    <w:rsid w:val="00E4747F"/>
    <w:rsid w:val="00E5181D"/>
    <w:rsid w:val="00E52009"/>
    <w:rsid w:val="00E5289B"/>
    <w:rsid w:val="00E52CB4"/>
    <w:rsid w:val="00E5339C"/>
    <w:rsid w:val="00E555A1"/>
    <w:rsid w:val="00E56DE6"/>
    <w:rsid w:val="00E601ED"/>
    <w:rsid w:val="00E60F4D"/>
    <w:rsid w:val="00E614BD"/>
    <w:rsid w:val="00E62E39"/>
    <w:rsid w:val="00E63C2D"/>
    <w:rsid w:val="00E63DF2"/>
    <w:rsid w:val="00E704F4"/>
    <w:rsid w:val="00E71307"/>
    <w:rsid w:val="00E71BA0"/>
    <w:rsid w:val="00E722C5"/>
    <w:rsid w:val="00E72351"/>
    <w:rsid w:val="00E74F06"/>
    <w:rsid w:val="00E8031F"/>
    <w:rsid w:val="00E821CF"/>
    <w:rsid w:val="00E8272B"/>
    <w:rsid w:val="00E84C14"/>
    <w:rsid w:val="00E86713"/>
    <w:rsid w:val="00E86FBD"/>
    <w:rsid w:val="00E938A1"/>
    <w:rsid w:val="00E9649B"/>
    <w:rsid w:val="00EA0780"/>
    <w:rsid w:val="00EA4D37"/>
    <w:rsid w:val="00EA5208"/>
    <w:rsid w:val="00EB0485"/>
    <w:rsid w:val="00EB058B"/>
    <w:rsid w:val="00EB49E3"/>
    <w:rsid w:val="00EB5D69"/>
    <w:rsid w:val="00EB5DCB"/>
    <w:rsid w:val="00EB70DE"/>
    <w:rsid w:val="00EB70E2"/>
    <w:rsid w:val="00EB7DD9"/>
    <w:rsid w:val="00EC4BD1"/>
    <w:rsid w:val="00EC4F4D"/>
    <w:rsid w:val="00EC5515"/>
    <w:rsid w:val="00ED05CB"/>
    <w:rsid w:val="00ED250F"/>
    <w:rsid w:val="00ED45FA"/>
    <w:rsid w:val="00ED4A75"/>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486"/>
    <w:rsid w:val="00EF6C74"/>
    <w:rsid w:val="00EF6D9E"/>
    <w:rsid w:val="00F04207"/>
    <w:rsid w:val="00F06356"/>
    <w:rsid w:val="00F12266"/>
    <w:rsid w:val="00F13F33"/>
    <w:rsid w:val="00F14277"/>
    <w:rsid w:val="00F20EA0"/>
    <w:rsid w:val="00F21F5D"/>
    <w:rsid w:val="00F3055D"/>
    <w:rsid w:val="00F3187A"/>
    <w:rsid w:val="00F34CEF"/>
    <w:rsid w:val="00F35412"/>
    <w:rsid w:val="00F3664E"/>
    <w:rsid w:val="00F37505"/>
    <w:rsid w:val="00F412CB"/>
    <w:rsid w:val="00F428AE"/>
    <w:rsid w:val="00F4695F"/>
    <w:rsid w:val="00F47E02"/>
    <w:rsid w:val="00F50794"/>
    <w:rsid w:val="00F55D24"/>
    <w:rsid w:val="00F57159"/>
    <w:rsid w:val="00F57928"/>
    <w:rsid w:val="00F615D1"/>
    <w:rsid w:val="00F62AE0"/>
    <w:rsid w:val="00F62B56"/>
    <w:rsid w:val="00F62D6B"/>
    <w:rsid w:val="00F64205"/>
    <w:rsid w:val="00F64CEE"/>
    <w:rsid w:val="00F6712F"/>
    <w:rsid w:val="00F676C5"/>
    <w:rsid w:val="00F70F35"/>
    <w:rsid w:val="00F722D7"/>
    <w:rsid w:val="00F749E4"/>
    <w:rsid w:val="00F76A11"/>
    <w:rsid w:val="00F7760C"/>
    <w:rsid w:val="00F77CC4"/>
    <w:rsid w:val="00F81D36"/>
    <w:rsid w:val="00F831F1"/>
    <w:rsid w:val="00F84279"/>
    <w:rsid w:val="00F84729"/>
    <w:rsid w:val="00F8507B"/>
    <w:rsid w:val="00F8799C"/>
    <w:rsid w:val="00F90720"/>
    <w:rsid w:val="00F914F0"/>
    <w:rsid w:val="00F920C3"/>
    <w:rsid w:val="00F97571"/>
    <w:rsid w:val="00FA1793"/>
    <w:rsid w:val="00FA249D"/>
    <w:rsid w:val="00FA576D"/>
    <w:rsid w:val="00FA628D"/>
    <w:rsid w:val="00FA6DE4"/>
    <w:rsid w:val="00FA7B1C"/>
    <w:rsid w:val="00FB354B"/>
    <w:rsid w:val="00FB661D"/>
    <w:rsid w:val="00FB704F"/>
    <w:rsid w:val="00FC05EF"/>
    <w:rsid w:val="00FC0858"/>
    <w:rsid w:val="00FC2C94"/>
    <w:rsid w:val="00FC42D1"/>
    <w:rsid w:val="00FC4B54"/>
    <w:rsid w:val="00FC75F5"/>
    <w:rsid w:val="00FD0DE4"/>
    <w:rsid w:val="00FD1479"/>
    <w:rsid w:val="00FD44A7"/>
    <w:rsid w:val="00FD56ED"/>
    <w:rsid w:val="00FD5983"/>
    <w:rsid w:val="00FD5F20"/>
    <w:rsid w:val="00FD765F"/>
    <w:rsid w:val="00FD7FCE"/>
    <w:rsid w:val="00FE0993"/>
    <w:rsid w:val="00FE0C6E"/>
    <w:rsid w:val="00FE1880"/>
    <w:rsid w:val="00FE203F"/>
    <w:rsid w:val="00FE3099"/>
    <w:rsid w:val="00FE652F"/>
    <w:rsid w:val="00FF2723"/>
    <w:rsid w:val="00FF3A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styleId="aff7">
    <w:name w:val="Unresolved Mention"/>
    <w:basedOn w:val="a0"/>
    <w:uiPriority w:val="99"/>
    <w:semiHidden/>
    <w:unhideWhenUsed/>
    <w:rsid w:val="00B83769"/>
    <w:rPr>
      <w:color w:val="605E5C"/>
      <w:shd w:val="clear" w:color="auto" w:fill="E1DFDD"/>
    </w:rPr>
  </w:style>
  <w:style w:type="character" w:styleId="aff8">
    <w:name w:val="Intense Emphasis"/>
    <w:basedOn w:val="a0"/>
    <w:uiPriority w:val="21"/>
    <w:qFormat/>
    <w:rsid w:val="00D7154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ahlgoldberg@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zion.org.il/"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www.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AC011-390D-47E4-87AC-0D33453CF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2304</Words>
  <Characters>11525</Characters>
  <Application>Microsoft Office Word</Application>
  <DocSecurity>0</DocSecurity>
  <Lines>96</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13802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22</cp:revision>
  <cp:lastPrinted>2001-10-24T10:13:00Z</cp:lastPrinted>
  <dcterms:created xsi:type="dcterms:W3CDTF">2020-03-02T19:22:00Z</dcterms:created>
  <dcterms:modified xsi:type="dcterms:W3CDTF">2020-03-03T07:12:00Z</dcterms:modified>
</cp:coreProperties>
</file>