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FB404D">
      <w:pPr>
        <w:pStyle w:val="a8"/>
        <w:tabs>
          <w:tab w:val="right" w:pos="4620"/>
        </w:tabs>
        <w:rPr>
          <w:sz w:val="26"/>
          <w:szCs w:val="26"/>
          <w:rtl/>
        </w:rPr>
      </w:pPr>
      <w:r w:rsidRPr="00C1023C">
        <w:rPr>
          <w:sz w:val="26"/>
          <w:szCs w:val="26"/>
          <w:rtl/>
        </w:rPr>
        <w:t xml:space="preserve">הרב </w:t>
      </w:r>
      <w:r w:rsidR="00FB404D">
        <w:rPr>
          <w:rFonts w:hint="cs"/>
          <w:sz w:val="26"/>
          <w:szCs w:val="26"/>
          <w:rtl/>
        </w:rPr>
        <w:t>יהודה עמיטל זצ"ל</w:t>
      </w:r>
    </w:p>
    <w:p w:rsidR="00B74501" w:rsidRPr="00C1023C" w:rsidRDefault="00B74501" w:rsidP="00FB404D">
      <w:pPr>
        <w:pStyle w:val="a8"/>
        <w:tabs>
          <w:tab w:val="right" w:pos="4620"/>
        </w:tabs>
        <w:rPr>
          <w:sz w:val="26"/>
          <w:szCs w:val="26"/>
          <w:rtl/>
        </w:rPr>
      </w:pPr>
      <w:r w:rsidRPr="00C1023C">
        <w:rPr>
          <w:sz w:val="26"/>
          <w:szCs w:val="26"/>
          <w:rtl/>
        </w:rPr>
        <w:t xml:space="preserve">שיחה </w:t>
      </w:r>
      <w:r w:rsidR="00697A94">
        <w:rPr>
          <w:rFonts w:hint="cs"/>
          <w:sz w:val="26"/>
          <w:szCs w:val="26"/>
          <w:rtl/>
        </w:rPr>
        <w:t xml:space="preserve">לפרשת </w:t>
      </w:r>
      <w:r w:rsidR="00FB404D">
        <w:rPr>
          <w:rFonts w:hint="cs"/>
          <w:sz w:val="26"/>
          <w:szCs w:val="26"/>
          <w:rtl/>
        </w:rPr>
        <w:t>בהעלותך</w:t>
      </w:r>
    </w:p>
    <w:p w:rsidR="00F57159" w:rsidRPr="00C1023C" w:rsidRDefault="00FB404D" w:rsidP="008C5E3D">
      <w:pPr>
        <w:pStyle w:val="1"/>
        <w:tabs>
          <w:tab w:val="right" w:pos="4620"/>
        </w:tabs>
        <w:rPr>
          <w:sz w:val="22"/>
          <w:szCs w:val="46"/>
          <w:rtl/>
        </w:rPr>
      </w:pPr>
      <w:bookmarkStart w:id="0" w:name="OLE_LINK1"/>
      <w:r>
        <w:rPr>
          <w:rFonts w:hint="cs"/>
          <w:sz w:val="38"/>
          <w:szCs w:val="38"/>
          <w:rtl/>
        </w:rPr>
        <w:t>מחויבות והזדהות פנימית</w:t>
      </w:r>
      <w:r w:rsidR="00F57159" w:rsidRPr="00C1023C">
        <w:rPr>
          <w:rStyle w:val="a5"/>
          <w:sz w:val="20"/>
          <w:szCs w:val="20"/>
          <w:rtl/>
        </w:rPr>
        <w:footnoteReference w:customMarkFollows="1" w:id="1"/>
        <w:t>*</w:t>
      </w:r>
    </w:p>
    <w:p w:rsidR="00F93CCE" w:rsidRPr="00F93CCE" w:rsidRDefault="00F93CCE" w:rsidP="008C5E3D">
      <w:pPr>
        <w:tabs>
          <w:tab w:val="right" w:pos="4620"/>
        </w:tabs>
        <w:rPr>
          <w:rtl/>
        </w:rPr>
      </w:pPr>
    </w:p>
    <w:p w:rsidR="00FB404D" w:rsidRPr="000A628E" w:rsidRDefault="00ED1447" w:rsidP="00FB404D">
      <w:pPr>
        <w:pStyle w:val="2"/>
        <w:tabs>
          <w:tab w:val="right" w:pos="4620"/>
        </w:tabs>
        <w:rPr>
          <w:rtl/>
        </w:rPr>
      </w:pPr>
      <w:r>
        <w:rPr>
          <w:rFonts w:hint="cs"/>
          <w:rtl/>
        </w:rPr>
        <w:t>חלשה דעתו...</w:t>
      </w:r>
    </w:p>
    <w:p w:rsidR="00FB404D" w:rsidRPr="00FB404D" w:rsidRDefault="00FB404D" w:rsidP="00BF72EE">
      <w:pPr>
        <w:tabs>
          <w:tab w:val="right" w:pos="4620"/>
        </w:tabs>
        <w:rPr>
          <w:sz w:val="22"/>
          <w:szCs w:val="24"/>
          <w:rtl/>
        </w:rPr>
      </w:pPr>
      <w:r w:rsidRPr="00FB404D">
        <w:rPr>
          <w:sz w:val="22"/>
          <w:szCs w:val="24"/>
          <w:rtl/>
        </w:rPr>
        <w:t xml:space="preserve">בתחילת פרשת השבוע מסביר רש"י </w:t>
      </w:r>
      <w:r w:rsidRPr="00BF72EE">
        <w:rPr>
          <w:sz w:val="18"/>
          <w:szCs w:val="20"/>
          <w:rtl/>
        </w:rPr>
        <w:t xml:space="preserve">(במדבר ח', ב, ד"ה </w:t>
      </w:r>
      <w:proofErr w:type="spellStart"/>
      <w:r w:rsidR="00BF72EE">
        <w:rPr>
          <w:sz w:val="18"/>
          <w:szCs w:val="20"/>
          <w:rtl/>
        </w:rPr>
        <w:t>בהעלתך</w:t>
      </w:r>
      <w:proofErr w:type="spellEnd"/>
      <w:r w:rsidRPr="00BF72EE">
        <w:rPr>
          <w:sz w:val="18"/>
          <w:szCs w:val="20"/>
          <w:rtl/>
        </w:rPr>
        <w:t>)</w:t>
      </w:r>
      <w:r w:rsidRPr="00FB404D">
        <w:rPr>
          <w:sz w:val="22"/>
          <w:szCs w:val="24"/>
          <w:rtl/>
        </w:rPr>
        <w:t xml:space="preserve"> מדוע נסמך ציווי הקב"ה לאהרן על הדלקת המנורה לפרשת הקרבת הקרבנות של נשיאי השבטים.</w:t>
      </w:r>
    </w:p>
    <w:p w:rsidR="00FB404D" w:rsidRPr="00FB404D" w:rsidRDefault="00FB404D" w:rsidP="00BF72EE">
      <w:pPr>
        <w:tabs>
          <w:tab w:val="right" w:pos="4620"/>
        </w:tabs>
        <w:rPr>
          <w:sz w:val="22"/>
          <w:szCs w:val="24"/>
          <w:rtl/>
        </w:rPr>
      </w:pPr>
      <w:r w:rsidRPr="00FB404D">
        <w:rPr>
          <w:sz w:val="22"/>
          <w:szCs w:val="24"/>
          <w:rtl/>
        </w:rPr>
        <w:t xml:space="preserve">רש"י מצטט מדרש המספר כי כשאהרן ראה את חלקם של הנשיאים בחנוכת המשכן הוא נתקנא בכבוד הגדול שנפל בחלקם. </w:t>
      </w:r>
      <w:r w:rsidR="00BF72EE">
        <w:rPr>
          <w:rFonts w:hint="cs"/>
          <w:sz w:val="22"/>
          <w:szCs w:val="24"/>
          <w:rtl/>
        </w:rPr>
        <w:t xml:space="preserve">כדי </w:t>
      </w:r>
      <w:r w:rsidRPr="00FB404D">
        <w:rPr>
          <w:sz w:val="22"/>
          <w:szCs w:val="24"/>
          <w:rtl/>
        </w:rPr>
        <w:t>לפייס את דעתו, הקב"ה נתן לו את תפקיד הדלקת המנורה מדי יום ביומו. כבוד זה שנפל בחלקו של אהרן היה רב יותר מכבודם של נשיאי השבטים.</w:t>
      </w:r>
    </w:p>
    <w:p w:rsidR="00FB404D" w:rsidRPr="00FB404D" w:rsidRDefault="00FB404D" w:rsidP="00ED1447">
      <w:pPr>
        <w:tabs>
          <w:tab w:val="right" w:pos="4620"/>
        </w:tabs>
        <w:rPr>
          <w:sz w:val="22"/>
          <w:szCs w:val="24"/>
          <w:rtl/>
        </w:rPr>
      </w:pPr>
      <w:r w:rsidRPr="00FB404D">
        <w:rPr>
          <w:sz w:val="22"/>
          <w:szCs w:val="24"/>
          <w:rtl/>
        </w:rPr>
        <w:t xml:space="preserve">הרמב"ן </w:t>
      </w:r>
      <w:r w:rsidRPr="00ED1447">
        <w:rPr>
          <w:sz w:val="18"/>
          <w:szCs w:val="20"/>
          <w:rtl/>
        </w:rPr>
        <w:t>(</w:t>
      </w:r>
      <w:r w:rsidR="00ED1447">
        <w:rPr>
          <w:rFonts w:hint="cs"/>
          <w:sz w:val="18"/>
          <w:szCs w:val="20"/>
          <w:rtl/>
        </w:rPr>
        <w:t>שם</w:t>
      </w:r>
      <w:r w:rsidRPr="00ED1447">
        <w:rPr>
          <w:sz w:val="18"/>
          <w:szCs w:val="20"/>
          <w:rtl/>
        </w:rPr>
        <w:t xml:space="preserve">, ד"ה </w:t>
      </w:r>
      <w:proofErr w:type="spellStart"/>
      <w:r w:rsidR="00ED1447" w:rsidRPr="00ED1447">
        <w:rPr>
          <w:sz w:val="18"/>
          <w:szCs w:val="20"/>
          <w:rtl/>
        </w:rPr>
        <w:t>בהעלתך</w:t>
      </w:r>
      <w:proofErr w:type="spellEnd"/>
      <w:r w:rsidRPr="00ED1447">
        <w:rPr>
          <w:sz w:val="18"/>
          <w:szCs w:val="20"/>
          <w:rtl/>
        </w:rPr>
        <w:t>)</w:t>
      </w:r>
      <w:r w:rsidRPr="00FB404D">
        <w:rPr>
          <w:sz w:val="22"/>
          <w:szCs w:val="24"/>
          <w:rtl/>
        </w:rPr>
        <w:t xml:space="preserve"> מתקשה בהבנת המדרש. האם אהרן לא ידע כי קרבנות הנשיאים שקולים כנגד הקרבנות שאותם היה אמור להקריב ביום חנוכת המשכן?</w:t>
      </w:r>
    </w:p>
    <w:p w:rsidR="00FB404D" w:rsidRPr="00FB404D" w:rsidRDefault="00FB404D" w:rsidP="00FB404D">
      <w:pPr>
        <w:tabs>
          <w:tab w:val="right" w:pos="4620"/>
        </w:tabs>
        <w:rPr>
          <w:sz w:val="22"/>
          <w:szCs w:val="24"/>
          <w:rtl/>
        </w:rPr>
      </w:pPr>
      <w:r w:rsidRPr="00FB404D">
        <w:rPr>
          <w:sz w:val="22"/>
          <w:szCs w:val="24"/>
          <w:rtl/>
        </w:rPr>
        <w:t>יתר על כן, מדוע הקב"ה בחר לנחם את אהרן דווקא בהדלקת המנורה ולא בתפקידים אחרים שאותם מילא אהרן במשכן, כגון הקרבת קרבנות יום הכיפורים?</w:t>
      </w:r>
    </w:p>
    <w:p w:rsidR="00FB404D" w:rsidRPr="00FB404D" w:rsidRDefault="00FB404D" w:rsidP="00FB404D">
      <w:pPr>
        <w:tabs>
          <w:tab w:val="right" w:pos="4620"/>
        </w:tabs>
        <w:rPr>
          <w:sz w:val="22"/>
          <w:szCs w:val="24"/>
          <w:rtl/>
        </w:rPr>
      </w:pPr>
      <w:r w:rsidRPr="00FB404D">
        <w:rPr>
          <w:sz w:val="22"/>
          <w:szCs w:val="24"/>
          <w:rtl/>
        </w:rPr>
        <w:t>בניסיון לתרץ את המדרש, מסביר הרמב"ן כי קנאתו של אהרן לא נבעה מכך שכבודו נפגע, אלא מתוך הכרה כי הנשיאים התנדבו את קרבנותיהם.</w:t>
      </w:r>
    </w:p>
    <w:p w:rsidR="00FB404D" w:rsidRPr="00FB404D" w:rsidRDefault="00FB404D" w:rsidP="00FB404D">
      <w:pPr>
        <w:tabs>
          <w:tab w:val="right" w:pos="4620"/>
        </w:tabs>
        <w:rPr>
          <w:sz w:val="22"/>
          <w:szCs w:val="24"/>
          <w:rtl/>
        </w:rPr>
      </w:pPr>
      <w:r w:rsidRPr="00FB404D">
        <w:rPr>
          <w:sz w:val="22"/>
          <w:szCs w:val="24"/>
          <w:rtl/>
        </w:rPr>
        <w:t>אהרן קינא בספונטניות וביצירתיות שאפשרה להם ההתנדבות מרצונם. בתפקידו הוא, למרות חשיבותו המרובה, לא היה ממד של בחירה, והוא הבין כי החובה המוטלת עליו לבצע את תפקידיו במשכן, יכולה להוביל אותו למצב של ביצוע מכני של חובותיו.</w:t>
      </w:r>
    </w:p>
    <w:p w:rsidR="00FB404D" w:rsidRPr="00FB404D" w:rsidRDefault="00FB404D" w:rsidP="00FB404D">
      <w:pPr>
        <w:tabs>
          <w:tab w:val="right" w:pos="4620"/>
        </w:tabs>
        <w:rPr>
          <w:sz w:val="22"/>
          <w:szCs w:val="24"/>
          <w:rtl/>
        </w:rPr>
      </w:pPr>
      <w:r w:rsidRPr="00FB404D">
        <w:rPr>
          <w:sz w:val="22"/>
          <w:szCs w:val="24"/>
          <w:rtl/>
        </w:rPr>
        <w:t>בסופו של דבר דוחה הרמב"ן גם הסבר זה, משום שלפי הסבר זה הדלקת המנורה מדי יום ביומו אינה מהווה כל נחמה לאהרן, שהרי גם הדלקה זו היא חלק מחובותיו במשכן.</w:t>
      </w:r>
    </w:p>
    <w:p w:rsidR="00ED1447" w:rsidRDefault="00ED1447" w:rsidP="00FB404D">
      <w:pPr>
        <w:tabs>
          <w:tab w:val="right" w:pos="4620"/>
        </w:tabs>
        <w:rPr>
          <w:sz w:val="22"/>
          <w:szCs w:val="24"/>
          <w:rtl/>
        </w:rPr>
      </w:pPr>
    </w:p>
    <w:p w:rsidR="00ED1447" w:rsidRPr="000A628E" w:rsidRDefault="00ED1447" w:rsidP="00ED1447">
      <w:pPr>
        <w:pStyle w:val="2"/>
        <w:tabs>
          <w:tab w:val="right" w:pos="4620"/>
        </w:tabs>
        <w:rPr>
          <w:rtl/>
        </w:rPr>
      </w:pPr>
      <w:r>
        <w:rPr>
          <w:rFonts w:hint="cs"/>
          <w:rtl/>
        </w:rPr>
        <w:t>בין רצו ובין שלא רצו</w:t>
      </w:r>
    </w:p>
    <w:p w:rsidR="00FB404D" w:rsidRPr="00FB404D" w:rsidRDefault="00FB404D" w:rsidP="00FB404D">
      <w:pPr>
        <w:tabs>
          <w:tab w:val="right" w:pos="4620"/>
        </w:tabs>
        <w:rPr>
          <w:sz w:val="22"/>
          <w:szCs w:val="24"/>
          <w:rtl/>
        </w:rPr>
      </w:pPr>
      <w:r w:rsidRPr="00FB404D">
        <w:rPr>
          <w:sz w:val="22"/>
          <w:szCs w:val="24"/>
          <w:rtl/>
        </w:rPr>
        <w:t>ברצוני להתייחס לנקודה זו בדברי הרמב"ן.</w:t>
      </w:r>
    </w:p>
    <w:p w:rsidR="00FB404D" w:rsidRPr="00FB404D" w:rsidRDefault="00ED1447" w:rsidP="00FB404D">
      <w:pPr>
        <w:tabs>
          <w:tab w:val="right" w:pos="4620"/>
        </w:tabs>
        <w:rPr>
          <w:sz w:val="22"/>
          <w:szCs w:val="24"/>
          <w:rtl/>
        </w:rPr>
      </w:pPr>
      <w:r>
        <w:rPr>
          <w:rFonts w:hint="cs"/>
          <w:sz w:val="22"/>
          <w:szCs w:val="24"/>
          <w:rtl/>
        </w:rPr>
        <w:t xml:space="preserve">על אף </w:t>
      </w:r>
      <w:r w:rsidR="00FB404D" w:rsidRPr="00FB404D">
        <w:rPr>
          <w:sz w:val="22"/>
          <w:szCs w:val="24"/>
          <w:rtl/>
        </w:rPr>
        <w:t xml:space="preserve">שהרמב"ן סבר כי אין זה הגיוני שהתורה תמצא מזור לתחושותיו של אהרן בכך שתטיל עליו מטלות </w:t>
      </w:r>
      <w:r w:rsidR="00FB404D" w:rsidRPr="00FB404D">
        <w:rPr>
          <w:sz w:val="22"/>
          <w:szCs w:val="24"/>
          <w:rtl/>
        </w:rPr>
        <w:t>חובה נוספות, לדעתי התורה חשבה כי דווקא באמצעות צעד כזה היא תפתור את הבעיה.</w:t>
      </w:r>
    </w:p>
    <w:p w:rsidR="00FB404D" w:rsidRPr="00FB404D" w:rsidRDefault="00FB404D" w:rsidP="00FB404D">
      <w:pPr>
        <w:tabs>
          <w:tab w:val="right" w:pos="4620"/>
        </w:tabs>
        <w:rPr>
          <w:sz w:val="22"/>
          <w:szCs w:val="24"/>
          <w:rtl/>
        </w:rPr>
      </w:pPr>
      <w:r w:rsidRPr="00FB404D">
        <w:rPr>
          <w:sz w:val="22"/>
          <w:szCs w:val="24"/>
          <w:rtl/>
        </w:rPr>
        <w:t>אומר הרמב"ם:</w:t>
      </w:r>
    </w:p>
    <w:p w:rsidR="00ED1447" w:rsidRDefault="00ED1447" w:rsidP="00ED1447">
      <w:pPr>
        <w:tabs>
          <w:tab w:val="right" w:pos="4620"/>
        </w:tabs>
        <w:ind w:left="720"/>
        <w:rPr>
          <w:sz w:val="22"/>
          <w:szCs w:val="24"/>
          <w:rtl/>
        </w:rPr>
      </w:pPr>
      <w:r>
        <w:rPr>
          <w:rFonts w:hint="cs"/>
          <w:sz w:val="22"/>
          <w:szCs w:val="24"/>
          <w:rtl/>
        </w:rPr>
        <w:t>"</w:t>
      </w:r>
      <w:r w:rsidR="00FB404D" w:rsidRPr="00FB404D">
        <w:rPr>
          <w:sz w:val="22"/>
          <w:szCs w:val="24"/>
          <w:rtl/>
        </w:rPr>
        <w:t xml:space="preserve">ומצוות עשה להיות הלוויים </w:t>
      </w:r>
      <w:proofErr w:type="spellStart"/>
      <w:r w:rsidR="00FB404D" w:rsidRPr="00FB404D">
        <w:rPr>
          <w:sz w:val="22"/>
          <w:szCs w:val="24"/>
          <w:rtl/>
        </w:rPr>
        <w:t>פנויין</w:t>
      </w:r>
      <w:proofErr w:type="spellEnd"/>
      <w:r w:rsidR="00FB404D" w:rsidRPr="00FB404D">
        <w:rPr>
          <w:sz w:val="22"/>
          <w:szCs w:val="24"/>
          <w:rtl/>
        </w:rPr>
        <w:t xml:space="preserve"> </w:t>
      </w:r>
      <w:proofErr w:type="spellStart"/>
      <w:r w:rsidR="00FB404D" w:rsidRPr="00FB404D">
        <w:rPr>
          <w:sz w:val="22"/>
          <w:szCs w:val="24"/>
          <w:rtl/>
        </w:rPr>
        <w:t>ומוכנין</w:t>
      </w:r>
      <w:proofErr w:type="spellEnd"/>
      <w:r w:rsidR="00FB404D" w:rsidRPr="00FB404D">
        <w:rPr>
          <w:sz w:val="22"/>
          <w:szCs w:val="24"/>
          <w:rtl/>
        </w:rPr>
        <w:t xml:space="preserve"> לעבודת המקדש בין רצו בין שלא רצו שנאמר ועבד הלוי הוא את עבודת אהל מועד</w:t>
      </w:r>
      <w:r>
        <w:rPr>
          <w:rFonts w:hint="cs"/>
          <w:sz w:val="22"/>
          <w:szCs w:val="24"/>
          <w:rtl/>
        </w:rPr>
        <w:t>"</w:t>
      </w:r>
    </w:p>
    <w:p w:rsidR="00FB404D" w:rsidRPr="00FB404D" w:rsidRDefault="00ED1447" w:rsidP="00ED1447">
      <w:pPr>
        <w:tabs>
          <w:tab w:val="right" w:pos="4620"/>
        </w:tabs>
        <w:ind w:left="720"/>
        <w:rPr>
          <w:sz w:val="22"/>
          <w:szCs w:val="24"/>
          <w:rtl/>
        </w:rPr>
      </w:pPr>
      <w:r>
        <w:rPr>
          <w:sz w:val="22"/>
          <w:szCs w:val="24"/>
          <w:rtl/>
        </w:rPr>
        <w:tab/>
      </w:r>
      <w:r w:rsidR="00FB404D" w:rsidRPr="00FB404D">
        <w:rPr>
          <w:sz w:val="22"/>
          <w:szCs w:val="24"/>
          <w:rtl/>
        </w:rPr>
        <w:t xml:space="preserve"> </w:t>
      </w:r>
      <w:r w:rsidR="00FB404D" w:rsidRPr="00ED1447">
        <w:rPr>
          <w:sz w:val="18"/>
          <w:szCs w:val="20"/>
          <w:rtl/>
        </w:rPr>
        <w:t>(הלכות כלי המקדש ג', א)</w:t>
      </w:r>
      <w:r>
        <w:rPr>
          <w:rFonts w:hint="cs"/>
          <w:sz w:val="22"/>
          <w:szCs w:val="24"/>
          <w:rtl/>
        </w:rPr>
        <w:t>.</w:t>
      </w:r>
    </w:p>
    <w:p w:rsidR="00FB404D" w:rsidRPr="00FB404D" w:rsidRDefault="00FB404D" w:rsidP="00FB404D">
      <w:pPr>
        <w:tabs>
          <w:tab w:val="right" w:pos="4620"/>
        </w:tabs>
        <w:rPr>
          <w:sz w:val="22"/>
          <w:szCs w:val="24"/>
          <w:rtl/>
        </w:rPr>
      </w:pPr>
      <w:r w:rsidRPr="00FB404D">
        <w:rPr>
          <w:sz w:val="22"/>
          <w:szCs w:val="24"/>
          <w:rtl/>
        </w:rPr>
        <w:t>אהרן שגה בכך שחשב כי חיוב חיצוני יכול למנוע הרגשה של תוכן רוחני בשעת עשיית המעשה או למנוע את הספונטניות בביצוע.</w:t>
      </w:r>
    </w:p>
    <w:p w:rsidR="00FB404D" w:rsidRPr="00FB404D" w:rsidRDefault="00FB404D" w:rsidP="00FB404D">
      <w:pPr>
        <w:tabs>
          <w:tab w:val="right" w:pos="4620"/>
        </w:tabs>
        <w:rPr>
          <w:sz w:val="22"/>
          <w:szCs w:val="24"/>
          <w:rtl/>
        </w:rPr>
      </w:pPr>
      <w:r w:rsidRPr="00FB404D">
        <w:rPr>
          <w:sz w:val="22"/>
          <w:szCs w:val="24"/>
          <w:rtl/>
        </w:rPr>
        <w:t>דווקא תחושת חובה מוצקה היא שתוכל להביאו לשלמות דתית. הקב"ה הטיל עליו חובה נוספת, כדי לומר לו שרק מתוך תחושת מחויבות מוחלטת יוכל להגיע לעבודת ה' מתוך פנימיותו.</w:t>
      </w:r>
    </w:p>
    <w:p w:rsidR="00FB404D" w:rsidRPr="00FB404D" w:rsidRDefault="00FB404D" w:rsidP="00FB404D">
      <w:pPr>
        <w:tabs>
          <w:tab w:val="right" w:pos="4620"/>
        </w:tabs>
        <w:rPr>
          <w:sz w:val="22"/>
          <w:szCs w:val="24"/>
          <w:rtl/>
        </w:rPr>
      </w:pPr>
      <w:r w:rsidRPr="00FB404D">
        <w:rPr>
          <w:sz w:val="22"/>
          <w:szCs w:val="24"/>
          <w:rtl/>
        </w:rPr>
        <w:t>מסר זה נכון במיוחד לזמננו. תרבות המערב חדרה באטיות לבית המדרש – חדירת תרבות זו אינה מתבטאת בענידת עגילים או בגידול שער ארוך, אלא בדברים משמעותיים יותר.</w:t>
      </w:r>
    </w:p>
    <w:p w:rsidR="00FB404D" w:rsidRPr="00FB404D" w:rsidRDefault="00FB404D" w:rsidP="00FB404D">
      <w:pPr>
        <w:tabs>
          <w:tab w:val="right" w:pos="4620"/>
        </w:tabs>
        <w:rPr>
          <w:sz w:val="22"/>
          <w:szCs w:val="24"/>
          <w:rtl/>
        </w:rPr>
      </w:pPr>
      <w:r w:rsidRPr="00FB404D">
        <w:rPr>
          <w:sz w:val="22"/>
          <w:szCs w:val="24"/>
          <w:rtl/>
        </w:rPr>
        <w:t>האינדיווידואליזם הוא מעמודי התווך של התרבות המערבית, וזכותו של האדם לעשות את מה שמהנה אותו היא לגיטימית לחלוטין בתרבות זו.</w:t>
      </w:r>
    </w:p>
    <w:p w:rsidR="00FB404D" w:rsidRPr="00FB404D" w:rsidRDefault="00FB404D" w:rsidP="00FB404D">
      <w:pPr>
        <w:tabs>
          <w:tab w:val="right" w:pos="4620"/>
        </w:tabs>
        <w:rPr>
          <w:sz w:val="22"/>
          <w:szCs w:val="24"/>
          <w:rtl/>
        </w:rPr>
      </w:pPr>
      <w:r w:rsidRPr="00FB404D">
        <w:rPr>
          <w:sz w:val="22"/>
          <w:szCs w:val="24"/>
          <w:rtl/>
        </w:rPr>
        <w:t>גל זה של ליברליזם השפיע גם בבית המדרש. קולה של המחויבות (שאותה הדגישה התורה לאהרן כאידאל דתי) אינו נשמע עוד בין יושבי בית המדרש. העדפה אישית של תלמיד ללמוד בחדרו ולא בבית המדרש, או העדפה ללמוד ספרים מסוימים ולא ספרים אחרים, מקבלת לפתע חשיבות.</w:t>
      </w:r>
    </w:p>
    <w:p w:rsidR="00FB404D" w:rsidRPr="00FB404D" w:rsidRDefault="00FB404D" w:rsidP="00ED1447">
      <w:pPr>
        <w:tabs>
          <w:tab w:val="right" w:pos="4620"/>
        </w:tabs>
        <w:rPr>
          <w:sz w:val="22"/>
          <w:szCs w:val="24"/>
          <w:rtl/>
        </w:rPr>
      </w:pPr>
      <w:r w:rsidRPr="00FB404D">
        <w:rPr>
          <w:sz w:val="22"/>
          <w:szCs w:val="24"/>
          <w:rtl/>
        </w:rPr>
        <w:t>בניגוד לגל זה של עצמאות יתרה, המהר"ל מצטט מדרש:</w:t>
      </w:r>
    </w:p>
    <w:p w:rsidR="00ED1447" w:rsidRDefault="00ED1447" w:rsidP="00ED1447">
      <w:pPr>
        <w:tabs>
          <w:tab w:val="right" w:pos="4620"/>
        </w:tabs>
        <w:ind w:left="720"/>
        <w:rPr>
          <w:sz w:val="22"/>
          <w:szCs w:val="24"/>
          <w:rtl/>
        </w:rPr>
      </w:pPr>
      <w:r>
        <w:rPr>
          <w:rFonts w:hint="cs"/>
          <w:sz w:val="22"/>
          <w:szCs w:val="24"/>
          <w:rtl/>
        </w:rPr>
        <w:t>"</w:t>
      </w:r>
      <w:r w:rsidR="00FB404D" w:rsidRPr="00FB404D">
        <w:rPr>
          <w:sz w:val="22"/>
          <w:szCs w:val="24"/>
          <w:rtl/>
        </w:rPr>
        <w:t>את הכבש אחד תעשה בבקר ואת הכבש השני תעשה בין הערבים – זה כלל גדול בתורה</w:t>
      </w:r>
      <w:r>
        <w:rPr>
          <w:rFonts w:hint="cs"/>
          <w:sz w:val="22"/>
          <w:szCs w:val="24"/>
          <w:rtl/>
        </w:rPr>
        <w:t>"</w:t>
      </w:r>
    </w:p>
    <w:p w:rsidR="00FB404D" w:rsidRPr="00FB404D" w:rsidRDefault="00ED1447" w:rsidP="00ED1447">
      <w:pPr>
        <w:tabs>
          <w:tab w:val="right" w:pos="4620"/>
        </w:tabs>
        <w:ind w:left="720"/>
        <w:rPr>
          <w:sz w:val="22"/>
          <w:szCs w:val="24"/>
          <w:rtl/>
        </w:rPr>
      </w:pPr>
      <w:r>
        <w:rPr>
          <w:sz w:val="22"/>
          <w:szCs w:val="24"/>
          <w:rtl/>
        </w:rPr>
        <w:tab/>
      </w:r>
      <w:r w:rsidRPr="00ED1447">
        <w:rPr>
          <w:sz w:val="18"/>
          <w:szCs w:val="20"/>
          <w:rtl/>
        </w:rPr>
        <w:t>(נתיבות עולם, נתיב אהבת הרע, פרק א')</w:t>
      </w:r>
      <w:r>
        <w:rPr>
          <w:rFonts w:hint="cs"/>
          <w:sz w:val="22"/>
          <w:szCs w:val="24"/>
          <w:rtl/>
        </w:rPr>
        <w:t>.</w:t>
      </w:r>
    </w:p>
    <w:p w:rsidR="00FB404D" w:rsidRPr="00FB404D" w:rsidRDefault="00FB404D" w:rsidP="00FB404D">
      <w:pPr>
        <w:tabs>
          <w:tab w:val="right" w:pos="4620"/>
        </w:tabs>
        <w:rPr>
          <w:sz w:val="22"/>
          <w:szCs w:val="24"/>
          <w:rtl/>
        </w:rPr>
      </w:pPr>
      <w:r w:rsidRPr="00FB404D">
        <w:rPr>
          <w:sz w:val="22"/>
          <w:szCs w:val="24"/>
          <w:rtl/>
        </w:rPr>
        <w:t>המסר ברור: התמדה המבוססת על מחויבות היא נדבך יסודי בעבודת ה'.</w:t>
      </w:r>
    </w:p>
    <w:p w:rsidR="00ED1447" w:rsidRDefault="00ED1447" w:rsidP="00ED1447">
      <w:pPr>
        <w:tabs>
          <w:tab w:val="right" w:pos="4620"/>
        </w:tabs>
        <w:rPr>
          <w:sz w:val="22"/>
          <w:szCs w:val="24"/>
          <w:rtl/>
        </w:rPr>
      </w:pPr>
    </w:p>
    <w:p w:rsidR="00ED1447" w:rsidRPr="000A628E" w:rsidRDefault="00ED1447" w:rsidP="00ED1447">
      <w:pPr>
        <w:pStyle w:val="2"/>
        <w:tabs>
          <w:tab w:val="right" w:pos="4620"/>
        </w:tabs>
        <w:rPr>
          <w:rtl/>
        </w:rPr>
      </w:pPr>
      <w:r>
        <w:rPr>
          <w:rFonts w:hint="cs"/>
          <w:rtl/>
        </w:rPr>
        <w:t>שלך גדול משלהם</w:t>
      </w:r>
    </w:p>
    <w:p w:rsidR="00FB404D" w:rsidRPr="00FB404D" w:rsidRDefault="00FB404D" w:rsidP="00ED1447">
      <w:pPr>
        <w:tabs>
          <w:tab w:val="right" w:pos="4620"/>
        </w:tabs>
        <w:rPr>
          <w:sz w:val="22"/>
          <w:szCs w:val="24"/>
          <w:rtl/>
        </w:rPr>
      </w:pPr>
      <w:bookmarkStart w:id="2" w:name="_GoBack"/>
      <w:bookmarkEnd w:id="2"/>
      <w:r w:rsidRPr="00FB404D">
        <w:rPr>
          <w:sz w:val="22"/>
          <w:szCs w:val="24"/>
          <w:rtl/>
        </w:rPr>
        <w:t xml:space="preserve">במהלך חיי, </w:t>
      </w:r>
      <w:r w:rsidR="00ED1447">
        <w:rPr>
          <w:rFonts w:hint="cs"/>
          <w:sz w:val="22"/>
          <w:szCs w:val="24"/>
          <w:rtl/>
        </w:rPr>
        <w:t>ה</w:t>
      </w:r>
      <w:r w:rsidRPr="00FB404D">
        <w:rPr>
          <w:sz w:val="22"/>
          <w:szCs w:val="24"/>
          <w:rtl/>
        </w:rPr>
        <w:t>תנס</w:t>
      </w:r>
      <w:r w:rsidR="00ED1447">
        <w:rPr>
          <w:rFonts w:hint="cs"/>
          <w:sz w:val="22"/>
          <w:szCs w:val="24"/>
          <w:rtl/>
        </w:rPr>
        <w:t>י</w:t>
      </w:r>
      <w:r w:rsidRPr="00FB404D">
        <w:rPr>
          <w:sz w:val="22"/>
          <w:szCs w:val="24"/>
          <w:rtl/>
        </w:rPr>
        <w:t>תי באופן אישי בחשיבות עניין זה.</w:t>
      </w:r>
    </w:p>
    <w:p w:rsidR="00FB404D" w:rsidRPr="00FB404D" w:rsidRDefault="00FB404D" w:rsidP="00FB404D">
      <w:pPr>
        <w:tabs>
          <w:tab w:val="right" w:pos="4620"/>
        </w:tabs>
        <w:rPr>
          <w:sz w:val="22"/>
          <w:szCs w:val="24"/>
          <w:rtl/>
        </w:rPr>
      </w:pPr>
      <w:r w:rsidRPr="00FB404D">
        <w:rPr>
          <w:sz w:val="22"/>
          <w:szCs w:val="24"/>
          <w:rtl/>
        </w:rPr>
        <w:lastRenderedPageBreak/>
        <w:t>בצעירותי, בישיבה, למדתי עם שני בחורים מוכשרים מאוד. אחד מהם היה נוהג לעשות ככל העולה על רוחו. כשבישיבה ישנו, הוא למד, וכשלמדו בישיבה, הוא ישן. אם בישיבה למדו זבחים או בבא קמא, הוא למד מנחות או בבא מציעא.</w:t>
      </w:r>
    </w:p>
    <w:p w:rsidR="00FB404D" w:rsidRPr="00FB404D" w:rsidRDefault="00FB404D" w:rsidP="00ED1447">
      <w:pPr>
        <w:tabs>
          <w:tab w:val="right" w:pos="4620"/>
        </w:tabs>
        <w:rPr>
          <w:sz w:val="22"/>
          <w:szCs w:val="24"/>
          <w:rtl/>
        </w:rPr>
      </w:pPr>
      <w:r w:rsidRPr="00FB404D">
        <w:rPr>
          <w:sz w:val="22"/>
          <w:szCs w:val="24"/>
          <w:rtl/>
        </w:rPr>
        <w:t xml:space="preserve">חברי השני היה בחור ממושמע מאוד שתמיד עשה מה שציפו שיעשה. שניהם הפכו לאנשים חשובים, אולם דווקא ידידי הממושמע הפך ליצירתי מבין השניים. בנעוריו הוא בנה לעצמו בסיס איתן שעליו יכול היה להוסיף ולהתפתח במשך הזמן. לעומתו, ידידי השני בזבז הרבה כוחות יצירה כדי לא לעשות אף פעם את מה שהיה עליו לעשות, והוא לא מיצה את </w:t>
      </w:r>
      <w:proofErr w:type="spellStart"/>
      <w:r w:rsidR="00ED1447">
        <w:rPr>
          <w:rFonts w:hint="cs"/>
          <w:sz w:val="22"/>
          <w:szCs w:val="24"/>
          <w:rtl/>
        </w:rPr>
        <w:t>היוכלה</w:t>
      </w:r>
      <w:proofErr w:type="spellEnd"/>
      <w:r w:rsidR="00ED1447">
        <w:rPr>
          <w:rFonts w:hint="cs"/>
          <w:sz w:val="22"/>
          <w:szCs w:val="24"/>
          <w:rtl/>
        </w:rPr>
        <w:t xml:space="preserve"> </w:t>
      </w:r>
      <w:r w:rsidR="00ED1447">
        <w:rPr>
          <w:sz w:val="22"/>
          <w:szCs w:val="24"/>
          <w:rtl/>
        </w:rPr>
        <w:t>הטמו</w:t>
      </w:r>
      <w:r w:rsidR="00ED1447">
        <w:rPr>
          <w:rFonts w:hint="cs"/>
          <w:sz w:val="22"/>
          <w:szCs w:val="24"/>
          <w:rtl/>
        </w:rPr>
        <w:t>נה</w:t>
      </w:r>
      <w:r w:rsidRPr="00FB404D">
        <w:rPr>
          <w:sz w:val="22"/>
          <w:szCs w:val="24"/>
          <w:rtl/>
        </w:rPr>
        <w:t xml:space="preserve"> בו.</w:t>
      </w:r>
    </w:p>
    <w:p w:rsidR="00FB404D" w:rsidRPr="00FB404D" w:rsidRDefault="00FB404D" w:rsidP="00FB404D">
      <w:pPr>
        <w:tabs>
          <w:tab w:val="right" w:pos="4620"/>
        </w:tabs>
        <w:rPr>
          <w:sz w:val="22"/>
          <w:szCs w:val="24"/>
          <w:rtl/>
        </w:rPr>
      </w:pPr>
      <w:r w:rsidRPr="00FB404D">
        <w:rPr>
          <w:sz w:val="22"/>
          <w:szCs w:val="24"/>
          <w:rtl/>
        </w:rPr>
        <w:t>אהרן קיבל והפנים את המסר שהעביר לו הקב"ה.</w:t>
      </w:r>
    </w:p>
    <w:p w:rsidR="00FB404D" w:rsidRPr="00FB404D" w:rsidRDefault="00FB404D" w:rsidP="00ED1447">
      <w:pPr>
        <w:tabs>
          <w:tab w:val="right" w:pos="4620"/>
        </w:tabs>
        <w:rPr>
          <w:sz w:val="22"/>
          <w:szCs w:val="24"/>
          <w:rtl/>
        </w:rPr>
      </w:pPr>
      <w:r w:rsidRPr="00FB404D">
        <w:rPr>
          <w:sz w:val="22"/>
          <w:szCs w:val="24"/>
          <w:rtl/>
        </w:rPr>
        <w:t xml:space="preserve">לגבי הציווי להדליק את המנורה התורה אומרת: "ויעש כן אהרן" </w:t>
      </w:r>
      <w:r w:rsidRPr="00ED1447">
        <w:rPr>
          <w:sz w:val="18"/>
          <w:szCs w:val="20"/>
          <w:rtl/>
        </w:rPr>
        <w:t>(במדבר ח', ג)</w:t>
      </w:r>
      <w:r w:rsidRPr="00FB404D">
        <w:rPr>
          <w:sz w:val="22"/>
          <w:szCs w:val="24"/>
          <w:rtl/>
        </w:rPr>
        <w:t>. רש"י שם אומר כי הפסוק בא "להגיד שבחו של אהרן שלא</w:t>
      </w:r>
      <w:r w:rsidR="00ED1447">
        <w:rPr>
          <w:sz w:val="22"/>
          <w:szCs w:val="24"/>
          <w:rtl/>
        </w:rPr>
        <w:t xml:space="preserve"> שינה" – עשה בדיוק כפי שנצטווה</w:t>
      </w:r>
      <w:r w:rsidRPr="00FB404D">
        <w:rPr>
          <w:sz w:val="22"/>
          <w:szCs w:val="24"/>
          <w:rtl/>
        </w:rPr>
        <w:t>.</w:t>
      </w:r>
    </w:p>
    <w:p w:rsidR="000A628E" w:rsidRPr="000A628E" w:rsidRDefault="00FB404D" w:rsidP="00FB404D">
      <w:pPr>
        <w:tabs>
          <w:tab w:val="right" w:pos="4620"/>
        </w:tabs>
        <w:rPr>
          <w:sz w:val="22"/>
          <w:szCs w:val="24"/>
          <w:rtl/>
        </w:rPr>
      </w:pPr>
      <w:r w:rsidRPr="00FB404D">
        <w:rPr>
          <w:sz w:val="22"/>
          <w:szCs w:val="24"/>
          <w:rtl/>
        </w:rPr>
        <w:t>אהרן הבין שעבודת ה' מתוך מחויבות והתמדה היא הדרך הנכונה להתקרב לקב"ה. גם אנו צריכים להקשיב למסר זה, להבין אותו, וליישם אותו בחיינו כבני תורה וכעובדי ה'.</w:t>
      </w:r>
    </w:p>
    <w:p w:rsidR="00584576" w:rsidRPr="0072478D" w:rsidRDefault="00584576" w:rsidP="00584576">
      <w:pPr>
        <w:tabs>
          <w:tab w:val="right" w:pos="4620"/>
        </w:tabs>
        <w:rPr>
          <w:rFonts w:ascii="Arial" w:hAnsi="Arial"/>
          <w:sz w:val="26"/>
          <w:szCs w:val="26"/>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rsidTr="00AA1481">
        <w:trPr>
          <w:cantSplit/>
        </w:trPr>
        <w:tc>
          <w:tcPr>
            <w:tcW w:w="283" w:type="dxa"/>
            <w:tcBorders>
              <w:top w:val="nil"/>
              <w:left w:val="nil"/>
              <w:bottom w:val="nil"/>
              <w:right w:val="nil"/>
            </w:tcBorders>
          </w:tcPr>
          <w:p w:rsidR="00AA1481" w:rsidRDefault="00AA1481" w:rsidP="008C5E3D">
            <w:pPr>
              <w:pStyle w:val="ab"/>
              <w:tabs>
                <w:tab w:val="right" w:pos="4620"/>
              </w:tabs>
              <w:rPr>
                <w:noProof w:val="0"/>
              </w:rPr>
            </w:pPr>
            <w:r>
              <w:rPr>
                <w:noProof w:val="0"/>
                <w:rtl/>
              </w:rPr>
              <w:t>*</w:t>
            </w:r>
          </w:p>
        </w:tc>
        <w:tc>
          <w:tcPr>
            <w:tcW w:w="4111" w:type="dxa"/>
            <w:tcBorders>
              <w:top w:val="nil"/>
              <w:left w:val="nil"/>
              <w:bottom w:val="nil"/>
              <w:right w:val="nil"/>
            </w:tcBorders>
          </w:tcPr>
          <w:p w:rsidR="00AA1481" w:rsidRDefault="00AA1481" w:rsidP="008C5E3D">
            <w:pPr>
              <w:pStyle w:val="ab"/>
              <w:tabs>
                <w:tab w:val="right" w:pos="4620"/>
              </w:tabs>
              <w:rPr>
                <w:noProof w:val="0"/>
              </w:rPr>
            </w:pPr>
            <w:r>
              <w:rPr>
                <w:noProof w:val="0"/>
                <w:rtl/>
              </w:rPr>
              <w:t>**********************************************************</w:t>
            </w:r>
          </w:p>
        </w:tc>
        <w:tc>
          <w:tcPr>
            <w:tcW w:w="284" w:type="dxa"/>
            <w:tcBorders>
              <w:top w:val="nil"/>
              <w:left w:val="nil"/>
              <w:bottom w:val="nil"/>
              <w:right w:val="nil"/>
            </w:tcBorders>
          </w:tcPr>
          <w:p w:rsidR="00AA1481" w:rsidRDefault="00AA1481" w:rsidP="008C5E3D">
            <w:pPr>
              <w:pStyle w:val="ab"/>
              <w:tabs>
                <w:tab w:val="right" w:pos="4620"/>
              </w:tabs>
              <w:rPr>
                <w:noProof w:val="0"/>
                <w:rtl/>
              </w:rPr>
            </w:pPr>
            <w:r>
              <w:rPr>
                <w:noProof w:val="0"/>
                <w:rtl/>
              </w:rPr>
              <w:t>*</w:t>
            </w:r>
          </w:p>
        </w:tc>
      </w:tr>
      <w:tr w:rsidR="00AA1481" w:rsidTr="00AA1481">
        <w:trPr>
          <w:cantSplit/>
        </w:trPr>
        <w:tc>
          <w:tcPr>
            <w:tcW w:w="283" w:type="dxa"/>
            <w:tcBorders>
              <w:top w:val="nil"/>
              <w:left w:val="nil"/>
              <w:bottom w:val="nil"/>
              <w:right w:val="nil"/>
            </w:tcBorders>
          </w:tcPr>
          <w:p w:rsidR="00AA1481" w:rsidRDefault="00AA1481" w:rsidP="008C5E3D">
            <w:pPr>
              <w:pStyle w:val="ab"/>
              <w:tabs>
                <w:tab w:val="right" w:pos="4620"/>
              </w:tabs>
              <w:rPr>
                <w:noProof w:val="0"/>
              </w:rPr>
            </w:pPr>
            <w:r>
              <w:rPr>
                <w:noProof w:val="0"/>
                <w:rtl/>
              </w:rPr>
              <w:t xml:space="preserve">* * * * * * * </w:t>
            </w:r>
          </w:p>
        </w:tc>
        <w:tc>
          <w:tcPr>
            <w:tcW w:w="4111" w:type="dxa"/>
            <w:tcBorders>
              <w:top w:val="nil"/>
              <w:left w:val="nil"/>
              <w:bottom w:val="nil"/>
              <w:right w:val="nil"/>
            </w:tcBorders>
          </w:tcPr>
          <w:p w:rsidR="00AA1481" w:rsidRDefault="00AA1481" w:rsidP="00FB404D">
            <w:pPr>
              <w:pStyle w:val="ab"/>
              <w:tabs>
                <w:tab w:val="right" w:pos="4620"/>
              </w:tabs>
              <w:rPr>
                <w:noProof w:val="0"/>
                <w:rtl/>
              </w:rPr>
            </w:pPr>
            <w:r>
              <w:rPr>
                <w:noProof w:val="0"/>
                <w:rtl/>
              </w:rPr>
              <w:t>כל הזכויות שמורות לישיבת הר עציון</w:t>
            </w:r>
          </w:p>
          <w:p w:rsidR="00AA1481" w:rsidRDefault="00AA1481" w:rsidP="008C5E3D">
            <w:pPr>
              <w:pStyle w:val="ab"/>
              <w:tabs>
                <w:tab w:val="right" w:pos="4620"/>
              </w:tabs>
              <w:rPr>
                <w:noProof w:val="0"/>
                <w:rtl/>
              </w:rPr>
            </w:pPr>
            <w:r>
              <w:rPr>
                <w:noProof w:val="0"/>
                <w:rtl/>
              </w:rPr>
              <w:t xml:space="preserve">עורך: </w:t>
            </w:r>
            <w:r>
              <w:rPr>
                <w:rFonts w:hint="cs"/>
                <w:noProof w:val="0"/>
                <w:rtl/>
              </w:rPr>
              <w:t>בנימין פרנקל, תשע"ו</w:t>
            </w:r>
          </w:p>
          <w:p w:rsidR="00AA1481" w:rsidRDefault="00AA1481" w:rsidP="008C5E3D">
            <w:pPr>
              <w:pStyle w:val="ab"/>
              <w:tabs>
                <w:tab w:val="right" w:pos="4620"/>
              </w:tabs>
              <w:rPr>
                <w:noProof w:val="0"/>
                <w:rtl/>
              </w:rPr>
            </w:pPr>
            <w:r>
              <w:rPr>
                <w:noProof w:val="0"/>
                <w:rtl/>
              </w:rPr>
              <w:t>*******************************************************</w:t>
            </w:r>
          </w:p>
          <w:p w:rsidR="00AA1481" w:rsidRDefault="00AA1481" w:rsidP="008C5E3D">
            <w:pPr>
              <w:pStyle w:val="ab"/>
              <w:tabs>
                <w:tab w:val="right" w:pos="4620"/>
              </w:tabs>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AA1481" w:rsidRPr="005734F1" w:rsidRDefault="00AA1481" w:rsidP="008C5E3D">
            <w:pPr>
              <w:pStyle w:val="ab"/>
              <w:tabs>
                <w:tab w:val="right" w:pos="4620"/>
              </w:tabs>
              <w:rPr>
                <w:noProof w:val="0"/>
                <w:rtl/>
              </w:rPr>
            </w:pPr>
            <w:r w:rsidRPr="005734F1">
              <w:rPr>
                <w:noProof w:val="0"/>
                <w:rtl/>
              </w:rPr>
              <w:t xml:space="preserve">מיסודו של </w:t>
            </w:r>
          </w:p>
          <w:p w:rsidR="00AA1481" w:rsidRPr="005734F1" w:rsidRDefault="00AA1481" w:rsidP="008C5E3D">
            <w:pPr>
              <w:pStyle w:val="ab"/>
              <w:tabs>
                <w:tab w:val="right" w:pos="4620"/>
              </w:tabs>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AA1481" w:rsidRDefault="00AA1481" w:rsidP="008C5E3D">
            <w:pPr>
              <w:pStyle w:val="ab"/>
              <w:tabs>
                <w:tab w:val="right" w:pos="4620"/>
              </w:tabs>
              <w:rPr>
                <w:noProof w:val="0"/>
                <w:rtl/>
              </w:rPr>
            </w:pPr>
            <w:r>
              <w:rPr>
                <w:noProof w:val="0"/>
                <w:rtl/>
              </w:rPr>
              <w:t>האתר בעברית:</w:t>
            </w:r>
            <w:r>
              <w:rPr>
                <w:noProof w:val="0"/>
                <w:rtl/>
              </w:rPr>
              <w:tab/>
            </w:r>
            <w:hyperlink r:id="rId8" w:history="1">
              <w:r w:rsidRPr="00525582">
                <w:rPr>
                  <w:rStyle w:val="Hyperlink"/>
                </w:rPr>
                <w:t>http://vbm.etzion.org.il</w:t>
              </w:r>
            </w:hyperlink>
          </w:p>
          <w:p w:rsidR="00AA1481" w:rsidRDefault="00AA1481" w:rsidP="008C5E3D">
            <w:pPr>
              <w:pStyle w:val="ab"/>
              <w:tabs>
                <w:tab w:val="right" w:pos="4620"/>
              </w:tabs>
              <w:rPr>
                <w:noProof w:val="0"/>
                <w:rtl/>
              </w:rPr>
            </w:pPr>
            <w:r>
              <w:rPr>
                <w:noProof w:val="0"/>
                <w:rtl/>
              </w:rPr>
              <w:t>האתר באנגלית:</w:t>
            </w:r>
            <w:r>
              <w:rPr>
                <w:noProof w:val="0"/>
                <w:rtl/>
              </w:rPr>
              <w:tab/>
            </w:r>
            <w:hyperlink r:id="rId9" w:history="1">
              <w:r>
                <w:rPr>
                  <w:rStyle w:val="Hyperlink"/>
                </w:rPr>
                <w:t>http://www.vbm-torah.org</w:t>
              </w:r>
            </w:hyperlink>
          </w:p>
          <w:p w:rsidR="00AA1481" w:rsidRDefault="00AA1481" w:rsidP="008C5E3D">
            <w:pPr>
              <w:pStyle w:val="ab"/>
              <w:tabs>
                <w:tab w:val="right" w:pos="4620"/>
              </w:tabs>
              <w:rPr>
                <w:noProof w:val="0"/>
                <w:rtl/>
              </w:rPr>
            </w:pPr>
          </w:p>
          <w:p w:rsidR="00AA1481" w:rsidRDefault="00AA1481" w:rsidP="008C5E3D">
            <w:pPr>
              <w:pStyle w:val="ab"/>
              <w:tabs>
                <w:tab w:val="right" w:pos="4620"/>
              </w:tabs>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A1481" w:rsidRDefault="00AA1481" w:rsidP="008C5E3D">
            <w:pPr>
              <w:pStyle w:val="ab"/>
              <w:tabs>
                <w:tab w:val="right" w:pos="4620"/>
              </w:tabs>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A1481" w:rsidRDefault="00AA1481" w:rsidP="008C5E3D">
            <w:pPr>
              <w:pStyle w:val="ab"/>
              <w:tabs>
                <w:tab w:val="right" w:pos="4620"/>
              </w:tabs>
              <w:rPr>
                <w:noProof w:val="0"/>
              </w:rPr>
            </w:pPr>
          </w:p>
        </w:tc>
        <w:tc>
          <w:tcPr>
            <w:tcW w:w="284" w:type="dxa"/>
            <w:tcBorders>
              <w:top w:val="nil"/>
              <w:left w:val="nil"/>
              <w:bottom w:val="nil"/>
              <w:right w:val="nil"/>
            </w:tcBorders>
          </w:tcPr>
          <w:p w:rsidR="00AA1481" w:rsidRDefault="00AA1481" w:rsidP="008C5E3D">
            <w:pPr>
              <w:pStyle w:val="ab"/>
              <w:tabs>
                <w:tab w:val="right" w:pos="4620"/>
              </w:tabs>
              <w:rPr>
                <w:noProof w:val="0"/>
              </w:rPr>
            </w:pPr>
            <w:r>
              <w:rPr>
                <w:noProof w:val="0"/>
                <w:rtl/>
              </w:rPr>
              <w:t xml:space="preserve">* * * * * * * </w:t>
            </w:r>
          </w:p>
        </w:tc>
      </w:tr>
      <w:bookmarkEnd w:id="0"/>
    </w:tbl>
    <w:p w:rsidR="007769B1" w:rsidRDefault="007769B1" w:rsidP="008C5E3D">
      <w:pPr>
        <w:tabs>
          <w:tab w:val="right" w:pos="4620"/>
        </w:tabs>
        <w:rPr>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19E" w:rsidRDefault="0012119E">
      <w:r>
        <w:separator/>
      </w:r>
    </w:p>
    <w:p w:rsidR="0012119E" w:rsidRDefault="0012119E"/>
  </w:endnote>
  <w:endnote w:type="continuationSeparator" w:id="0">
    <w:p w:rsidR="0012119E" w:rsidRDefault="0012119E">
      <w:r>
        <w:continuationSeparator/>
      </w:r>
    </w:p>
    <w:p w:rsidR="0012119E" w:rsidRDefault="00121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19E" w:rsidRDefault="0012119E">
      <w:r>
        <w:separator/>
      </w:r>
    </w:p>
    <w:p w:rsidR="0012119E" w:rsidRDefault="0012119E"/>
  </w:footnote>
  <w:footnote w:type="continuationSeparator" w:id="0">
    <w:p w:rsidR="0012119E" w:rsidRDefault="0012119E">
      <w:r>
        <w:continuationSeparator/>
      </w:r>
    </w:p>
    <w:p w:rsidR="0012119E" w:rsidRDefault="0012119E"/>
  </w:footnote>
  <w:footnote w:id="1">
    <w:p w:rsidR="00D13BAD" w:rsidRPr="009A0FB2" w:rsidRDefault="00F57159" w:rsidP="00FB404D">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0A628E" w:rsidRPr="000A628E">
        <w:rPr>
          <w:rtl/>
        </w:rPr>
        <w:t>השיחה נאמרה ב</w:t>
      </w:r>
      <w:r w:rsidR="00FB404D">
        <w:rPr>
          <w:rFonts w:hint="cs"/>
          <w:rtl/>
        </w:rPr>
        <w:t xml:space="preserve">סעודה שלישית </w:t>
      </w:r>
      <w:r w:rsidR="000A628E" w:rsidRPr="000A628E">
        <w:rPr>
          <w:rtl/>
        </w:rPr>
        <w:t xml:space="preserve">פרשת </w:t>
      </w:r>
      <w:r w:rsidR="00FB404D">
        <w:rPr>
          <w:rFonts w:hint="cs"/>
          <w:rtl/>
        </w:rPr>
        <w:t xml:space="preserve">בהעלותך </w:t>
      </w:r>
      <w:r w:rsidR="00FB404D">
        <w:rPr>
          <w:rtl/>
        </w:rPr>
        <w:t>ה'תש</w:t>
      </w:r>
      <w:r w:rsidR="00FB404D">
        <w:rPr>
          <w:rFonts w:hint="cs"/>
          <w:rtl/>
        </w:rPr>
        <w:t>נ"ז, ונערכה על ידי בנימין פרנקל</w:t>
      </w:r>
      <w:r w:rsidR="00C05A82" w:rsidRPr="00C05A82">
        <w:rPr>
          <w:rtl/>
        </w:rPr>
        <w:t>. ס</w:t>
      </w:r>
      <w:r w:rsidR="00C05A82">
        <w:rPr>
          <w:rtl/>
        </w:rPr>
        <w:t>יכום השיחה לא עבר את ביקורת הרב</w:t>
      </w:r>
      <w:r w:rsidR="00AA1481" w:rsidRPr="00AA1481">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D1447">
      <w:rPr>
        <w:b/>
        <w:bCs/>
        <w:noProof/>
        <w:sz w:val="21"/>
        <w:rtl/>
      </w:rPr>
      <w:t>2</w:t>
    </w:r>
    <w:r>
      <w:rPr>
        <w:b/>
        <w:bCs/>
        <w:sz w:val="21"/>
        <w:rtl/>
      </w:rPr>
      <w:fldChar w:fldCharType="end"/>
    </w:r>
    <w:r>
      <w:rPr>
        <w:b/>
        <w:bCs/>
        <w:sz w:val="21"/>
        <w:rtl/>
      </w:rPr>
      <w:t xml:space="preserve"> -</w:t>
    </w:r>
  </w:p>
  <w:p w:rsidR="00680CBB" w:rsidRDefault="00680CBB"/>
  <w:p w:rsidR="00011D6C" w:rsidRDefault="00011D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4"/>
  </w:num>
  <w:num w:numId="3">
    <w:abstractNumId w:val="34"/>
  </w:num>
  <w:num w:numId="4">
    <w:abstractNumId w:val="14"/>
  </w:num>
  <w:num w:numId="5">
    <w:abstractNumId w:val="4"/>
  </w:num>
  <w:num w:numId="6">
    <w:abstractNumId w:val="28"/>
  </w:num>
  <w:num w:numId="7">
    <w:abstractNumId w:val="12"/>
  </w:num>
  <w:num w:numId="8">
    <w:abstractNumId w:val="33"/>
  </w:num>
  <w:num w:numId="9">
    <w:abstractNumId w:val="0"/>
  </w:num>
  <w:num w:numId="10">
    <w:abstractNumId w:val="6"/>
  </w:num>
  <w:num w:numId="11">
    <w:abstractNumId w:val="29"/>
  </w:num>
  <w:num w:numId="12">
    <w:abstractNumId w:val="8"/>
  </w:num>
  <w:num w:numId="13">
    <w:abstractNumId w:val="21"/>
  </w:num>
  <w:num w:numId="14">
    <w:abstractNumId w:val="16"/>
  </w:num>
  <w:num w:numId="15">
    <w:abstractNumId w:val="23"/>
  </w:num>
  <w:num w:numId="16">
    <w:abstractNumId w:val="7"/>
  </w:num>
  <w:num w:numId="17">
    <w:abstractNumId w:val="11"/>
  </w:num>
  <w:num w:numId="18">
    <w:abstractNumId w:val="13"/>
  </w:num>
  <w:num w:numId="19">
    <w:abstractNumId w:val="27"/>
  </w:num>
  <w:num w:numId="20">
    <w:abstractNumId w:val="3"/>
  </w:num>
  <w:num w:numId="21">
    <w:abstractNumId w:val="26"/>
  </w:num>
  <w:num w:numId="22">
    <w:abstractNumId w:val="5"/>
  </w:num>
  <w:num w:numId="23">
    <w:abstractNumId w:val="9"/>
  </w:num>
  <w:num w:numId="24">
    <w:abstractNumId w:val="2"/>
  </w:num>
  <w:num w:numId="25">
    <w:abstractNumId w:val="17"/>
  </w:num>
  <w:num w:numId="26">
    <w:abstractNumId w:val="32"/>
  </w:num>
  <w:num w:numId="27">
    <w:abstractNumId w:val="1"/>
  </w:num>
  <w:num w:numId="28">
    <w:abstractNumId w:val="31"/>
  </w:num>
  <w:num w:numId="29">
    <w:abstractNumId w:val="10"/>
  </w:num>
  <w:num w:numId="30">
    <w:abstractNumId w:val="22"/>
  </w:num>
  <w:num w:numId="31">
    <w:abstractNumId w:val="19"/>
  </w:num>
  <w:num w:numId="32">
    <w:abstractNumId w:val="20"/>
  </w:num>
  <w:num w:numId="33">
    <w:abstractNumId w:val="15"/>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1D6C"/>
    <w:rsid w:val="00015C4E"/>
    <w:rsid w:val="00034997"/>
    <w:rsid w:val="00050383"/>
    <w:rsid w:val="00054C1D"/>
    <w:rsid w:val="00056413"/>
    <w:rsid w:val="00062C83"/>
    <w:rsid w:val="0006305C"/>
    <w:rsid w:val="00074142"/>
    <w:rsid w:val="000773F4"/>
    <w:rsid w:val="000A1BE6"/>
    <w:rsid w:val="000A56FC"/>
    <w:rsid w:val="000A5D16"/>
    <w:rsid w:val="000A628E"/>
    <w:rsid w:val="000A7935"/>
    <w:rsid w:val="000C5E6B"/>
    <w:rsid w:val="000D2112"/>
    <w:rsid w:val="001051EE"/>
    <w:rsid w:val="00111D01"/>
    <w:rsid w:val="001162A4"/>
    <w:rsid w:val="0012105B"/>
    <w:rsid w:val="0012119E"/>
    <w:rsid w:val="00130F07"/>
    <w:rsid w:val="001571DB"/>
    <w:rsid w:val="001615CD"/>
    <w:rsid w:val="00163EE5"/>
    <w:rsid w:val="00175EAE"/>
    <w:rsid w:val="001B7F24"/>
    <w:rsid w:val="001C1CAA"/>
    <w:rsid w:val="001C4E63"/>
    <w:rsid w:val="001E3883"/>
    <w:rsid w:val="001F6875"/>
    <w:rsid w:val="00281070"/>
    <w:rsid w:val="00292C86"/>
    <w:rsid w:val="00293BED"/>
    <w:rsid w:val="002B4D51"/>
    <w:rsid w:val="002B52BD"/>
    <w:rsid w:val="002D22C4"/>
    <w:rsid w:val="002E0D3F"/>
    <w:rsid w:val="00307245"/>
    <w:rsid w:val="003103B5"/>
    <w:rsid w:val="003128B3"/>
    <w:rsid w:val="003403F3"/>
    <w:rsid w:val="00342756"/>
    <w:rsid w:val="00351974"/>
    <w:rsid w:val="003567A2"/>
    <w:rsid w:val="0037776B"/>
    <w:rsid w:val="00383BEA"/>
    <w:rsid w:val="003B10E1"/>
    <w:rsid w:val="003B1F91"/>
    <w:rsid w:val="003B38FF"/>
    <w:rsid w:val="003B5490"/>
    <w:rsid w:val="003C07F9"/>
    <w:rsid w:val="003C1AA3"/>
    <w:rsid w:val="003D0CF6"/>
    <w:rsid w:val="003E3654"/>
    <w:rsid w:val="004148C3"/>
    <w:rsid w:val="00431FA5"/>
    <w:rsid w:val="00453B69"/>
    <w:rsid w:val="00475741"/>
    <w:rsid w:val="00477C74"/>
    <w:rsid w:val="004B5A87"/>
    <w:rsid w:val="004D2139"/>
    <w:rsid w:val="004D6335"/>
    <w:rsid w:val="004F7707"/>
    <w:rsid w:val="005070D2"/>
    <w:rsid w:val="005154DE"/>
    <w:rsid w:val="00531FBA"/>
    <w:rsid w:val="00545A05"/>
    <w:rsid w:val="0057194E"/>
    <w:rsid w:val="00584576"/>
    <w:rsid w:val="005D4972"/>
    <w:rsid w:val="005D5DBD"/>
    <w:rsid w:val="00612A40"/>
    <w:rsid w:val="00622528"/>
    <w:rsid w:val="00623DC9"/>
    <w:rsid w:val="0062477E"/>
    <w:rsid w:val="00625DC3"/>
    <w:rsid w:val="00664FE2"/>
    <w:rsid w:val="00666CEB"/>
    <w:rsid w:val="00680CBB"/>
    <w:rsid w:val="00697A94"/>
    <w:rsid w:val="006C1C74"/>
    <w:rsid w:val="006C28D9"/>
    <w:rsid w:val="006D38ED"/>
    <w:rsid w:val="006E4594"/>
    <w:rsid w:val="007146EB"/>
    <w:rsid w:val="0072125D"/>
    <w:rsid w:val="0072478D"/>
    <w:rsid w:val="00731FFA"/>
    <w:rsid w:val="00737519"/>
    <w:rsid w:val="007738DC"/>
    <w:rsid w:val="007769B1"/>
    <w:rsid w:val="00786CA5"/>
    <w:rsid w:val="007915D4"/>
    <w:rsid w:val="00791E00"/>
    <w:rsid w:val="007A3EDF"/>
    <w:rsid w:val="007C0DC9"/>
    <w:rsid w:val="007C2346"/>
    <w:rsid w:val="007D3C79"/>
    <w:rsid w:val="007D5680"/>
    <w:rsid w:val="007F2116"/>
    <w:rsid w:val="008309A4"/>
    <w:rsid w:val="008372EC"/>
    <w:rsid w:val="00890769"/>
    <w:rsid w:val="00895DEE"/>
    <w:rsid w:val="008A0C18"/>
    <w:rsid w:val="008C169E"/>
    <w:rsid w:val="008C5E3D"/>
    <w:rsid w:val="008D2009"/>
    <w:rsid w:val="008D4587"/>
    <w:rsid w:val="00907096"/>
    <w:rsid w:val="00940225"/>
    <w:rsid w:val="0094617E"/>
    <w:rsid w:val="009565EF"/>
    <w:rsid w:val="009737F2"/>
    <w:rsid w:val="0098306C"/>
    <w:rsid w:val="0098586C"/>
    <w:rsid w:val="009A0FB2"/>
    <w:rsid w:val="009F174C"/>
    <w:rsid w:val="009F1AD2"/>
    <w:rsid w:val="009F3544"/>
    <w:rsid w:val="00A21DE1"/>
    <w:rsid w:val="00A47B1D"/>
    <w:rsid w:val="00A511F6"/>
    <w:rsid w:val="00A70ABB"/>
    <w:rsid w:val="00A82758"/>
    <w:rsid w:val="00AA1481"/>
    <w:rsid w:val="00AA4FCC"/>
    <w:rsid w:val="00AB11A1"/>
    <w:rsid w:val="00AB6820"/>
    <w:rsid w:val="00AD10A8"/>
    <w:rsid w:val="00B06009"/>
    <w:rsid w:val="00B16F98"/>
    <w:rsid w:val="00B53B40"/>
    <w:rsid w:val="00B54C6C"/>
    <w:rsid w:val="00B64708"/>
    <w:rsid w:val="00B74501"/>
    <w:rsid w:val="00B839F0"/>
    <w:rsid w:val="00BB1BB6"/>
    <w:rsid w:val="00BB3B92"/>
    <w:rsid w:val="00BD5546"/>
    <w:rsid w:val="00BF08BD"/>
    <w:rsid w:val="00BF72EE"/>
    <w:rsid w:val="00C05A82"/>
    <w:rsid w:val="00C1023C"/>
    <w:rsid w:val="00C20987"/>
    <w:rsid w:val="00C5501D"/>
    <w:rsid w:val="00C55677"/>
    <w:rsid w:val="00C5614D"/>
    <w:rsid w:val="00C601CA"/>
    <w:rsid w:val="00C72129"/>
    <w:rsid w:val="00CB1E0F"/>
    <w:rsid w:val="00CB2FAC"/>
    <w:rsid w:val="00CD7181"/>
    <w:rsid w:val="00D0716C"/>
    <w:rsid w:val="00D13593"/>
    <w:rsid w:val="00D139EF"/>
    <w:rsid w:val="00D13BAD"/>
    <w:rsid w:val="00D400D5"/>
    <w:rsid w:val="00D43B35"/>
    <w:rsid w:val="00D73A0A"/>
    <w:rsid w:val="00D774DD"/>
    <w:rsid w:val="00DA0136"/>
    <w:rsid w:val="00DA7ACF"/>
    <w:rsid w:val="00E051AF"/>
    <w:rsid w:val="00E467FD"/>
    <w:rsid w:val="00E52C1B"/>
    <w:rsid w:val="00E72351"/>
    <w:rsid w:val="00E84C14"/>
    <w:rsid w:val="00EB641A"/>
    <w:rsid w:val="00ED1447"/>
    <w:rsid w:val="00ED7E69"/>
    <w:rsid w:val="00F3187A"/>
    <w:rsid w:val="00F3664E"/>
    <w:rsid w:val="00F50B3A"/>
    <w:rsid w:val="00F57159"/>
    <w:rsid w:val="00F70932"/>
    <w:rsid w:val="00F920C3"/>
    <w:rsid w:val="00F93CCE"/>
    <w:rsid w:val="00F971A3"/>
    <w:rsid w:val="00FA0BA4"/>
    <w:rsid w:val="00FA5C34"/>
    <w:rsid w:val="00FB404D"/>
    <w:rsid w:val="00FB608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customStyle="1" w:styleId="af2">
    <w:name w:val="סטנדרט"/>
    <w:basedOn w:val="a"/>
    <w:link w:val="Char"/>
    <w:rsid w:val="00034997"/>
    <w:pPr>
      <w:autoSpaceDE/>
      <w:autoSpaceDN/>
      <w:spacing w:after="0" w:line="360" w:lineRule="auto"/>
    </w:pPr>
    <w:rPr>
      <w:sz w:val="22"/>
    </w:rPr>
  </w:style>
  <w:style w:type="paragraph" w:customStyle="1" w:styleId="12">
    <w:name w:val="ציטוט1"/>
    <w:basedOn w:val="a"/>
    <w:next w:val="af2"/>
    <w:autoRedefine/>
    <w:rsid w:val="00034997"/>
    <w:pPr>
      <w:autoSpaceDE/>
      <w:autoSpaceDN/>
      <w:spacing w:after="0" w:line="360" w:lineRule="auto"/>
      <w:ind w:left="567"/>
    </w:pPr>
    <w:rPr>
      <w:rFonts w:cs="FrankRuehl"/>
      <w:sz w:val="24"/>
      <w:lang w:eastAsia="he-IL"/>
    </w:rPr>
  </w:style>
  <w:style w:type="character" w:customStyle="1" w:styleId="Char">
    <w:name w:val="סטנדרט Char"/>
    <w:link w:val="af2"/>
    <w:rsid w:val="00034997"/>
    <w:rPr>
      <w:rFonts w:cs="Narkisim"/>
      <w:sz w:val="22"/>
      <w:szCs w:val="22"/>
    </w:rPr>
  </w:style>
  <w:style w:type="paragraph" w:styleId="af3">
    <w:name w:val="No Spacing"/>
    <w:uiPriority w:val="1"/>
    <w:qFormat/>
    <w:rsid w:val="00C601CA"/>
    <w:pPr>
      <w:autoSpaceDE w:val="0"/>
      <w:autoSpaceDN w:val="0"/>
      <w:bidi/>
      <w:jc w:val="both"/>
    </w:pPr>
    <w:rPr>
      <w:rFonts w:cs="Narkisim"/>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F191-FA9C-4D1D-A6F8-2D6E2506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684</Words>
  <Characters>3424</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4100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77</cp:revision>
  <cp:lastPrinted>2001-10-24T10:13:00Z</cp:lastPrinted>
  <dcterms:created xsi:type="dcterms:W3CDTF">2015-10-25T09:59:00Z</dcterms:created>
  <dcterms:modified xsi:type="dcterms:W3CDTF">2016-06-14T14:11:00Z</dcterms:modified>
</cp:coreProperties>
</file>