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A3" w:rsidRPr="00C1023C" w:rsidRDefault="008A55A3" w:rsidP="008A55A3">
      <w:pPr>
        <w:pStyle w:val="ae"/>
        <w:tabs>
          <w:tab w:val="right" w:pos="4620"/>
        </w:tabs>
        <w:rPr>
          <w:sz w:val="26"/>
          <w:szCs w:val="26"/>
          <w:rtl/>
        </w:rPr>
      </w:pPr>
      <w:r w:rsidRPr="00C1023C">
        <w:rPr>
          <w:sz w:val="26"/>
          <w:szCs w:val="26"/>
          <w:rtl/>
        </w:rPr>
        <w:t xml:space="preserve">הרב </w:t>
      </w:r>
      <w:r>
        <w:rPr>
          <w:rFonts w:hint="cs"/>
          <w:sz w:val="26"/>
          <w:szCs w:val="26"/>
          <w:rtl/>
        </w:rPr>
        <w:t xml:space="preserve">משה ליכטנשטיין </w:t>
      </w:r>
      <w:proofErr w:type="spellStart"/>
      <w:r>
        <w:rPr>
          <w:rFonts w:hint="cs"/>
          <w:sz w:val="26"/>
          <w:szCs w:val="26"/>
          <w:rtl/>
        </w:rPr>
        <w:t>שליט"א</w:t>
      </w:r>
      <w:proofErr w:type="spellEnd"/>
    </w:p>
    <w:p w:rsidR="008A55A3" w:rsidRPr="00C1023C" w:rsidRDefault="008A55A3" w:rsidP="008A55A3">
      <w:pPr>
        <w:pStyle w:val="ae"/>
        <w:tabs>
          <w:tab w:val="right" w:pos="4620"/>
        </w:tabs>
        <w:rPr>
          <w:sz w:val="26"/>
          <w:szCs w:val="26"/>
          <w:rtl/>
        </w:rPr>
      </w:pPr>
      <w:r w:rsidRPr="00C1023C">
        <w:rPr>
          <w:sz w:val="26"/>
          <w:szCs w:val="26"/>
          <w:rtl/>
        </w:rPr>
        <w:t xml:space="preserve">שיחה </w:t>
      </w:r>
      <w:r>
        <w:rPr>
          <w:rFonts w:hint="cs"/>
          <w:sz w:val="26"/>
          <w:szCs w:val="26"/>
          <w:rtl/>
        </w:rPr>
        <w:t>לפרשת קרח</w:t>
      </w:r>
    </w:p>
    <w:p w:rsidR="008A55A3" w:rsidRPr="00C1023C" w:rsidRDefault="008A55A3" w:rsidP="008A55A3">
      <w:pPr>
        <w:pStyle w:val="1"/>
        <w:tabs>
          <w:tab w:val="right" w:pos="4620"/>
        </w:tabs>
        <w:rPr>
          <w:sz w:val="22"/>
          <w:szCs w:val="46"/>
          <w:rtl/>
        </w:rPr>
      </w:pPr>
      <w:bookmarkStart w:id="0" w:name="OLE_LINK1"/>
      <w:r>
        <w:rPr>
          <w:rFonts w:hint="cs"/>
          <w:sz w:val="38"/>
          <w:szCs w:val="38"/>
          <w:rtl/>
        </w:rPr>
        <w:t>חומריות ורוחניות בעדת קרח</w:t>
      </w:r>
      <w:r w:rsidRPr="00C1023C">
        <w:rPr>
          <w:rStyle w:val="ab"/>
          <w:rFonts w:eastAsiaTheme="majorEastAsia"/>
          <w:szCs w:val="20"/>
          <w:rtl/>
        </w:rPr>
        <w:footnoteReference w:customMarkFollows="1" w:id="1"/>
        <w:t>*</w:t>
      </w:r>
    </w:p>
    <w:p w:rsidR="008A55A3" w:rsidRPr="000A628E" w:rsidRDefault="008A55A3" w:rsidP="008A55A3">
      <w:pPr>
        <w:pStyle w:val="2"/>
        <w:tabs>
          <w:tab w:val="right" w:pos="4620"/>
        </w:tabs>
        <w:rPr>
          <w:rtl/>
        </w:rPr>
      </w:pPr>
      <w:r>
        <w:rPr>
          <w:rFonts w:hint="cs"/>
          <w:rtl/>
        </w:rPr>
        <w:t>א</w:t>
      </w:r>
    </w:p>
    <w:p w:rsidR="008A55A3" w:rsidRPr="00763100" w:rsidRDefault="008A55A3" w:rsidP="008A55A3">
      <w:pPr>
        <w:tabs>
          <w:tab w:val="right" w:pos="4620"/>
        </w:tabs>
        <w:rPr>
          <w:sz w:val="22"/>
          <w:szCs w:val="24"/>
          <w:rtl/>
        </w:rPr>
      </w:pPr>
      <w:proofErr w:type="spellStart"/>
      <w:r w:rsidRPr="00763100">
        <w:rPr>
          <w:sz w:val="22"/>
          <w:szCs w:val="24"/>
          <w:rtl/>
        </w:rPr>
        <w:t>הנצי"ב</w:t>
      </w:r>
      <w:proofErr w:type="spellEnd"/>
      <w:r w:rsidRPr="00763100">
        <w:rPr>
          <w:sz w:val="22"/>
          <w:szCs w:val="24"/>
          <w:rtl/>
        </w:rPr>
        <w:t xml:space="preserve">, בעקבות חז"ל, </w:t>
      </w:r>
      <w:r>
        <w:rPr>
          <w:rFonts w:hint="cs"/>
          <w:sz w:val="22"/>
          <w:szCs w:val="24"/>
          <w:rtl/>
        </w:rPr>
        <w:t xml:space="preserve">עמד </w:t>
      </w:r>
      <w:r w:rsidRPr="00763100">
        <w:rPr>
          <w:sz w:val="22"/>
          <w:szCs w:val="24"/>
          <w:rtl/>
        </w:rPr>
        <w:t xml:space="preserve">על כך שיש להפריד בין מאתיים וחמשים מקריבי הקטרת </w:t>
      </w:r>
      <w:r w:rsidR="00DB4158">
        <w:rPr>
          <w:rFonts w:hint="cs"/>
          <w:sz w:val="22"/>
          <w:szCs w:val="24"/>
          <w:rtl/>
        </w:rPr>
        <w:t>ל</w:t>
      </w:r>
      <w:r w:rsidRPr="00763100">
        <w:rPr>
          <w:sz w:val="22"/>
          <w:szCs w:val="24"/>
          <w:rtl/>
        </w:rPr>
        <w:t xml:space="preserve">בין שאר עדת קרח, </w:t>
      </w:r>
      <w:r w:rsidR="00DB4158">
        <w:rPr>
          <w:rFonts w:hint="cs"/>
          <w:sz w:val="22"/>
          <w:szCs w:val="24"/>
          <w:rtl/>
        </w:rPr>
        <w:t xml:space="preserve">הלוא הם </w:t>
      </w:r>
      <w:r w:rsidRPr="00763100">
        <w:rPr>
          <w:sz w:val="22"/>
          <w:szCs w:val="24"/>
          <w:rtl/>
        </w:rPr>
        <w:t>דתן ואבירם:</w:t>
      </w:r>
    </w:p>
    <w:p w:rsidR="008A55A3" w:rsidRDefault="008A55A3" w:rsidP="008A55A3">
      <w:pPr>
        <w:tabs>
          <w:tab w:val="right" w:pos="4620"/>
        </w:tabs>
        <w:ind w:left="720"/>
        <w:rPr>
          <w:sz w:val="22"/>
          <w:szCs w:val="24"/>
          <w:rtl/>
        </w:rPr>
      </w:pPr>
      <w:r w:rsidRPr="00763100">
        <w:rPr>
          <w:sz w:val="22"/>
          <w:szCs w:val="24"/>
          <w:rtl/>
        </w:rPr>
        <w:t xml:space="preserve">"...על כן יש להבין </w:t>
      </w:r>
      <w:proofErr w:type="spellStart"/>
      <w:r w:rsidRPr="00763100">
        <w:rPr>
          <w:sz w:val="22"/>
          <w:szCs w:val="24"/>
          <w:rtl/>
        </w:rPr>
        <w:t>שר"ן</w:t>
      </w:r>
      <w:proofErr w:type="spellEnd"/>
      <w:r w:rsidRPr="00763100">
        <w:rPr>
          <w:sz w:val="22"/>
          <w:szCs w:val="24"/>
          <w:rtl/>
        </w:rPr>
        <w:t xml:space="preserve"> איש היו באמת גדולי ישראל בכל פרט, גם ביראת ד', והיה מניעת הכהונה שהוא גורם דבקות ואהבת ד' כאש בוער בקרבם, לא לשם שררה וכבוד המדומה, כי אם להתקדש ולהשיג מעלה זו ע"י עבודה... לא כן דתן ואבירם, המה היו רחוקים </w:t>
      </w:r>
      <w:proofErr w:type="spellStart"/>
      <w:r w:rsidRPr="00763100">
        <w:rPr>
          <w:sz w:val="22"/>
          <w:szCs w:val="24"/>
          <w:rtl/>
        </w:rPr>
        <w:t>מתאוה</w:t>
      </w:r>
      <w:proofErr w:type="spellEnd"/>
      <w:r w:rsidRPr="00763100">
        <w:rPr>
          <w:sz w:val="22"/>
          <w:szCs w:val="24"/>
          <w:rtl/>
        </w:rPr>
        <w:t xml:space="preserve"> עליונה זו, כי אם שהיו בטבע בעלי מח</w:t>
      </w:r>
      <w:r>
        <w:rPr>
          <w:sz w:val="22"/>
          <w:szCs w:val="24"/>
          <w:rtl/>
        </w:rPr>
        <w:t>לוקת ושונאי משה עוד במצרים..."</w:t>
      </w:r>
    </w:p>
    <w:p w:rsidR="008A55A3" w:rsidRPr="00763100" w:rsidRDefault="008A55A3" w:rsidP="00DB4158">
      <w:pPr>
        <w:pStyle w:val="5"/>
        <w:rPr>
          <w:sz w:val="22"/>
          <w:szCs w:val="24"/>
          <w:rtl/>
        </w:rPr>
      </w:pPr>
      <w:r>
        <w:rPr>
          <w:sz w:val="22"/>
          <w:szCs w:val="24"/>
          <w:rtl/>
        </w:rPr>
        <w:tab/>
      </w:r>
      <w:r>
        <w:rPr>
          <w:rFonts w:hint="cs"/>
          <w:rtl/>
        </w:rPr>
        <w:t>(</w:t>
      </w:r>
      <w:r w:rsidRPr="00763100">
        <w:rPr>
          <w:rtl/>
        </w:rPr>
        <w:t xml:space="preserve">העמק דבר, במדבר </w:t>
      </w:r>
      <w:proofErr w:type="spellStart"/>
      <w:r w:rsidRPr="00763100">
        <w:rPr>
          <w:rtl/>
        </w:rPr>
        <w:t>טז</w:t>
      </w:r>
      <w:proofErr w:type="spellEnd"/>
      <w:r w:rsidRPr="00763100">
        <w:rPr>
          <w:rtl/>
        </w:rPr>
        <w:t>, א</w:t>
      </w:r>
      <w:r>
        <w:rPr>
          <w:rFonts w:hint="cs"/>
          <w:rtl/>
        </w:rPr>
        <w:t>)</w:t>
      </w:r>
    </w:p>
    <w:p w:rsidR="008A55A3" w:rsidRDefault="008A55A3" w:rsidP="00DB4158">
      <w:pPr>
        <w:tabs>
          <w:tab w:val="right" w:pos="4620"/>
        </w:tabs>
        <w:rPr>
          <w:sz w:val="22"/>
          <w:szCs w:val="24"/>
          <w:rtl/>
        </w:rPr>
      </w:pPr>
      <w:r>
        <w:rPr>
          <w:rFonts w:hint="cs"/>
          <w:sz w:val="22"/>
          <w:szCs w:val="24"/>
          <w:rtl/>
        </w:rPr>
        <w:t xml:space="preserve">פרשנותו </w:t>
      </w:r>
      <w:r w:rsidRPr="00763100">
        <w:rPr>
          <w:sz w:val="22"/>
          <w:szCs w:val="24"/>
          <w:rtl/>
        </w:rPr>
        <w:t xml:space="preserve">של </w:t>
      </w:r>
      <w:proofErr w:type="spellStart"/>
      <w:r w:rsidRPr="00763100">
        <w:rPr>
          <w:sz w:val="22"/>
          <w:szCs w:val="24"/>
          <w:rtl/>
        </w:rPr>
        <w:t>הנצי"</w:t>
      </w:r>
      <w:r w:rsidR="00DB4158">
        <w:rPr>
          <w:sz w:val="22"/>
          <w:szCs w:val="24"/>
          <w:rtl/>
        </w:rPr>
        <w:t>ב</w:t>
      </w:r>
      <w:proofErr w:type="spellEnd"/>
      <w:r w:rsidR="00DB4158">
        <w:rPr>
          <w:sz w:val="22"/>
          <w:szCs w:val="24"/>
          <w:rtl/>
        </w:rPr>
        <w:t xml:space="preserve"> נראית משכנעת ביותר בפסוקים; </w:t>
      </w:r>
      <w:r w:rsidRPr="00763100">
        <w:rPr>
          <w:sz w:val="22"/>
          <w:szCs w:val="24"/>
          <w:rtl/>
        </w:rPr>
        <w:t>שני ויכוחים שונים</w:t>
      </w:r>
      <w:r w:rsidR="00DB4158">
        <w:rPr>
          <w:rFonts w:hint="cs"/>
          <w:sz w:val="22"/>
          <w:szCs w:val="24"/>
          <w:rtl/>
        </w:rPr>
        <w:t xml:space="preserve"> כלפי משה</w:t>
      </w:r>
      <w:r w:rsidRPr="00763100">
        <w:rPr>
          <w:sz w:val="22"/>
          <w:szCs w:val="24"/>
          <w:rtl/>
        </w:rPr>
        <w:t xml:space="preserve"> מוצגים בפנינו,</w:t>
      </w:r>
      <w:r w:rsidR="00DB4158">
        <w:rPr>
          <w:rFonts w:hint="cs"/>
          <w:sz w:val="22"/>
          <w:szCs w:val="24"/>
          <w:rtl/>
        </w:rPr>
        <w:t xml:space="preserve"> האחד מגיע ממאתיים וחמישים </w:t>
      </w:r>
      <w:proofErr w:type="spellStart"/>
      <w:r w:rsidR="00DB4158">
        <w:rPr>
          <w:rFonts w:hint="cs"/>
          <w:sz w:val="22"/>
          <w:szCs w:val="24"/>
          <w:rtl/>
        </w:rPr>
        <w:t>מקטירי</w:t>
      </w:r>
      <w:proofErr w:type="spellEnd"/>
      <w:r w:rsidR="00DB4158">
        <w:rPr>
          <w:rFonts w:hint="cs"/>
          <w:sz w:val="22"/>
          <w:szCs w:val="24"/>
          <w:rtl/>
        </w:rPr>
        <w:t xml:space="preserve"> הקטרת והשני מדתן ואבירם. בשני הוויכוחים נ</w:t>
      </w:r>
      <w:r w:rsidRPr="00763100">
        <w:rPr>
          <w:sz w:val="22"/>
          <w:szCs w:val="24"/>
          <w:rtl/>
        </w:rPr>
        <w:t>ט</w:t>
      </w:r>
      <w:r w:rsidR="00DB4158">
        <w:rPr>
          <w:sz w:val="22"/>
          <w:szCs w:val="24"/>
          <w:rtl/>
        </w:rPr>
        <w:t xml:space="preserve">ענות </w:t>
      </w:r>
      <w:proofErr w:type="spellStart"/>
      <w:r w:rsidR="00DB4158">
        <w:rPr>
          <w:sz w:val="22"/>
          <w:szCs w:val="24"/>
          <w:rtl/>
        </w:rPr>
        <w:t>טענות</w:t>
      </w:r>
      <w:proofErr w:type="spellEnd"/>
      <w:r w:rsidR="00DB4158">
        <w:rPr>
          <w:sz w:val="22"/>
          <w:szCs w:val="24"/>
          <w:rtl/>
        </w:rPr>
        <w:t xml:space="preserve"> </w:t>
      </w:r>
      <w:proofErr w:type="spellStart"/>
      <w:r w:rsidR="00DB4158">
        <w:rPr>
          <w:sz w:val="22"/>
          <w:szCs w:val="24"/>
          <w:rtl/>
        </w:rPr>
        <w:t>שונ</w:t>
      </w:r>
      <w:r w:rsidR="00DB4158">
        <w:rPr>
          <w:rFonts w:hint="cs"/>
          <w:sz w:val="22"/>
          <w:szCs w:val="24"/>
          <w:rtl/>
        </w:rPr>
        <w:t>ת</w:t>
      </w:r>
      <w:proofErr w:type="spellEnd"/>
      <w:r>
        <w:rPr>
          <w:rFonts w:hint="cs"/>
          <w:sz w:val="22"/>
          <w:szCs w:val="24"/>
          <w:rtl/>
        </w:rPr>
        <w:t>.</w:t>
      </w:r>
      <w:r w:rsidRPr="00763100">
        <w:rPr>
          <w:sz w:val="22"/>
          <w:szCs w:val="24"/>
          <w:rtl/>
        </w:rPr>
        <w:t xml:space="preserve"> כמו כן, משה מגיב בצורה שונה לכל אחת מהקבוצות: הוא מוכן לה</w:t>
      </w:r>
      <w:r>
        <w:rPr>
          <w:rFonts w:hint="cs"/>
          <w:sz w:val="22"/>
          <w:szCs w:val="24"/>
          <w:rtl/>
        </w:rPr>
        <w:t>י</w:t>
      </w:r>
      <w:r w:rsidRPr="00763100">
        <w:rPr>
          <w:sz w:val="22"/>
          <w:szCs w:val="24"/>
          <w:rtl/>
        </w:rPr>
        <w:t>כנס לדין ודברים עם הקבוצה הראשונה ולתת להם אפשרות לבחון את טענותיהם, מתוך הכ</w:t>
      </w:r>
      <w:r>
        <w:rPr>
          <w:sz w:val="22"/>
          <w:szCs w:val="24"/>
          <w:rtl/>
        </w:rPr>
        <w:t>רה בחילוקי דעות רוחניים מהותיים</w:t>
      </w:r>
      <w:r>
        <w:rPr>
          <w:rFonts w:hint="cs"/>
          <w:sz w:val="22"/>
          <w:szCs w:val="24"/>
          <w:rtl/>
        </w:rPr>
        <w:t>.</w:t>
      </w:r>
      <w:r w:rsidRPr="00763100">
        <w:rPr>
          <w:sz w:val="22"/>
          <w:szCs w:val="24"/>
          <w:rtl/>
        </w:rPr>
        <w:t xml:space="preserve"> תגובתו כלפי דתן ואבירם </w:t>
      </w:r>
      <w:r>
        <w:rPr>
          <w:rFonts w:hint="cs"/>
          <w:sz w:val="22"/>
          <w:szCs w:val="24"/>
          <w:rtl/>
        </w:rPr>
        <w:t xml:space="preserve">היא </w:t>
      </w:r>
      <w:r w:rsidRPr="00763100">
        <w:rPr>
          <w:sz w:val="22"/>
          <w:szCs w:val="24"/>
          <w:rtl/>
        </w:rPr>
        <w:t xml:space="preserve">ניתוק מגע מוחלט והרחקת העם מעליהם. </w:t>
      </w:r>
    </w:p>
    <w:p w:rsidR="008A55A3" w:rsidRPr="00763100" w:rsidRDefault="008A55A3" w:rsidP="008A55A3">
      <w:pPr>
        <w:pStyle w:val="2"/>
        <w:tabs>
          <w:tab w:val="right" w:pos="4620"/>
        </w:tabs>
        <w:rPr>
          <w:rtl/>
        </w:rPr>
      </w:pPr>
      <w:r w:rsidRPr="00763100">
        <w:rPr>
          <w:rtl/>
        </w:rPr>
        <w:t>ב</w:t>
      </w:r>
    </w:p>
    <w:p w:rsidR="008A55A3" w:rsidRDefault="008A55A3" w:rsidP="008A55A3">
      <w:pPr>
        <w:tabs>
          <w:tab w:val="right" w:pos="4620"/>
        </w:tabs>
        <w:rPr>
          <w:sz w:val="22"/>
          <w:szCs w:val="24"/>
          <w:rtl/>
        </w:rPr>
      </w:pPr>
      <w:r>
        <w:rPr>
          <w:sz w:val="22"/>
          <w:szCs w:val="24"/>
          <w:rtl/>
        </w:rPr>
        <w:t>דתן</w:t>
      </w:r>
      <w:r w:rsidRPr="00763100">
        <w:rPr>
          <w:sz w:val="22"/>
          <w:szCs w:val="24"/>
          <w:rtl/>
        </w:rPr>
        <w:t xml:space="preserve"> </w:t>
      </w:r>
      <w:r>
        <w:rPr>
          <w:rFonts w:hint="cs"/>
          <w:sz w:val="22"/>
          <w:szCs w:val="24"/>
          <w:rtl/>
        </w:rPr>
        <w:t>ו</w:t>
      </w:r>
      <w:r w:rsidRPr="00763100">
        <w:rPr>
          <w:sz w:val="22"/>
          <w:szCs w:val="24"/>
          <w:rtl/>
        </w:rPr>
        <w:t>אבירם וחסידיהם, רודפי התענוגות והנוחות, ממשיכים לדגול בגישת האספסוף של קברות התא</w:t>
      </w:r>
      <w:r>
        <w:rPr>
          <w:rFonts w:hint="cs"/>
          <w:sz w:val="22"/>
          <w:szCs w:val="24"/>
          <w:rtl/>
        </w:rPr>
        <w:t>ו</w:t>
      </w:r>
      <w:r w:rsidRPr="00763100">
        <w:rPr>
          <w:sz w:val="22"/>
          <w:szCs w:val="24"/>
          <w:rtl/>
        </w:rPr>
        <w:t>וה</w:t>
      </w:r>
      <w:r>
        <w:rPr>
          <w:rFonts w:hint="cs"/>
          <w:sz w:val="22"/>
          <w:szCs w:val="24"/>
          <w:rtl/>
        </w:rPr>
        <w:t>,</w:t>
      </w:r>
      <w:r w:rsidRPr="00763100">
        <w:rPr>
          <w:sz w:val="22"/>
          <w:szCs w:val="24"/>
          <w:rtl/>
        </w:rPr>
        <w:t xml:space="preserve"> הבאה לידי ביטו</w:t>
      </w:r>
      <w:r>
        <w:rPr>
          <w:sz w:val="22"/>
          <w:szCs w:val="24"/>
          <w:rtl/>
        </w:rPr>
        <w:t>י בחטא המרגלים, ובפרשת</w:t>
      </w:r>
      <w:r w:rsidRPr="00763100">
        <w:rPr>
          <w:sz w:val="22"/>
          <w:szCs w:val="24"/>
          <w:rtl/>
        </w:rPr>
        <w:t xml:space="preserve">נו – מתבטאת בדרישה לקבלת "נחלת שדה וכרם" </w:t>
      </w:r>
      <w:r w:rsidRPr="00763100">
        <w:rPr>
          <w:sz w:val="18"/>
          <w:szCs w:val="20"/>
          <w:rtl/>
        </w:rPr>
        <w:t>(</w:t>
      </w:r>
      <w:proofErr w:type="spellStart"/>
      <w:r w:rsidRPr="00763100">
        <w:rPr>
          <w:sz w:val="18"/>
          <w:szCs w:val="20"/>
          <w:rtl/>
        </w:rPr>
        <w:t>טז</w:t>
      </w:r>
      <w:proofErr w:type="spellEnd"/>
      <w:r w:rsidRPr="00763100">
        <w:rPr>
          <w:sz w:val="18"/>
          <w:szCs w:val="20"/>
          <w:rtl/>
        </w:rPr>
        <w:t>,</w:t>
      </w:r>
      <w:r w:rsidRPr="00763100">
        <w:rPr>
          <w:rFonts w:hint="cs"/>
          <w:sz w:val="18"/>
          <w:szCs w:val="20"/>
          <w:rtl/>
        </w:rPr>
        <w:t xml:space="preserve"> </w:t>
      </w:r>
      <w:r w:rsidRPr="00763100">
        <w:rPr>
          <w:sz w:val="18"/>
          <w:szCs w:val="20"/>
          <w:rtl/>
        </w:rPr>
        <w:t>יד)</w:t>
      </w:r>
      <w:r w:rsidRPr="00763100">
        <w:rPr>
          <w:sz w:val="22"/>
          <w:szCs w:val="24"/>
          <w:rtl/>
        </w:rPr>
        <w:t xml:space="preserve">. </w:t>
      </w:r>
    </w:p>
    <w:p w:rsidR="008A55A3" w:rsidRPr="00763100" w:rsidRDefault="008A55A3" w:rsidP="008A55A3">
      <w:pPr>
        <w:tabs>
          <w:tab w:val="right" w:pos="4620"/>
        </w:tabs>
        <w:rPr>
          <w:sz w:val="22"/>
          <w:szCs w:val="24"/>
          <w:rtl/>
        </w:rPr>
      </w:pPr>
      <w:r w:rsidRPr="00763100">
        <w:rPr>
          <w:sz w:val="22"/>
          <w:szCs w:val="24"/>
          <w:rtl/>
        </w:rPr>
        <w:t xml:space="preserve">מבחינתם, כישלון המרגלים הוא בכך שלא הצליחו להשיב את העם למצרים, שהוא מבחינתם "ארץ זבת חלב ודבש" </w:t>
      </w:r>
      <w:r w:rsidRPr="00763100">
        <w:rPr>
          <w:sz w:val="18"/>
          <w:szCs w:val="20"/>
          <w:rtl/>
        </w:rPr>
        <w:t>(שם,</w:t>
      </w:r>
      <w:r w:rsidRPr="00763100">
        <w:rPr>
          <w:rFonts w:hint="cs"/>
          <w:sz w:val="18"/>
          <w:szCs w:val="20"/>
          <w:rtl/>
        </w:rPr>
        <w:t xml:space="preserve"> </w:t>
      </w:r>
      <w:proofErr w:type="spellStart"/>
      <w:r w:rsidRPr="00763100">
        <w:rPr>
          <w:sz w:val="18"/>
          <w:szCs w:val="20"/>
          <w:rtl/>
        </w:rPr>
        <w:t>יג</w:t>
      </w:r>
      <w:proofErr w:type="spellEnd"/>
      <w:r w:rsidRPr="00763100">
        <w:rPr>
          <w:sz w:val="18"/>
          <w:szCs w:val="20"/>
          <w:rtl/>
        </w:rPr>
        <w:t>)</w:t>
      </w:r>
      <w:r w:rsidRPr="00763100">
        <w:rPr>
          <w:sz w:val="22"/>
          <w:szCs w:val="24"/>
          <w:rtl/>
        </w:rPr>
        <w:t xml:space="preserve">. דבריהם הבוטים של דתן ואבירם </w:t>
      </w:r>
      <w:r>
        <w:rPr>
          <w:rFonts w:hint="cs"/>
          <w:sz w:val="22"/>
          <w:szCs w:val="24"/>
          <w:rtl/>
        </w:rPr>
        <w:t xml:space="preserve">הם </w:t>
      </w:r>
      <w:r w:rsidRPr="00763100">
        <w:rPr>
          <w:sz w:val="22"/>
          <w:szCs w:val="24"/>
          <w:rtl/>
        </w:rPr>
        <w:t>שלב נוסף בהעמקת התאוותנות בעם, ובאים בתביעה מפורשת להציב  "נחלת שדה וכרם" ו"ארץ זבת חלב ודבש" כערכים עליונים.</w:t>
      </w:r>
    </w:p>
    <w:p w:rsidR="008A55A3" w:rsidRPr="00763100" w:rsidRDefault="008A55A3" w:rsidP="008A55A3">
      <w:pPr>
        <w:tabs>
          <w:tab w:val="right" w:pos="4620"/>
        </w:tabs>
        <w:rPr>
          <w:sz w:val="22"/>
          <w:szCs w:val="24"/>
          <w:rtl/>
        </w:rPr>
      </w:pPr>
      <w:r w:rsidRPr="00763100">
        <w:rPr>
          <w:sz w:val="22"/>
          <w:szCs w:val="24"/>
          <w:rtl/>
        </w:rPr>
        <w:t>יתכן, שחמישים ומאתיים האיש הנאספים אל קרח וחפצים בהקטרת הקטורת, אינם רוצים רק למרוד בכהונה מתוך תפיסה שוויונית המכחישה את הבדלי הדרגות בקדושת העם, אלא אף מבטאים מרד ומחאה כנגד העולם החומרני שהתגלה בעם בעקבות חטא המרגלים. כנגד דורשי הקישואים והאבטיחים, השדה והכרם, נוצרת תגובת נגד אצל חלקים מן העם הדורשים להפנות ע</w:t>
      </w:r>
      <w:r>
        <w:rPr>
          <w:sz w:val="22"/>
          <w:szCs w:val="24"/>
          <w:rtl/>
        </w:rPr>
        <w:t xml:space="preserve">ורף לעולם החומרי ולעסוק בעבודת </w:t>
      </w:r>
      <w:r>
        <w:rPr>
          <w:rFonts w:hint="cs"/>
          <w:sz w:val="22"/>
          <w:szCs w:val="24"/>
          <w:rtl/>
        </w:rPr>
        <w:t>ה</w:t>
      </w:r>
      <w:r w:rsidRPr="00763100">
        <w:rPr>
          <w:sz w:val="22"/>
          <w:szCs w:val="24"/>
          <w:rtl/>
        </w:rPr>
        <w:t xml:space="preserve">'. לא בכדי מתמקד המאבק בינם </w:t>
      </w:r>
      <w:r>
        <w:rPr>
          <w:rFonts w:hint="cs"/>
          <w:sz w:val="22"/>
          <w:szCs w:val="24"/>
          <w:rtl/>
        </w:rPr>
        <w:t xml:space="preserve">ובין </w:t>
      </w:r>
      <w:r w:rsidRPr="00763100">
        <w:rPr>
          <w:sz w:val="22"/>
          <w:szCs w:val="24"/>
          <w:rtl/>
        </w:rPr>
        <w:t xml:space="preserve">משה בהקרבת הקטורת. בניגוד להקרבת הזבח והמנחה, המבטאים את קידוש החומר, את הגשת החומר לגבוה </w:t>
      </w:r>
      <w:r>
        <w:rPr>
          <w:sz w:val="22"/>
          <w:szCs w:val="24"/>
          <w:rtl/>
        </w:rPr>
        <w:t>–</w:t>
      </w:r>
      <w:r w:rsidRPr="00763100">
        <w:rPr>
          <w:sz w:val="22"/>
          <w:szCs w:val="24"/>
          <w:rtl/>
        </w:rPr>
        <w:t xml:space="preserve"> 'אכילת מזבח'; הקטורת מסמלת את הרוחניות ואת הבריחה המוחלטת מן החומר. עיקרה אינה בסממנים שבתוכה אלא בענן שהיא יוצרת – הרוח.</w:t>
      </w:r>
    </w:p>
    <w:p w:rsidR="008A55A3" w:rsidRPr="00763100" w:rsidRDefault="008A55A3" w:rsidP="008A55A3">
      <w:pPr>
        <w:tabs>
          <w:tab w:val="right" w:pos="4620"/>
        </w:tabs>
        <w:rPr>
          <w:sz w:val="22"/>
          <w:szCs w:val="24"/>
          <w:rtl/>
        </w:rPr>
      </w:pPr>
      <w:r w:rsidRPr="00763100">
        <w:rPr>
          <w:sz w:val="22"/>
          <w:szCs w:val="24"/>
          <w:rtl/>
        </w:rPr>
        <w:t xml:space="preserve">אם כן, קיימות שתי קבוצות הדורשות שינוי לאחר חטא המרגלים; האחת דורשת שינוי מהותי באקלים הרוחני שהביא לידי החטא, ואילו האחרת רוצה לממש את תכנית המרגלים. </w:t>
      </w:r>
      <w:proofErr w:type="spellStart"/>
      <w:r w:rsidRPr="00763100">
        <w:rPr>
          <w:sz w:val="22"/>
          <w:szCs w:val="24"/>
          <w:rtl/>
        </w:rPr>
        <w:t>מאוויהם</w:t>
      </w:r>
      <w:proofErr w:type="spellEnd"/>
      <w:r w:rsidRPr="00763100">
        <w:rPr>
          <w:sz w:val="22"/>
          <w:szCs w:val="24"/>
          <w:rtl/>
        </w:rPr>
        <w:t xml:space="preserve"> ותכניותיהן שונות מן הקצה אל הקצה, אך שתיהן מאוחדות בהתנגדותן למשה ואהרן, ומכנה משותף זה מזמנם לתמיכה במרד קרח. ברור שאילו היה המרד 'מצליח', ה</w:t>
      </w:r>
      <w:r>
        <w:rPr>
          <w:rFonts w:hint="cs"/>
          <w:sz w:val="22"/>
          <w:szCs w:val="24"/>
          <w:rtl/>
        </w:rPr>
        <w:t>י</w:t>
      </w:r>
      <w:r w:rsidRPr="00763100">
        <w:rPr>
          <w:sz w:val="22"/>
          <w:szCs w:val="24"/>
          <w:rtl/>
        </w:rPr>
        <w:t xml:space="preserve">יתה התנגשות חזיתית בלתי-נמנעת בין שתי הקבוצות לגבי קביעת כיוונו החדש של עם ישראל. </w:t>
      </w:r>
    </w:p>
    <w:p w:rsidR="008A55A3" w:rsidRPr="00763100" w:rsidRDefault="008A55A3" w:rsidP="008A55A3">
      <w:pPr>
        <w:tabs>
          <w:tab w:val="right" w:pos="4620"/>
        </w:tabs>
        <w:rPr>
          <w:sz w:val="22"/>
          <w:szCs w:val="24"/>
          <w:rtl/>
        </w:rPr>
      </w:pPr>
      <w:r w:rsidRPr="00763100">
        <w:rPr>
          <w:sz w:val="22"/>
          <w:szCs w:val="24"/>
          <w:rtl/>
        </w:rPr>
        <w:t>דתן ואבירם מאוכזבים מאי-השיבה למצרים, וכתגו</w:t>
      </w:r>
      <w:r>
        <w:rPr>
          <w:sz w:val="22"/>
          <w:szCs w:val="24"/>
          <w:rtl/>
        </w:rPr>
        <w:t xml:space="preserve">בה מחרפים את משה המנבא בשמו של </w:t>
      </w:r>
      <w:proofErr w:type="spellStart"/>
      <w:r w:rsidRPr="00763100">
        <w:rPr>
          <w:sz w:val="22"/>
          <w:szCs w:val="24"/>
          <w:rtl/>
        </w:rPr>
        <w:t>קודשא</w:t>
      </w:r>
      <w:proofErr w:type="spellEnd"/>
      <w:r w:rsidRPr="00763100">
        <w:rPr>
          <w:sz w:val="22"/>
          <w:szCs w:val="24"/>
          <w:rtl/>
        </w:rPr>
        <w:t xml:space="preserve"> </w:t>
      </w:r>
      <w:proofErr w:type="spellStart"/>
      <w:r w:rsidRPr="00763100">
        <w:rPr>
          <w:sz w:val="22"/>
          <w:szCs w:val="24"/>
          <w:rtl/>
        </w:rPr>
        <w:t>בריך</w:t>
      </w:r>
      <w:proofErr w:type="spellEnd"/>
      <w:r w:rsidRPr="00763100">
        <w:rPr>
          <w:sz w:val="22"/>
          <w:szCs w:val="24"/>
          <w:rtl/>
        </w:rPr>
        <w:t xml:space="preserve"> הוא. אין משה נכנס לדי</w:t>
      </w:r>
      <w:r>
        <w:rPr>
          <w:rFonts w:hint="cs"/>
          <w:sz w:val="22"/>
          <w:szCs w:val="24"/>
          <w:rtl/>
        </w:rPr>
        <w:t>ן</w:t>
      </w:r>
      <w:r w:rsidRPr="00763100">
        <w:rPr>
          <w:sz w:val="22"/>
          <w:szCs w:val="24"/>
          <w:rtl/>
        </w:rPr>
        <w:t xml:space="preserve"> ודברים עם הרשעים, אלא מנתק עמם מגע, ואף מבקש מהקב"ה לכלותם ולהורידם שאולה. </w:t>
      </w:r>
    </w:p>
    <w:p w:rsidR="008A55A3" w:rsidRDefault="008A55A3" w:rsidP="008A55A3">
      <w:pPr>
        <w:tabs>
          <w:tab w:val="right" w:pos="4620"/>
        </w:tabs>
        <w:rPr>
          <w:sz w:val="22"/>
          <w:szCs w:val="24"/>
          <w:rtl/>
        </w:rPr>
      </w:pPr>
      <w:r w:rsidRPr="00763100">
        <w:rPr>
          <w:sz w:val="22"/>
          <w:szCs w:val="24"/>
          <w:rtl/>
        </w:rPr>
        <w:t xml:space="preserve">לעומת זאת, חמישים ומאתיים </w:t>
      </w:r>
      <w:r>
        <w:rPr>
          <w:rFonts w:hint="cs"/>
          <w:sz w:val="22"/>
          <w:szCs w:val="24"/>
          <w:rtl/>
        </w:rPr>
        <w:t>ה</w:t>
      </w:r>
      <w:r w:rsidRPr="00763100">
        <w:rPr>
          <w:sz w:val="22"/>
          <w:szCs w:val="24"/>
          <w:rtl/>
        </w:rPr>
        <w:t xml:space="preserve">איש רואים במשה ובמדיניותו הרוחנית את האשם במצב הרוחני הירוד של העם. לא רק שהם מסרבים לקבל את עמדת התורה ביחס לקדושת החומר, אלא הם אף תולים בכך תוצאות מרחיקות לכת ביחס לנעשה בעם. </w:t>
      </w:r>
    </w:p>
    <w:p w:rsidR="008A55A3" w:rsidRDefault="008A55A3" w:rsidP="008A55A3">
      <w:pPr>
        <w:tabs>
          <w:tab w:val="right" w:pos="4620"/>
        </w:tabs>
        <w:rPr>
          <w:sz w:val="22"/>
          <w:szCs w:val="24"/>
          <w:rtl/>
        </w:rPr>
      </w:pPr>
      <w:r w:rsidRPr="00763100">
        <w:rPr>
          <w:sz w:val="22"/>
          <w:szCs w:val="24"/>
          <w:rtl/>
        </w:rPr>
        <w:t xml:space="preserve">לשיטתם, החומרנות והנהנתנות אינן מנותקות מן העולם הרוחני שמשה מנהיג מסביב למשכן ולקרבנות. אם אף המתוקנים שבעם שקועים בעולמו של החומר, הרי שהפחותים בעם ישקעו לחומרנות גסה. </w:t>
      </w:r>
    </w:p>
    <w:p w:rsidR="008A55A3" w:rsidRDefault="008A55A3" w:rsidP="008A55A3">
      <w:pPr>
        <w:tabs>
          <w:tab w:val="right" w:pos="4620"/>
        </w:tabs>
        <w:rPr>
          <w:sz w:val="22"/>
          <w:szCs w:val="24"/>
          <w:rtl/>
        </w:rPr>
      </w:pPr>
      <w:r w:rsidRPr="00763100">
        <w:rPr>
          <w:sz w:val="22"/>
          <w:szCs w:val="24"/>
          <w:rtl/>
        </w:rPr>
        <w:t xml:space="preserve">מלבד זאת, הם רואים במשה את האשם להדוניזם הפושה בעם מסיבה נוספת, והיא בחירת הלויים, המתועדת בפרק ח', הקודמת לחטאי העם המתחילים בפרק י"א. ישנה סמיכות פרשיות בין חטאי דור המדבר למסופר בראש ספר במדבר, אך אין זה מחמת </w:t>
      </w:r>
      <w:r w:rsidRPr="00763100">
        <w:rPr>
          <w:sz w:val="22"/>
          <w:szCs w:val="24"/>
          <w:rtl/>
        </w:rPr>
        <w:lastRenderedPageBreak/>
        <w:t xml:space="preserve">הירתעותם של בני ישראל מנוכחות השכינה, אלא מפאת ייחוד העבודה לשבט לוי. </w:t>
      </w:r>
    </w:p>
    <w:p w:rsidR="008A55A3" w:rsidRDefault="008A55A3" w:rsidP="008A55A3">
      <w:pPr>
        <w:tabs>
          <w:tab w:val="right" w:pos="4620"/>
        </w:tabs>
        <w:rPr>
          <w:sz w:val="22"/>
          <w:szCs w:val="24"/>
          <w:rtl/>
        </w:rPr>
      </w:pPr>
      <w:r w:rsidRPr="00763100">
        <w:rPr>
          <w:sz w:val="22"/>
          <w:szCs w:val="24"/>
          <w:rtl/>
        </w:rPr>
        <w:t xml:space="preserve">לדידם, תחושה של ריחוק הנוצר בין העם </w:t>
      </w:r>
      <w:r>
        <w:rPr>
          <w:rFonts w:hint="cs"/>
          <w:sz w:val="22"/>
          <w:szCs w:val="24"/>
          <w:rtl/>
        </w:rPr>
        <w:t xml:space="preserve">לקב"ה </w:t>
      </w:r>
      <w:r w:rsidRPr="00763100">
        <w:rPr>
          <w:sz w:val="22"/>
          <w:szCs w:val="24"/>
          <w:rtl/>
        </w:rPr>
        <w:t>עומדת בשורש חטאיהם. במילים אחרות, טענותיהם של חמשים ומאתיים האיש כוללת פלוגתא מטפיזית עם משה, אך מלבד זאת, יש כאן קריאת ת</w:t>
      </w:r>
      <w:r>
        <w:rPr>
          <w:rFonts w:hint="cs"/>
          <w:sz w:val="22"/>
          <w:szCs w:val="24"/>
          <w:rtl/>
        </w:rPr>
        <w:t>י</w:t>
      </w:r>
      <w:r w:rsidRPr="00763100">
        <w:rPr>
          <w:sz w:val="22"/>
          <w:szCs w:val="24"/>
          <w:rtl/>
        </w:rPr>
        <w:t xml:space="preserve">גר על הנהגתו של משה. </w:t>
      </w:r>
    </w:p>
    <w:p w:rsidR="008A55A3" w:rsidRDefault="008A55A3" w:rsidP="008A55A3">
      <w:pPr>
        <w:tabs>
          <w:tab w:val="right" w:pos="4620"/>
        </w:tabs>
        <w:rPr>
          <w:sz w:val="22"/>
          <w:szCs w:val="24"/>
          <w:rtl/>
        </w:rPr>
      </w:pPr>
      <w:r w:rsidRPr="00763100">
        <w:rPr>
          <w:sz w:val="22"/>
          <w:szCs w:val="24"/>
          <w:rtl/>
        </w:rPr>
        <w:t xml:space="preserve">עם זאת, היות שהם מונעים מתוך </w:t>
      </w:r>
      <w:proofErr w:type="spellStart"/>
      <w:r w:rsidRPr="00763100">
        <w:rPr>
          <w:sz w:val="22"/>
          <w:szCs w:val="24"/>
          <w:rtl/>
        </w:rPr>
        <w:t>יצרא</w:t>
      </w:r>
      <w:proofErr w:type="spellEnd"/>
      <w:r w:rsidRPr="00763100">
        <w:rPr>
          <w:sz w:val="22"/>
          <w:szCs w:val="24"/>
          <w:rtl/>
        </w:rPr>
        <w:t xml:space="preserve"> </w:t>
      </w:r>
      <w:proofErr w:type="spellStart"/>
      <w:r w:rsidRPr="00763100">
        <w:rPr>
          <w:sz w:val="22"/>
          <w:szCs w:val="24"/>
          <w:rtl/>
        </w:rPr>
        <w:t>דקדושה</w:t>
      </w:r>
      <w:proofErr w:type="spellEnd"/>
      <w:r w:rsidRPr="00763100">
        <w:rPr>
          <w:sz w:val="22"/>
          <w:szCs w:val="24"/>
          <w:rtl/>
        </w:rPr>
        <w:t>, אף על פי שהוא מיושם לכיוון שלילי של מרידה, אין משה מבטא כלפיהם זעם ותסכול, אלא מנסה להתמודד עמם לגופו של עניין.</w:t>
      </w:r>
    </w:p>
    <w:p w:rsidR="008A55A3" w:rsidRPr="00763100" w:rsidRDefault="008A55A3" w:rsidP="008A55A3">
      <w:pPr>
        <w:pStyle w:val="2"/>
        <w:tabs>
          <w:tab w:val="right" w:pos="4620"/>
        </w:tabs>
        <w:rPr>
          <w:rtl/>
        </w:rPr>
      </w:pPr>
      <w:r w:rsidRPr="00763100">
        <w:rPr>
          <w:rtl/>
        </w:rPr>
        <w:t>ג</w:t>
      </w:r>
    </w:p>
    <w:p w:rsidR="008A55A3" w:rsidRPr="00763100" w:rsidRDefault="008A55A3" w:rsidP="008A55A3">
      <w:pPr>
        <w:tabs>
          <w:tab w:val="right" w:pos="4620"/>
        </w:tabs>
        <w:rPr>
          <w:sz w:val="22"/>
          <w:szCs w:val="24"/>
          <w:rtl/>
        </w:rPr>
      </w:pPr>
      <w:proofErr w:type="spellStart"/>
      <w:r w:rsidRPr="00763100">
        <w:rPr>
          <w:sz w:val="22"/>
          <w:szCs w:val="24"/>
          <w:rtl/>
        </w:rPr>
        <w:t>מקטירי</w:t>
      </w:r>
      <w:proofErr w:type="spellEnd"/>
      <w:r w:rsidRPr="00763100">
        <w:rPr>
          <w:sz w:val="22"/>
          <w:szCs w:val="24"/>
          <w:rtl/>
        </w:rPr>
        <w:t xml:space="preserve"> הקטורת, השואפים ליתר רוחניות ולהוצאת החול מן הקודש, נענשים בשריפה, שבה הגוף כלה והופך לחוסר ממשיות. דתן ואבירם, שרדפו אחרי החומר ושאפו להוצאת הקודש מן החול, נבלעו באדמה החומרית והפכו חלק מעפר הארץ, יחד עם הרכוש שכה רדפו אחריו. </w:t>
      </w:r>
    </w:p>
    <w:p w:rsidR="008A55A3" w:rsidRPr="00763100" w:rsidRDefault="008A55A3" w:rsidP="00915A47">
      <w:pPr>
        <w:tabs>
          <w:tab w:val="right" w:pos="4620"/>
        </w:tabs>
        <w:rPr>
          <w:sz w:val="22"/>
          <w:szCs w:val="24"/>
          <w:rtl/>
        </w:rPr>
      </w:pPr>
      <w:r w:rsidRPr="00763100">
        <w:rPr>
          <w:sz w:val="22"/>
          <w:szCs w:val="24"/>
          <w:rtl/>
        </w:rPr>
        <w:t>פרשת מתנות הכהונה הבאה בעקבות מרד קרח נועדה לתת מענה לשתי הסיעות הללו. מחד</w:t>
      </w:r>
      <w:r>
        <w:rPr>
          <w:rFonts w:hint="cs"/>
          <w:sz w:val="22"/>
          <w:szCs w:val="24"/>
          <w:rtl/>
        </w:rPr>
        <w:t xml:space="preserve"> גיסא</w:t>
      </w:r>
      <w:r w:rsidRPr="00763100">
        <w:rPr>
          <w:sz w:val="22"/>
          <w:szCs w:val="24"/>
          <w:rtl/>
        </w:rPr>
        <w:t>, מודגשת בה קדושת הכהונה ומעמדה הייחודי במקדש: "</w:t>
      </w:r>
      <w:r w:rsidR="00915A47" w:rsidRPr="00915A47">
        <w:rPr>
          <w:sz w:val="22"/>
          <w:szCs w:val="24"/>
          <w:rtl/>
        </w:rPr>
        <w:t xml:space="preserve">וְאַתָּה וּבָנֶיךָ אִתְּךָ תִּשְׁמְרוּ אֶת </w:t>
      </w:r>
      <w:proofErr w:type="spellStart"/>
      <w:r w:rsidR="00915A47" w:rsidRPr="00915A47">
        <w:rPr>
          <w:sz w:val="22"/>
          <w:szCs w:val="24"/>
          <w:rtl/>
        </w:rPr>
        <w:t>כְּהֻנַּתְכֶם</w:t>
      </w:r>
      <w:proofErr w:type="spellEnd"/>
      <w:r w:rsidR="00915A47" w:rsidRPr="00915A47">
        <w:rPr>
          <w:sz w:val="22"/>
          <w:szCs w:val="24"/>
          <w:rtl/>
        </w:rPr>
        <w:t xml:space="preserve"> לְכָל דְּבַר הַמִּזְבֵּחַ </w:t>
      </w:r>
      <w:proofErr w:type="spellStart"/>
      <w:r w:rsidR="00915A47" w:rsidRPr="00915A47">
        <w:rPr>
          <w:sz w:val="22"/>
          <w:szCs w:val="24"/>
          <w:rtl/>
        </w:rPr>
        <w:t>וּלְמִבֵּית</w:t>
      </w:r>
      <w:proofErr w:type="spellEnd"/>
      <w:r w:rsidR="00915A47" w:rsidRPr="00915A47">
        <w:rPr>
          <w:sz w:val="22"/>
          <w:szCs w:val="24"/>
          <w:rtl/>
        </w:rPr>
        <w:t xml:space="preserve"> לַפָּרֹכֶת וַעֲבַדְתֶּם עֲבֹדַת מַתָּנָה אֶתֵּן אֶת </w:t>
      </w:r>
      <w:proofErr w:type="spellStart"/>
      <w:r w:rsidR="00915A47" w:rsidRPr="00915A47">
        <w:rPr>
          <w:sz w:val="22"/>
          <w:szCs w:val="24"/>
          <w:rtl/>
        </w:rPr>
        <w:t>כְּהֻנּ</w:t>
      </w:r>
      <w:r w:rsidR="00915A47">
        <w:rPr>
          <w:sz w:val="22"/>
          <w:szCs w:val="24"/>
          <w:rtl/>
        </w:rPr>
        <w:t>ַתְכֶם</w:t>
      </w:r>
      <w:proofErr w:type="spellEnd"/>
      <w:r w:rsidR="00915A47">
        <w:rPr>
          <w:sz w:val="22"/>
          <w:szCs w:val="24"/>
          <w:rtl/>
        </w:rPr>
        <w:t xml:space="preserve"> וְהַזָּר הַקָּרֵב יוּמָת</w:t>
      </w:r>
      <w:r w:rsidRPr="00763100">
        <w:rPr>
          <w:sz w:val="22"/>
          <w:szCs w:val="24"/>
          <w:rtl/>
        </w:rPr>
        <w:t xml:space="preserve">" </w:t>
      </w:r>
      <w:r w:rsidRPr="007F470D">
        <w:rPr>
          <w:sz w:val="18"/>
          <w:szCs w:val="20"/>
          <w:rtl/>
        </w:rPr>
        <w:t>(</w:t>
      </w:r>
      <w:proofErr w:type="spellStart"/>
      <w:r w:rsidRPr="007F470D">
        <w:rPr>
          <w:sz w:val="18"/>
          <w:szCs w:val="20"/>
          <w:rtl/>
        </w:rPr>
        <w:t>יח</w:t>
      </w:r>
      <w:proofErr w:type="spellEnd"/>
      <w:r w:rsidRPr="007F470D">
        <w:rPr>
          <w:sz w:val="18"/>
          <w:szCs w:val="20"/>
          <w:rtl/>
        </w:rPr>
        <w:t>,</w:t>
      </w:r>
      <w:r w:rsidRPr="007F470D">
        <w:rPr>
          <w:rFonts w:hint="cs"/>
          <w:sz w:val="18"/>
          <w:szCs w:val="20"/>
          <w:rtl/>
        </w:rPr>
        <w:t xml:space="preserve"> </w:t>
      </w:r>
      <w:r w:rsidRPr="007F470D">
        <w:rPr>
          <w:sz w:val="18"/>
          <w:szCs w:val="20"/>
          <w:rtl/>
        </w:rPr>
        <w:t>ז)</w:t>
      </w:r>
      <w:r w:rsidRPr="00763100">
        <w:rPr>
          <w:sz w:val="22"/>
          <w:szCs w:val="24"/>
          <w:rtl/>
        </w:rPr>
        <w:t xml:space="preserve">. בכך יש מענה </w:t>
      </w:r>
      <w:proofErr w:type="spellStart"/>
      <w:r w:rsidRPr="00763100">
        <w:rPr>
          <w:sz w:val="22"/>
          <w:szCs w:val="24"/>
          <w:rtl/>
        </w:rPr>
        <w:t>למקטירי</w:t>
      </w:r>
      <w:proofErr w:type="spellEnd"/>
      <w:r w:rsidRPr="00763100">
        <w:rPr>
          <w:sz w:val="22"/>
          <w:szCs w:val="24"/>
          <w:rtl/>
        </w:rPr>
        <w:t xml:space="preserve"> הקטורת והכחשתם את הכהונה. מאידך</w:t>
      </w:r>
      <w:r>
        <w:rPr>
          <w:rFonts w:hint="cs"/>
          <w:sz w:val="22"/>
          <w:szCs w:val="24"/>
          <w:rtl/>
        </w:rPr>
        <w:t xml:space="preserve"> גיסא</w:t>
      </w:r>
      <w:r w:rsidRPr="00763100">
        <w:rPr>
          <w:sz w:val="22"/>
          <w:szCs w:val="24"/>
          <w:rtl/>
        </w:rPr>
        <w:t xml:space="preserve">, מופנה עיקרון המתנות כלפי דתן ואבירם, </w:t>
      </w:r>
      <w:proofErr w:type="spellStart"/>
      <w:r w:rsidRPr="00763100">
        <w:rPr>
          <w:sz w:val="22"/>
          <w:szCs w:val="24"/>
          <w:rtl/>
        </w:rPr>
        <w:t>בקובעו</w:t>
      </w:r>
      <w:proofErr w:type="spellEnd"/>
      <w:r w:rsidRPr="00763100">
        <w:rPr>
          <w:sz w:val="22"/>
          <w:szCs w:val="24"/>
          <w:rtl/>
        </w:rPr>
        <w:t xml:space="preserve"> שעל האדם לכבד את הקב"ה מראשית הונו ומפרי תבואתו, ולא לשקוע בתאוותנות אנוכית והדוניסטית. </w:t>
      </w:r>
    </w:p>
    <w:p w:rsidR="008A55A3" w:rsidRDefault="008A55A3" w:rsidP="008A55A3">
      <w:pPr>
        <w:tabs>
          <w:tab w:val="right" w:pos="4620"/>
        </w:tabs>
        <w:rPr>
          <w:sz w:val="22"/>
          <w:szCs w:val="24"/>
          <w:rtl/>
        </w:rPr>
      </w:pPr>
      <w:r w:rsidRPr="00763100">
        <w:rPr>
          <w:sz w:val="22"/>
          <w:szCs w:val="24"/>
          <w:rtl/>
        </w:rPr>
        <w:t>נוסף על כך, מתנות הכהונה מביעות אף את עיקרון קידוש החומר ועבודת השם דרך פעולות גשמיות, כאכילה, שתייה והקרבה על גבי המזבח. האש השורפת ואכילת בשר הקרבנות אינם סותרים זה את זה, אלא משלימים ז</w:t>
      </w:r>
      <w:r>
        <w:rPr>
          <w:sz w:val="22"/>
          <w:szCs w:val="24"/>
          <w:rtl/>
        </w:rPr>
        <w:t>ה את זה. הקודש והחול הולכים יחד</w:t>
      </w:r>
      <w:r>
        <w:rPr>
          <w:rFonts w:hint="cs"/>
          <w:sz w:val="22"/>
          <w:szCs w:val="24"/>
          <w:rtl/>
        </w:rPr>
        <w:t>י</w:t>
      </w:r>
      <w:r w:rsidRPr="00763100">
        <w:rPr>
          <w:sz w:val="22"/>
          <w:szCs w:val="24"/>
          <w:rtl/>
        </w:rPr>
        <w:t>ו בעבודת השם, ואין להפריד ביניהם.</w:t>
      </w:r>
    </w:p>
    <w:p w:rsidR="008A55A3" w:rsidRPr="003D4B2D" w:rsidRDefault="008A55A3" w:rsidP="008A55A3">
      <w:pPr>
        <w:tabs>
          <w:tab w:val="right" w:pos="4620"/>
        </w:tabs>
        <w:rPr>
          <w:sz w:val="22"/>
          <w:szCs w:val="24"/>
          <w:rtl/>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283"/>
        <w:gridCol w:w="4111"/>
        <w:gridCol w:w="284"/>
      </w:tblGrid>
      <w:tr w:rsidR="001B34F2" w:rsidTr="00E416EB">
        <w:trPr>
          <w:trHeight w:val="63"/>
        </w:trPr>
        <w:tc>
          <w:tcPr>
            <w:tcW w:w="283" w:type="dxa"/>
            <w:tcBorders>
              <w:top w:val="nil"/>
              <w:left w:val="nil"/>
              <w:bottom w:val="nil"/>
              <w:right w:val="nil"/>
            </w:tcBorders>
          </w:tcPr>
          <w:p w:rsidR="001B34F2" w:rsidRDefault="001B34F2" w:rsidP="001B34F2">
            <w:pPr>
              <w:pStyle w:val="af"/>
              <w:rPr>
                <w:noProof w:val="0"/>
              </w:rPr>
            </w:pPr>
            <w:r>
              <w:rPr>
                <w:noProof w:val="0"/>
                <w:rtl/>
              </w:rPr>
              <w:t>*</w:t>
            </w:r>
          </w:p>
        </w:tc>
        <w:tc>
          <w:tcPr>
            <w:tcW w:w="4111" w:type="dxa"/>
            <w:tcBorders>
              <w:top w:val="nil"/>
              <w:left w:val="nil"/>
              <w:bottom w:val="nil"/>
              <w:right w:val="nil"/>
            </w:tcBorders>
          </w:tcPr>
          <w:p w:rsidR="001B34F2" w:rsidRDefault="001B34F2" w:rsidP="001B34F2">
            <w:pPr>
              <w:pStyle w:val="af"/>
              <w:ind w:left="-170" w:right="-170"/>
              <w:rPr>
                <w:noProof w:val="0"/>
              </w:rPr>
            </w:pPr>
            <w:r>
              <w:rPr>
                <w:noProof w:val="0"/>
                <w:rtl/>
              </w:rPr>
              <w:t>***************************************************************</w:t>
            </w:r>
          </w:p>
        </w:tc>
        <w:tc>
          <w:tcPr>
            <w:tcW w:w="284" w:type="dxa"/>
            <w:tcBorders>
              <w:top w:val="nil"/>
              <w:left w:val="nil"/>
              <w:bottom w:val="nil"/>
              <w:right w:val="nil"/>
            </w:tcBorders>
          </w:tcPr>
          <w:p w:rsidR="001B34F2" w:rsidRDefault="001B34F2" w:rsidP="001B34F2">
            <w:pPr>
              <w:pStyle w:val="af"/>
              <w:rPr>
                <w:noProof w:val="0"/>
              </w:rPr>
            </w:pPr>
            <w:r>
              <w:rPr>
                <w:noProof w:val="0"/>
                <w:rtl/>
              </w:rPr>
              <w:t>*</w:t>
            </w:r>
          </w:p>
        </w:tc>
      </w:tr>
      <w:tr w:rsidR="001B34F2" w:rsidTr="00E416EB">
        <w:tc>
          <w:tcPr>
            <w:tcW w:w="283" w:type="dxa"/>
            <w:tcBorders>
              <w:top w:val="nil"/>
              <w:left w:val="nil"/>
              <w:bottom w:val="nil"/>
              <w:right w:val="nil"/>
            </w:tcBorders>
          </w:tcPr>
          <w:p w:rsidR="001B34F2" w:rsidRDefault="001B34F2" w:rsidP="001B34F2">
            <w:pPr>
              <w:pStyle w:val="af"/>
              <w:rPr>
                <w:noProof w:val="0"/>
              </w:rPr>
            </w:pPr>
            <w:r>
              <w:rPr>
                <w:noProof w:val="0"/>
                <w:rtl/>
              </w:rPr>
              <w:t>* * * * * * * * * *</w:t>
            </w:r>
          </w:p>
        </w:tc>
        <w:tc>
          <w:tcPr>
            <w:tcW w:w="4111" w:type="dxa"/>
            <w:tcBorders>
              <w:top w:val="nil"/>
              <w:left w:val="nil"/>
              <w:bottom w:val="nil"/>
              <w:right w:val="nil"/>
            </w:tcBorders>
          </w:tcPr>
          <w:p w:rsidR="001B34F2" w:rsidRDefault="001B34F2" w:rsidP="001B34F2">
            <w:pPr>
              <w:pStyle w:val="af"/>
              <w:rPr>
                <w:noProof w:val="0"/>
                <w:rtl/>
              </w:rPr>
            </w:pPr>
            <w:r>
              <w:rPr>
                <w:noProof w:val="0"/>
                <w:rtl/>
              </w:rPr>
              <w:t>כל הזכויות שמורות לישיבת הר עציון</w:t>
            </w:r>
            <w:r>
              <w:rPr>
                <w:rFonts w:hint="cs"/>
                <w:noProof w:val="0"/>
                <w:rtl/>
              </w:rPr>
              <w:t xml:space="preserve"> ולרב </w:t>
            </w:r>
            <w:r>
              <w:rPr>
                <w:rFonts w:hint="cs"/>
                <w:noProof w:val="0"/>
                <w:rtl/>
              </w:rPr>
              <w:t>משה ליכטנשטיין</w:t>
            </w:r>
          </w:p>
          <w:p w:rsidR="001B34F2" w:rsidRPr="00C5614D" w:rsidRDefault="001B34F2" w:rsidP="001B34F2">
            <w:pPr>
              <w:pStyle w:val="af"/>
              <w:rPr>
                <w:rFonts w:ascii="Times New Roman" w:hAnsi="Times New Roman" w:cs="Times New Roman"/>
                <w:noProof w:val="0"/>
                <w:rtl/>
              </w:rPr>
            </w:pPr>
            <w:r>
              <w:rPr>
                <w:rFonts w:hint="cs"/>
                <w:noProof w:val="0"/>
                <w:rtl/>
              </w:rPr>
              <w:t>עורך</w:t>
            </w:r>
            <w:bookmarkStart w:id="2" w:name="_GoBack"/>
            <w:bookmarkEnd w:id="2"/>
            <w:r>
              <w:rPr>
                <w:rFonts w:hint="cs"/>
                <w:noProof w:val="0"/>
                <w:rtl/>
              </w:rPr>
              <w:t>: אלישע אורון, תשע"ז</w:t>
            </w:r>
          </w:p>
          <w:p w:rsidR="001B34F2" w:rsidRDefault="001B34F2" w:rsidP="001B34F2">
            <w:pPr>
              <w:pStyle w:val="af"/>
              <w:rPr>
                <w:noProof w:val="0"/>
                <w:rtl/>
              </w:rPr>
            </w:pPr>
            <w:r>
              <w:rPr>
                <w:noProof w:val="0"/>
                <w:rtl/>
              </w:rPr>
              <w:t>*******************************************************</w:t>
            </w:r>
          </w:p>
          <w:p w:rsidR="001B34F2" w:rsidRDefault="001B34F2" w:rsidP="001B34F2">
            <w:pPr>
              <w:pStyle w:val="af"/>
              <w:rPr>
                <w:noProof w:val="0"/>
                <w:rtl/>
              </w:rPr>
            </w:pPr>
          </w:p>
          <w:p w:rsidR="001B34F2" w:rsidRDefault="001B34F2" w:rsidP="001B34F2">
            <w:pPr>
              <w:pStyle w:val="af"/>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1B34F2" w:rsidRDefault="001B34F2" w:rsidP="001B34F2">
            <w:pPr>
              <w:pStyle w:val="af"/>
              <w:rPr>
                <w:noProof w:val="0"/>
                <w:rtl/>
              </w:rPr>
            </w:pPr>
            <w:r>
              <w:rPr>
                <w:noProof w:val="0"/>
                <w:rtl/>
              </w:rPr>
              <w:t>האתר בעברית:</w:t>
            </w:r>
            <w:r>
              <w:rPr>
                <w:noProof w:val="0"/>
                <w:rtl/>
              </w:rPr>
              <w:tab/>
            </w:r>
            <w:hyperlink r:id="rId7" w:history="1">
              <w:r>
                <w:rPr>
                  <w:rStyle w:val="Hyperlink"/>
                  <w:rFonts w:eastAsiaTheme="majorEastAsia"/>
                </w:rPr>
                <w:t>http://www.etzion.org.il/vbm</w:t>
              </w:r>
            </w:hyperlink>
          </w:p>
          <w:p w:rsidR="001B34F2" w:rsidRDefault="001B34F2" w:rsidP="001B34F2">
            <w:pPr>
              <w:pStyle w:val="af"/>
              <w:rPr>
                <w:noProof w:val="0"/>
                <w:rtl/>
              </w:rPr>
            </w:pPr>
            <w:r>
              <w:rPr>
                <w:noProof w:val="0"/>
                <w:rtl/>
              </w:rPr>
              <w:t>האתר באנגלית:</w:t>
            </w:r>
            <w:r>
              <w:rPr>
                <w:noProof w:val="0"/>
                <w:rtl/>
              </w:rPr>
              <w:tab/>
            </w:r>
            <w:hyperlink r:id="rId8" w:history="1">
              <w:r>
                <w:rPr>
                  <w:rStyle w:val="Hyperlink"/>
                  <w:rFonts w:eastAsiaTheme="majorEastAsia"/>
                </w:rPr>
                <w:t>http://www.vbm-torah.org</w:t>
              </w:r>
            </w:hyperlink>
          </w:p>
          <w:p w:rsidR="001B34F2" w:rsidRDefault="001B34F2" w:rsidP="001B34F2">
            <w:pPr>
              <w:pStyle w:val="af"/>
              <w:rPr>
                <w:noProof w:val="0"/>
                <w:rtl/>
              </w:rPr>
            </w:pPr>
          </w:p>
          <w:p w:rsidR="001B34F2" w:rsidRDefault="001B34F2" w:rsidP="001B34F2">
            <w:pPr>
              <w:pStyle w:val="af"/>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1B34F2" w:rsidRDefault="001B34F2" w:rsidP="001B34F2">
            <w:pPr>
              <w:pStyle w:val="af"/>
              <w:rPr>
                <w:noProof w:val="0"/>
              </w:rPr>
            </w:pPr>
            <w:r>
              <w:rPr>
                <w:noProof w:val="0"/>
                <w:rtl/>
              </w:rPr>
              <w:t xml:space="preserve">דואל: </w:t>
            </w:r>
            <w:hyperlink r:id="rId9" w:history="1">
              <w:r>
                <w:rPr>
                  <w:rStyle w:val="Hyperlink"/>
                  <w:rFonts w:eastAsiaTheme="majorEastAsia"/>
                </w:rPr>
                <w:t>office@etzion.org.il</w:t>
              </w:r>
            </w:hyperlink>
          </w:p>
        </w:tc>
        <w:tc>
          <w:tcPr>
            <w:tcW w:w="284" w:type="dxa"/>
            <w:tcBorders>
              <w:top w:val="nil"/>
              <w:left w:val="nil"/>
              <w:bottom w:val="nil"/>
              <w:right w:val="nil"/>
            </w:tcBorders>
          </w:tcPr>
          <w:p w:rsidR="001B34F2" w:rsidRDefault="001B34F2" w:rsidP="001B34F2">
            <w:pPr>
              <w:pStyle w:val="af"/>
              <w:rPr>
                <w:noProof w:val="0"/>
              </w:rPr>
            </w:pPr>
            <w:r>
              <w:rPr>
                <w:noProof w:val="0"/>
                <w:rtl/>
              </w:rPr>
              <w:t xml:space="preserve">* * * * * * * * * * </w:t>
            </w:r>
          </w:p>
        </w:tc>
      </w:tr>
      <w:tr w:rsidR="001B34F2" w:rsidTr="00E416EB">
        <w:tc>
          <w:tcPr>
            <w:tcW w:w="283" w:type="dxa"/>
            <w:tcBorders>
              <w:top w:val="nil"/>
              <w:left w:val="nil"/>
              <w:bottom w:val="nil"/>
              <w:right w:val="nil"/>
            </w:tcBorders>
          </w:tcPr>
          <w:p w:rsidR="001B34F2" w:rsidRDefault="001B34F2" w:rsidP="001B34F2">
            <w:pPr>
              <w:pStyle w:val="af"/>
              <w:rPr>
                <w:noProof w:val="0"/>
              </w:rPr>
            </w:pPr>
            <w:r>
              <w:rPr>
                <w:noProof w:val="0"/>
                <w:rtl/>
              </w:rPr>
              <w:t>*</w:t>
            </w:r>
          </w:p>
        </w:tc>
        <w:tc>
          <w:tcPr>
            <w:tcW w:w="4111" w:type="dxa"/>
            <w:tcBorders>
              <w:top w:val="nil"/>
              <w:left w:val="nil"/>
              <w:bottom w:val="nil"/>
              <w:right w:val="nil"/>
            </w:tcBorders>
          </w:tcPr>
          <w:p w:rsidR="001B34F2" w:rsidRDefault="001B34F2" w:rsidP="001B34F2">
            <w:pPr>
              <w:pStyle w:val="af"/>
              <w:ind w:left="-227" w:right="-227"/>
              <w:rPr>
                <w:noProof w:val="0"/>
              </w:rPr>
            </w:pPr>
            <w:r>
              <w:rPr>
                <w:noProof w:val="0"/>
                <w:rtl/>
              </w:rPr>
              <w:t>***************************************************************</w:t>
            </w:r>
          </w:p>
        </w:tc>
        <w:tc>
          <w:tcPr>
            <w:tcW w:w="284" w:type="dxa"/>
            <w:tcBorders>
              <w:top w:val="nil"/>
              <w:left w:val="nil"/>
              <w:bottom w:val="nil"/>
              <w:right w:val="nil"/>
            </w:tcBorders>
          </w:tcPr>
          <w:p w:rsidR="001B34F2" w:rsidRDefault="001B34F2" w:rsidP="001B34F2">
            <w:pPr>
              <w:pStyle w:val="af"/>
              <w:rPr>
                <w:noProof w:val="0"/>
                <w:rtl/>
              </w:rPr>
            </w:pPr>
            <w:r>
              <w:rPr>
                <w:noProof w:val="0"/>
                <w:rtl/>
              </w:rPr>
              <w:t>*</w:t>
            </w:r>
          </w:p>
        </w:tc>
      </w:tr>
    </w:tbl>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8A55A3" w:rsidTr="00E416EB">
        <w:trPr>
          <w:cantSplit/>
        </w:trPr>
        <w:tc>
          <w:tcPr>
            <w:tcW w:w="283" w:type="dxa"/>
            <w:tcBorders>
              <w:top w:val="nil"/>
              <w:left w:val="nil"/>
              <w:bottom w:val="nil"/>
              <w:right w:val="nil"/>
            </w:tcBorders>
          </w:tcPr>
          <w:p w:rsidR="008A55A3" w:rsidRDefault="008A55A3" w:rsidP="00E416EB">
            <w:pPr>
              <w:pStyle w:val="af"/>
              <w:tabs>
                <w:tab w:val="right" w:pos="4620"/>
              </w:tabs>
              <w:rPr>
                <w:noProof w:val="0"/>
              </w:rPr>
            </w:pPr>
          </w:p>
        </w:tc>
        <w:tc>
          <w:tcPr>
            <w:tcW w:w="4111" w:type="dxa"/>
            <w:tcBorders>
              <w:top w:val="nil"/>
              <w:left w:val="nil"/>
              <w:bottom w:val="nil"/>
              <w:right w:val="nil"/>
            </w:tcBorders>
          </w:tcPr>
          <w:p w:rsidR="008A55A3" w:rsidRDefault="008A55A3" w:rsidP="00E416EB">
            <w:pPr>
              <w:pStyle w:val="af"/>
              <w:tabs>
                <w:tab w:val="right" w:pos="4620"/>
              </w:tabs>
              <w:rPr>
                <w:noProof w:val="0"/>
              </w:rPr>
            </w:pPr>
          </w:p>
        </w:tc>
        <w:tc>
          <w:tcPr>
            <w:tcW w:w="284" w:type="dxa"/>
            <w:tcBorders>
              <w:top w:val="nil"/>
              <w:left w:val="nil"/>
              <w:bottom w:val="nil"/>
              <w:right w:val="nil"/>
            </w:tcBorders>
          </w:tcPr>
          <w:p w:rsidR="008A55A3" w:rsidRDefault="008A55A3" w:rsidP="00E416EB">
            <w:pPr>
              <w:pStyle w:val="af"/>
              <w:tabs>
                <w:tab w:val="right" w:pos="4620"/>
              </w:tabs>
              <w:rPr>
                <w:noProof w:val="0"/>
                <w:rtl/>
              </w:rPr>
            </w:pPr>
          </w:p>
        </w:tc>
      </w:tr>
      <w:tr w:rsidR="008A55A3" w:rsidTr="00E416EB">
        <w:trPr>
          <w:cantSplit/>
        </w:trPr>
        <w:tc>
          <w:tcPr>
            <w:tcW w:w="283" w:type="dxa"/>
            <w:tcBorders>
              <w:top w:val="nil"/>
              <w:left w:val="nil"/>
              <w:bottom w:val="nil"/>
              <w:right w:val="nil"/>
            </w:tcBorders>
          </w:tcPr>
          <w:p w:rsidR="008A55A3" w:rsidRDefault="008A55A3" w:rsidP="00E416EB">
            <w:pPr>
              <w:pStyle w:val="af"/>
              <w:tabs>
                <w:tab w:val="right" w:pos="4620"/>
              </w:tabs>
              <w:rPr>
                <w:noProof w:val="0"/>
              </w:rPr>
            </w:pPr>
          </w:p>
        </w:tc>
        <w:tc>
          <w:tcPr>
            <w:tcW w:w="4111" w:type="dxa"/>
            <w:tcBorders>
              <w:top w:val="nil"/>
              <w:left w:val="nil"/>
              <w:bottom w:val="nil"/>
              <w:right w:val="nil"/>
            </w:tcBorders>
          </w:tcPr>
          <w:p w:rsidR="008A55A3" w:rsidRDefault="008A55A3" w:rsidP="00E416EB">
            <w:pPr>
              <w:pStyle w:val="af"/>
              <w:tabs>
                <w:tab w:val="right" w:pos="4620"/>
              </w:tabs>
              <w:rPr>
                <w:noProof w:val="0"/>
              </w:rPr>
            </w:pPr>
          </w:p>
        </w:tc>
        <w:tc>
          <w:tcPr>
            <w:tcW w:w="284" w:type="dxa"/>
            <w:tcBorders>
              <w:top w:val="nil"/>
              <w:left w:val="nil"/>
              <w:bottom w:val="nil"/>
              <w:right w:val="nil"/>
            </w:tcBorders>
          </w:tcPr>
          <w:p w:rsidR="008A55A3" w:rsidRDefault="008A55A3" w:rsidP="00E416EB">
            <w:pPr>
              <w:pStyle w:val="af"/>
              <w:tabs>
                <w:tab w:val="right" w:pos="4620"/>
              </w:tabs>
              <w:rPr>
                <w:noProof w:val="0"/>
              </w:rPr>
            </w:pPr>
          </w:p>
        </w:tc>
      </w:tr>
      <w:bookmarkEnd w:id="0"/>
    </w:tbl>
    <w:p w:rsidR="008A55A3" w:rsidRDefault="008A55A3" w:rsidP="008A55A3">
      <w:pPr>
        <w:tabs>
          <w:tab w:val="right" w:pos="4620"/>
        </w:tabs>
        <w:rPr>
          <w:sz w:val="21"/>
          <w:rtl/>
        </w:rPr>
      </w:pPr>
    </w:p>
    <w:p w:rsidR="00CC65E6" w:rsidRPr="008A55A3" w:rsidRDefault="00CC65E6" w:rsidP="008A55A3">
      <w:pPr>
        <w:rPr>
          <w:szCs w:val="20"/>
          <w:rtl/>
        </w:rPr>
      </w:pPr>
    </w:p>
    <w:sectPr w:rsidR="00CC65E6" w:rsidRPr="008A55A3" w:rsidSect="005F7985">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F5" w:rsidRDefault="006A61F5" w:rsidP="005F7985">
      <w:pPr>
        <w:spacing w:after="0" w:line="240" w:lineRule="auto"/>
      </w:pPr>
      <w:r>
        <w:separator/>
      </w:r>
    </w:p>
  </w:endnote>
  <w:endnote w:type="continuationSeparator" w:id="0">
    <w:p w:rsidR="006A61F5" w:rsidRDefault="006A61F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F5" w:rsidRDefault="006A61F5" w:rsidP="005F7985">
      <w:pPr>
        <w:spacing w:after="0" w:line="240" w:lineRule="auto"/>
      </w:pPr>
      <w:r>
        <w:separator/>
      </w:r>
    </w:p>
  </w:footnote>
  <w:footnote w:type="continuationSeparator" w:id="0">
    <w:p w:rsidR="006A61F5" w:rsidRDefault="006A61F5" w:rsidP="005F7985">
      <w:pPr>
        <w:spacing w:after="0" w:line="240" w:lineRule="auto"/>
      </w:pPr>
      <w:r>
        <w:continuationSeparator/>
      </w:r>
    </w:p>
  </w:footnote>
  <w:footnote w:id="1">
    <w:p w:rsidR="008A55A3" w:rsidRPr="009A0FB2" w:rsidRDefault="008A55A3" w:rsidP="00817001">
      <w:pPr>
        <w:pStyle w:val="a9"/>
        <w:rPr>
          <w:rtl/>
        </w:rPr>
      </w:pPr>
      <w:r>
        <w:rPr>
          <w:rStyle w:val="ab"/>
          <w:rFonts w:eastAsiaTheme="majorEastAsia"/>
          <w:rtl/>
        </w:rPr>
        <w:t>*</w:t>
      </w:r>
      <w:r w:rsidRPr="001C4E63">
        <w:rPr>
          <w:rFonts w:hint="cs"/>
          <w:rtl/>
        </w:rPr>
        <w:t xml:space="preserve"> </w:t>
      </w:r>
      <w:bookmarkStart w:id="1" w:name="_ftn1"/>
      <w:bookmarkEnd w:id="1"/>
      <w:r>
        <w:rPr>
          <w:rFonts w:hint="cs"/>
          <w:rtl/>
        </w:rPr>
        <w:tab/>
      </w:r>
      <w:r w:rsidRPr="00763100">
        <w:rPr>
          <w:rtl/>
        </w:rPr>
        <w:t xml:space="preserve">הרעיונות המובאים בשיחה נידונים בצורה רחבה ושיטתית יותר בספרו של הרב משה ליכטנשטיין: 'ציר וצאן – מנהיגות ומשבר מסבלות מצרים ועד ערבות מואב', בהוצאת ישיבת הר </w:t>
      </w:r>
      <w:r>
        <w:rPr>
          <w:rtl/>
        </w:rPr>
        <w:t>עציון, אלון שבות תשס"ב</w:t>
      </w:r>
      <w:r w:rsidRPr="00AA148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23" w:rsidRDefault="00863023">
    <w:pPr>
      <w:pStyle w:val="ac"/>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B34F2">
      <w:rPr>
        <w:b/>
        <w:bCs/>
        <w:noProof/>
        <w:sz w:val="21"/>
        <w:rtl/>
      </w:rPr>
      <w:t>2</w:t>
    </w:r>
    <w:r>
      <w:rPr>
        <w:b/>
        <w:bCs/>
        <w:sz w:val="21"/>
        <w:rtl/>
      </w:rPr>
      <w:fldChar w:fldCharType="end"/>
    </w:r>
    <w:r>
      <w:rPr>
        <w:b/>
        <w:bCs/>
        <w:sz w:val="21"/>
        <w:rtl/>
      </w:rPr>
      <w:t xml:space="preserve"> -</w:t>
    </w:r>
  </w:p>
  <w:p w:rsidR="00863023" w:rsidRDefault="008630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63023">
      <w:tc>
        <w:tcPr>
          <w:tcW w:w="4927" w:type="dxa"/>
          <w:tcBorders>
            <w:top w:val="nil"/>
            <w:left w:val="nil"/>
            <w:bottom w:val="double" w:sz="4" w:space="0" w:color="auto"/>
            <w:right w:val="nil"/>
          </w:tcBorders>
        </w:tcPr>
        <w:p w:rsidR="00863023" w:rsidRDefault="00863023">
          <w:pPr>
            <w:pStyle w:val="ac"/>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863023" w:rsidRDefault="00863023">
          <w:pPr>
            <w:pStyle w:val="ac"/>
            <w:tabs>
              <w:tab w:val="clear" w:pos="4153"/>
              <w:tab w:val="clear" w:pos="8306"/>
              <w:tab w:val="center" w:pos="4818"/>
              <w:tab w:val="right" w:pos="8220"/>
            </w:tabs>
            <w:spacing w:after="0"/>
            <w:rPr>
              <w:sz w:val="21"/>
              <w:rtl/>
            </w:rPr>
          </w:pPr>
          <w:r>
            <w:rPr>
              <w:sz w:val="21"/>
              <w:rtl/>
            </w:rPr>
            <w:t>שליד ישיבת הר עציון</w:t>
          </w:r>
        </w:p>
        <w:p w:rsidR="00863023" w:rsidRDefault="00863023">
          <w:pPr>
            <w:pStyle w:val="ac"/>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863023" w:rsidRDefault="00863023">
          <w:pPr>
            <w:pStyle w:val="ac"/>
            <w:tabs>
              <w:tab w:val="clear" w:pos="4153"/>
              <w:tab w:val="clear" w:pos="8306"/>
              <w:tab w:val="right" w:pos="8220"/>
            </w:tabs>
            <w:bidi w:val="0"/>
            <w:spacing w:after="0" w:line="240" w:lineRule="auto"/>
            <w:jc w:val="left"/>
            <w:rPr>
              <w:sz w:val="28"/>
            </w:rPr>
          </w:pPr>
          <w:r>
            <w:rPr>
              <w:b/>
              <w:bCs/>
              <w:sz w:val="28"/>
            </w:rPr>
            <w:t>www.etzion.org.il/vbm</w:t>
          </w:r>
        </w:p>
      </w:tc>
    </w:tr>
  </w:tbl>
  <w:p w:rsidR="00863023" w:rsidRDefault="00863023">
    <w:pPr>
      <w:pStyle w:val="ac"/>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5589C"/>
    <w:rsid w:val="00067E9B"/>
    <w:rsid w:val="000827D2"/>
    <w:rsid w:val="000A18FC"/>
    <w:rsid w:val="000C5549"/>
    <w:rsid w:val="000D00CA"/>
    <w:rsid w:val="000E5AFD"/>
    <w:rsid w:val="001032CB"/>
    <w:rsid w:val="00111633"/>
    <w:rsid w:val="00117B74"/>
    <w:rsid w:val="00124BE4"/>
    <w:rsid w:val="00134C7B"/>
    <w:rsid w:val="00143837"/>
    <w:rsid w:val="001502DB"/>
    <w:rsid w:val="001513E2"/>
    <w:rsid w:val="00197D62"/>
    <w:rsid w:val="001A2419"/>
    <w:rsid w:val="001B34F2"/>
    <w:rsid w:val="001C0398"/>
    <w:rsid w:val="001C08DD"/>
    <w:rsid w:val="001F137C"/>
    <w:rsid w:val="002200F1"/>
    <w:rsid w:val="00231486"/>
    <w:rsid w:val="00234036"/>
    <w:rsid w:val="0026536C"/>
    <w:rsid w:val="00272817"/>
    <w:rsid w:val="002756E2"/>
    <w:rsid w:val="00277060"/>
    <w:rsid w:val="0028771E"/>
    <w:rsid w:val="00295F20"/>
    <w:rsid w:val="002A394A"/>
    <w:rsid w:val="002B2816"/>
    <w:rsid w:val="002D3217"/>
    <w:rsid w:val="00315192"/>
    <w:rsid w:val="003252EC"/>
    <w:rsid w:val="00326C74"/>
    <w:rsid w:val="0033127E"/>
    <w:rsid w:val="0034435B"/>
    <w:rsid w:val="00345D27"/>
    <w:rsid w:val="00360962"/>
    <w:rsid w:val="00380328"/>
    <w:rsid w:val="00397065"/>
    <w:rsid w:val="0039707A"/>
    <w:rsid w:val="003D7721"/>
    <w:rsid w:val="003E768B"/>
    <w:rsid w:val="003F7890"/>
    <w:rsid w:val="00402C36"/>
    <w:rsid w:val="00416F2A"/>
    <w:rsid w:val="00420F26"/>
    <w:rsid w:val="00425BEB"/>
    <w:rsid w:val="004360C9"/>
    <w:rsid w:val="00455395"/>
    <w:rsid w:val="004829C8"/>
    <w:rsid w:val="00496F17"/>
    <w:rsid w:val="004D0239"/>
    <w:rsid w:val="00513513"/>
    <w:rsid w:val="005149C3"/>
    <w:rsid w:val="00516E6C"/>
    <w:rsid w:val="00520FA0"/>
    <w:rsid w:val="00543BFF"/>
    <w:rsid w:val="00544704"/>
    <w:rsid w:val="005647CD"/>
    <w:rsid w:val="005921AE"/>
    <w:rsid w:val="005A0244"/>
    <w:rsid w:val="005B76C2"/>
    <w:rsid w:val="005C6C88"/>
    <w:rsid w:val="005E44BA"/>
    <w:rsid w:val="005E51B5"/>
    <w:rsid w:val="005F7985"/>
    <w:rsid w:val="006064E4"/>
    <w:rsid w:val="0061649C"/>
    <w:rsid w:val="00617E24"/>
    <w:rsid w:val="006400C8"/>
    <w:rsid w:val="00683AD6"/>
    <w:rsid w:val="0069000C"/>
    <w:rsid w:val="006915B3"/>
    <w:rsid w:val="006A61F5"/>
    <w:rsid w:val="006B1EF3"/>
    <w:rsid w:val="006B332C"/>
    <w:rsid w:val="006C3DFD"/>
    <w:rsid w:val="006E5896"/>
    <w:rsid w:val="006F7C19"/>
    <w:rsid w:val="0070000E"/>
    <w:rsid w:val="00707A86"/>
    <w:rsid w:val="007176D1"/>
    <w:rsid w:val="00754DAE"/>
    <w:rsid w:val="0077090A"/>
    <w:rsid w:val="00773F69"/>
    <w:rsid w:val="00777CEF"/>
    <w:rsid w:val="007873C0"/>
    <w:rsid w:val="007A6AB1"/>
    <w:rsid w:val="007B0711"/>
    <w:rsid w:val="007B5488"/>
    <w:rsid w:val="007C46EE"/>
    <w:rsid w:val="007C5FA6"/>
    <w:rsid w:val="007E507C"/>
    <w:rsid w:val="007E7500"/>
    <w:rsid w:val="007F601C"/>
    <w:rsid w:val="00817001"/>
    <w:rsid w:val="0082343E"/>
    <w:rsid w:val="00835345"/>
    <w:rsid w:val="00842EC2"/>
    <w:rsid w:val="0086008D"/>
    <w:rsid w:val="00863023"/>
    <w:rsid w:val="00865437"/>
    <w:rsid w:val="00870EB7"/>
    <w:rsid w:val="00871EF5"/>
    <w:rsid w:val="00875FBB"/>
    <w:rsid w:val="0087729D"/>
    <w:rsid w:val="0088360E"/>
    <w:rsid w:val="0089293E"/>
    <w:rsid w:val="008A55A3"/>
    <w:rsid w:val="008B3A6B"/>
    <w:rsid w:val="008C4A8E"/>
    <w:rsid w:val="008C5B82"/>
    <w:rsid w:val="008D309C"/>
    <w:rsid w:val="009002A5"/>
    <w:rsid w:val="009120C5"/>
    <w:rsid w:val="00915A47"/>
    <w:rsid w:val="009215D9"/>
    <w:rsid w:val="0093798A"/>
    <w:rsid w:val="00953752"/>
    <w:rsid w:val="009724A7"/>
    <w:rsid w:val="0098126F"/>
    <w:rsid w:val="009A0C81"/>
    <w:rsid w:val="009B70F2"/>
    <w:rsid w:val="009C6505"/>
    <w:rsid w:val="009C6C3A"/>
    <w:rsid w:val="009F1F91"/>
    <w:rsid w:val="009F301F"/>
    <w:rsid w:val="009F32DA"/>
    <w:rsid w:val="00A14F22"/>
    <w:rsid w:val="00A17CC0"/>
    <w:rsid w:val="00A32B71"/>
    <w:rsid w:val="00A33D96"/>
    <w:rsid w:val="00A67BCC"/>
    <w:rsid w:val="00A70FEB"/>
    <w:rsid w:val="00AB2B0A"/>
    <w:rsid w:val="00AC4207"/>
    <w:rsid w:val="00AE1BD0"/>
    <w:rsid w:val="00AE4900"/>
    <w:rsid w:val="00AF6813"/>
    <w:rsid w:val="00B103A1"/>
    <w:rsid w:val="00B10400"/>
    <w:rsid w:val="00B2236F"/>
    <w:rsid w:val="00B243F4"/>
    <w:rsid w:val="00B61029"/>
    <w:rsid w:val="00B65D5E"/>
    <w:rsid w:val="00B7243D"/>
    <w:rsid w:val="00B7507A"/>
    <w:rsid w:val="00B86A06"/>
    <w:rsid w:val="00BA1BBC"/>
    <w:rsid w:val="00BA1CD1"/>
    <w:rsid w:val="00BB5D48"/>
    <w:rsid w:val="00BC7C5F"/>
    <w:rsid w:val="00BD32A3"/>
    <w:rsid w:val="00BD38AD"/>
    <w:rsid w:val="00BE1240"/>
    <w:rsid w:val="00BF0022"/>
    <w:rsid w:val="00C027E6"/>
    <w:rsid w:val="00C25383"/>
    <w:rsid w:val="00C416DD"/>
    <w:rsid w:val="00C77827"/>
    <w:rsid w:val="00C876C7"/>
    <w:rsid w:val="00CA3B41"/>
    <w:rsid w:val="00CB11E4"/>
    <w:rsid w:val="00CB73CC"/>
    <w:rsid w:val="00CC65E6"/>
    <w:rsid w:val="00CC778C"/>
    <w:rsid w:val="00CF363C"/>
    <w:rsid w:val="00D01D8C"/>
    <w:rsid w:val="00D03BFC"/>
    <w:rsid w:val="00D606D4"/>
    <w:rsid w:val="00D70DEE"/>
    <w:rsid w:val="00D73C9D"/>
    <w:rsid w:val="00DB0EBF"/>
    <w:rsid w:val="00DB4158"/>
    <w:rsid w:val="00DC24EA"/>
    <w:rsid w:val="00E43529"/>
    <w:rsid w:val="00E526E4"/>
    <w:rsid w:val="00E66D5D"/>
    <w:rsid w:val="00E82DA9"/>
    <w:rsid w:val="00E843C6"/>
    <w:rsid w:val="00EA205A"/>
    <w:rsid w:val="00EA261D"/>
    <w:rsid w:val="00EA3490"/>
    <w:rsid w:val="00EB5473"/>
    <w:rsid w:val="00EC1C5B"/>
    <w:rsid w:val="00EC4407"/>
    <w:rsid w:val="00ED4AE0"/>
    <w:rsid w:val="00F07C46"/>
    <w:rsid w:val="00F178AB"/>
    <w:rsid w:val="00F325DB"/>
    <w:rsid w:val="00F76507"/>
    <w:rsid w:val="00F868DF"/>
    <w:rsid w:val="00F870EE"/>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7742-C233-404A-BEA1-BDB1E183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6"/>
    <w:pPr>
      <w:autoSpaceDE w:val="0"/>
      <w:autoSpaceDN w:val="0"/>
      <w:bidi/>
      <w:spacing w:after="120" w:line="280" w:lineRule="exact"/>
      <w:jc w:val="both"/>
    </w:pPr>
    <w:rPr>
      <w:rFonts w:ascii="Times New Roman" w:hAnsi="Times New Roman" w:cs="Narkisim"/>
      <w:sz w:val="20"/>
    </w:rPr>
  </w:style>
  <w:style w:type="paragraph" w:styleId="1">
    <w:name w:val="heading 1"/>
    <w:basedOn w:val="a"/>
    <w:next w:val="a"/>
    <w:link w:val="10"/>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397065"/>
    <w:pPr>
      <w:keepNext/>
      <w:keepLines/>
      <w:autoSpaceDE/>
      <w:autoSpaceDN/>
      <w:spacing w:before="200" w:after="160" w:line="360" w:lineRule="auto"/>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326C74"/>
    <w:pPr>
      <w:spacing w:before="120" w:line="360" w:lineRule="auto"/>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autoRedefine/>
    <w:uiPriority w:val="34"/>
    <w:qFormat/>
    <w:rsid w:val="003252EC"/>
    <w:pPr>
      <w:autoSpaceDE/>
      <w:autoSpaceDN/>
      <w:spacing w:line="360" w:lineRule="auto"/>
      <w:ind w:left="794"/>
    </w:pPr>
    <w:rPr>
      <w:rFonts w:asciiTheme="minorHAnsi" w:hAnsiTheme="minorHAnsi"/>
      <w:sz w:val="22"/>
      <w:szCs w:val="24"/>
    </w:rPr>
  </w:style>
  <w:style w:type="paragraph" w:styleId="a5">
    <w:name w:val="Quote"/>
    <w:basedOn w:val="a"/>
    <w:link w:val="a6"/>
    <w:autoRedefine/>
    <w:qFormat/>
    <w:rsid w:val="0082343E"/>
    <w:pPr>
      <w:tabs>
        <w:tab w:val="right" w:pos="4620"/>
      </w:tabs>
      <w:spacing w:before="120" w:line="300" w:lineRule="auto"/>
      <w:ind w:left="567"/>
    </w:pPr>
    <w:rPr>
      <w:rFonts w:asciiTheme="minorHAnsi" w:hAnsiTheme="minorHAnsi"/>
      <w:sz w:val="22"/>
    </w:rPr>
  </w:style>
  <w:style w:type="character" w:customStyle="1" w:styleId="a6">
    <w:name w:val="ציטוט תו"/>
    <w:link w:val="a5"/>
    <w:rsid w:val="0082343E"/>
    <w:rPr>
      <w:rFonts w:cs="Narkisim"/>
    </w:rPr>
  </w:style>
  <w:style w:type="paragraph" w:styleId="a7">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397065"/>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326C74"/>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9">
    <w:name w:val="footnote text"/>
    <w:aliases w:val="הערת שוליים,הערה"/>
    <w:basedOn w:val="a"/>
    <w:link w:val="aa"/>
    <w:uiPriority w:val="99"/>
    <w:qFormat/>
    <w:rsid w:val="005F7985"/>
    <w:pPr>
      <w:spacing w:line="220" w:lineRule="exact"/>
      <w:ind w:left="284" w:hanging="284"/>
    </w:pPr>
    <w:rPr>
      <w:position w:val="6"/>
      <w:szCs w:val="18"/>
    </w:rPr>
  </w:style>
  <w:style w:type="character" w:customStyle="1" w:styleId="aa">
    <w:name w:val="טקסט הערת שוליים תו"/>
    <w:aliases w:val="הערת שוליים תו,הערה תו"/>
    <w:basedOn w:val="a0"/>
    <w:link w:val="a9"/>
    <w:uiPriority w:val="99"/>
    <w:rsid w:val="005F7985"/>
    <w:rPr>
      <w:rFonts w:ascii="Times New Roman" w:hAnsi="Times New Roman" w:cs="Narkisim"/>
      <w:position w:val="6"/>
      <w:sz w:val="20"/>
      <w:szCs w:val="18"/>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spacing w:line="360" w:lineRule="auto"/>
    </w:pPr>
    <w:rPr>
      <w:szCs w:val="24"/>
    </w:r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1">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2">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2"/>
    <w:uiPriority w:val="99"/>
    <w:rsid w:val="00FA5581"/>
    <w:pPr>
      <w:spacing w:after="60"/>
    </w:pPr>
    <w:rPr>
      <w:sz w:val="26"/>
      <w:szCs w:val="28"/>
    </w:rPr>
  </w:style>
  <w:style w:type="paragraph" w:customStyle="1" w:styleId="af3">
    <w:name w:val="גוש"/>
    <w:basedOn w:val="a3"/>
    <w:link w:val="af4"/>
    <w:autoRedefine/>
    <w:qFormat/>
    <w:rsid w:val="00124BE4"/>
    <w:pPr>
      <w:jc w:val="right"/>
    </w:pPr>
    <w:rPr>
      <w:szCs w:val="20"/>
    </w:rPr>
  </w:style>
  <w:style w:type="character" w:customStyle="1" w:styleId="a4">
    <w:name w:val="פיסקת רשימה תו"/>
    <w:basedOn w:val="a0"/>
    <w:link w:val="a3"/>
    <w:uiPriority w:val="34"/>
    <w:rsid w:val="003252EC"/>
    <w:rPr>
      <w:rFonts w:cs="Narkisim"/>
      <w:szCs w:val="24"/>
    </w:rPr>
  </w:style>
  <w:style w:type="character" w:customStyle="1" w:styleId="af4">
    <w:name w:val="גוש תו"/>
    <w:basedOn w:val="a4"/>
    <w:link w:val="af3"/>
    <w:rsid w:val="00124BE4"/>
    <w:rPr>
      <w:rFonts w:cs="Narkisi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860</Words>
  <Characters>4301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2017-06-22T14:14:00Z</dcterms:created>
  <dcterms:modified xsi:type="dcterms:W3CDTF">2017-06-22T14:25:00Z</dcterms:modified>
</cp:coreProperties>
</file>