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71" w:rsidRDefault="00962B71" w:rsidP="008C5C36">
      <w:pPr>
        <w:pStyle w:val="a8"/>
        <w:rPr>
          <w:rtl/>
        </w:rPr>
      </w:pPr>
      <w:r>
        <w:rPr>
          <w:rtl/>
        </w:rPr>
        <w:t xml:space="preserve">הרב </w:t>
      </w:r>
      <w:r w:rsidR="008C5C36">
        <w:rPr>
          <w:rFonts w:hint="cs"/>
          <w:rtl/>
        </w:rPr>
        <w:t xml:space="preserve">ברוך </w:t>
      </w:r>
      <w:proofErr w:type="spellStart"/>
      <w:r w:rsidR="008C5C36">
        <w:rPr>
          <w:rFonts w:hint="cs"/>
          <w:rtl/>
        </w:rPr>
        <w:t>גיגי</w:t>
      </w:r>
      <w:proofErr w:type="spellEnd"/>
      <w:r w:rsidR="008C5C36">
        <w:rPr>
          <w:rFonts w:hint="cs"/>
          <w:rtl/>
        </w:rPr>
        <w:t xml:space="preserve"> </w:t>
      </w:r>
      <w:proofErr w:type="spellStart"/>
      <w:r w:rsidR="008C5C36">
        <w:rPr>
          <w:rFonts w:hint="cs"/>
          <w:rtl/>
        </w:rPr>
        <w:t>שליט"א</w:t>
      </w:r>
      <w:proofErr w:type="spellEnd"/>
    </w:p>
    <w:p w:rsidR="00962B71" w:rsidRDefault="00962B71" w:rsidP="00962B71">
      <w:pPr>
        <w:pStyle w:val="a8"/>
        <w:rPr>
          <w:rtl/>
        </w:rPr>
      </w:pPr>
      <w:r>
        <w:rPr>
          <w:rtl/>
        </w:rPr>
        <w:t xml:space="preserve">שיחה </w:t>
      </w:r>
      <w:r w:rsidR="008C5C36">
        <w:rPr>
          <w:rFonts w:hint="cs"/>
          <w:rtl/>
        </w:rPr>
        <w:t>לפרשת שלח</w:t>
      </w:r>
    </w:p>
    <w:p w:rsidR="008C5C36" w:rsidRDefault="008C5C36" w:rsidP="00962B71">
      <w:pPr>
        <w:pStyle w:val="a8"/>
        <w:rPr>
          <w:rtl/>
        </w:rPr>
      </w:pPr>
    </w:p>
    <w:p w:rsidR="008C5C36" w:rsidRPr="008C5C36" w:rsidRDefault="008C5C36" w:rsidP="008C5C36">
      <w:pPr>
        <w:pStyle w:val="a8"/>
        <w:jc w:val="center"/>
        <w:rPr>
          <w:sz w:val="44"/>
          <w:szCs w:val="44"/>
          <w:rtl/>
        </w:rPr>
      </w:pPr>
      <w:r>
        <w:rPr>
          <w:rFonts w:hint="cs"/>
          <w:sz w:val="44"/>
          <w:szCs w:val="44"/>
          <w:rtl/>
        </w:rPr>
        <w:t>וזכרתם ועשיתם</w:t>
      </w:r>
      <w:r>
        <w:rPr>
          <w:rStyle w:val="a5"/>
          <w:rtl/>
        </w:rPr>
        <w:footnoteReference w:id="1"/>
      </w:r>
    </w:p>
    <w:p w:rsidR="008C5C36" w:rsidRDefault="008C5C36" w:rsidP="008C5C36">
      <w:pPr>
        <w:rPr>
          <w:rtl/>
        </w:rPr>
      </w:pPr>
    </w:p>
    <w:p w:rsidR="008C5C36" w:rsidRDefault="008C5C36" w:rsidP="008C5C36">
      <w:pPr>
        <w:rPr>
          <w:rtl/>
        </w:rPr>
      </w:pPr>
      <w:r w:rsidRPr="008C5C36">
        <w:rPr>
          <w:rFonts w:hint="cs"/>
          <w:rtl/>
        </w:rPr>
        <w:t xml:space="preserve">פרשתנו נמצאת ברצף פרשיות המתאר את תלאות עם ישראל במדבר, תוך פירוט חטאיהם השונים. מבין כל </w:t>
      </w:r>
      <w:r>
        <w:rPr>
          <w:rFonts w:hint="cs"/>
          <w:rtl/>
        </w:rPr>
        <w:t xml:space="preserve">החטאים בולטים בחומרתם שני חטאים </w:t>
      </w:r>
      <w:r>
        <w:rPr>
          <w:rtl/>
        </w:rPr>
        <w:t>–</w:t>
      </w:r>
      <w:r>
        <w:rPr>
          <w:rFonts w:hint="cs"/>
          <w:rtl/>
        </w:rPr>
        <w:t xml:space="preserve"> </w:t>
      </w:r>
      <w:r w:rsidRPr="008C5C36">
        <w:rPr>
          <w:rFonts w:hint="cs"/>
          <w:rtl/>
        </w:rPr>
        <w:t xml:space="preserve">חטא העגל וחטא המרגלים. </w:t>
      </w:r>
    </w:p>
    <w:p w:rsidR="008C5C36" w:rsidRPr="008C5C36" w:rsidRDefault="008C5C36" w:rsidP="008C5C36">
      <w:pPr>
        <w:rPr>
          <w:rtl/>
        </w:rPr>
      </w:pPr>
      <w:r w:rsidRPr="008C5C36">
        <w:rPr>
          <w:rFonts w:hint="cs"/>
          <w:rtl/>
        </w:rPr>
        <w:t>בין שני חטאים אלו יש דמיון רב. בשניהם משה נאלץ להציב מעין אולטימטום לקב"ה. בנוסף, בשניהם הוא גם משתמש, בסופו של דבר, בכלי החזק ביותר מבין העומדים לרשותו, י"ג מידות. אנחנו יודעים שהשפעת שני החטאים היא ארוכת-טווח, עד ימינו אנו:</w:t>
      </w:r>
    </w:p>
    <w:p w:rsidR="008C5C36" w:rsidRDefault="008C5C36" w:rsidP="008C5C36">
      <w:pPr>
        <w:pStyle w:val="a9"/>
        <w:rPr>
          <w:rtl/>
        </w:rPr>
      </w:pPr>
      <w:r>
        <w:rPr>
          <w:rFonts w:hint="cs"/>
          <w:rtl/>
        </w:rPr>
        <w:t>"</w:t>
      </w:r>
      <w:r w:rsidRPr="008C5C36">
        <w:rPr>
          <w:rtl/>
        </w:rPr>
        <w:t xml:space="preserve">אמר רבי יצחק אין לך כל פורענות ופורענות שבאה לעולם שאין בה אחד מעשרים וארבעה בהכרע ליטרא של עגל הראשון שנאמר וביום פקדי ופקדתי </w:t>
      </w:r>
      <w:proofErr w:type="spellStart"/>
      <w:r w:rsidRPr="008C5C36">
        <w:rPr>
          <w:rtl/>
        </w:rPr>
        <w:t>עלהם</w:t>
      </w:r>
      <w:proofErr w:type="spellEnd"/>
      <w:r w:rsidRPr="008C5C36">
        <w:rPr>
          <w:rtl/>
        </w:rPr>
        <w:t xml:space="preserve"> חטאתם</w:t>
      </w:r>
      <w:r>
        <w:rPr>
          <w:rFonts w:hint="cs"/>
          <w:rtl/>
        </w:rPr>
        <w:t>."</w:t>
      </w:r>
      <w:r w:rsidRPr="008C5C36">
        <w:rPr>
          <w:rtl/>
        </w:rPr>
        <w:t xml:space="preserve"> </w:t>
      </w:r>
    </w:p>
    <w:p w:rsidR="008C5C36" w:rsidRPr="008C5C36" w:rsidRDefault="008C5C36" w:rsidP="008C5C36">
      <w:pPr>
        <w:pStyle w:val="a9"/>
        <w:jc w:val="right"/>
        <w:rPr>
          <w:rtl/>
        </w:rPr>
      </w:pPr>
      <w:r w:rsidRPr="008C5C36">
        <w:rPr>
          <w:rFonts w:hint="cs"/>
          <w:rtl/>
        </w:rPr>
        <w:t>(</w:t>
      </w:r>
      <w:r w:rsidRPr="008C5C36">
        <w:rPr>
          <w:rtl/>
        </w:rPr>
        <w:t>בבלי סנהדרין</w:t>
      </w:r>
      <w:r>
        <w:rPr>
          <w:rFonts w:hint="cs"/>
          <w:rtl/>
        </w:rPr>
        <w:t>,</w:t>
      </w:r>
      <w:r w:rsidRPr="008C5C36">
        <w:rPr>
          <w:rtl/>
        </w:rPr>
        <w:t xml:space="preserve"> קב </w:t>
      </w:r>
      <w:r>
        <w:rPr>
          <w:rFonts w:hint="cs"/>
          <w:rtl/>
        </w:rPr>
        <w:t>ע"</w:t>
      </w:r>
      <w:r w:rsidRPr="008C5C36">
        <w:rPr>
          <w:rtl/>
        </w:rPr>
        <w:t>א</w:t>
      </w:r>
      <w:r w:rsidRPr="008C5C36">
        <w:rPr>
          <w:rFonts w:hint="cs"/>
          <w:rtl/>
        </w:rPr>
        <w:t>)</w:t>
      </w:r>
    </w:p>
    <w:p w:rsidR="008C5C36" w:rsidRDefault="008C5C36" w:rsidP="008C5C36">
      <w:pPr>
        <w:pStyle w:val="a9"/>
        <w:rPr>
          <w:rtl/>
        </w:rPr>
      </w:pPr>
      <w:r>
        <w:rPr>
          <w:rFonts w:hint="cs"/>
          <w:rtl/>
        </w:rPr>
        <w:t>"</w:t>
      </w:r>
      <w:proofErr w:type="spellStart"/>
      <w:r w:rsidRPr="008C5C36">
        <w:rPr>
          <w:rtl/>
        </w:rPr>
        <w:t>ותשא</w:t>
      </w:r>
      <w:proofErr w:type="spellEnd"/>
      <w:r w:rsidRPr="008C5C36">
        <w:rPr>
          <w:rtl/>
        </w:rPr>
        <w:t xml:space="preserve"> כל העדה ויתנו את קולם ויבכו אמר רבה אמר רבי יוחנן אותו היום [ערב] תשעה באב היה אמר הקדוש ברוך הוא הן בכו בכיה של חנם ואני אקבע להם בכיה לדורות</w:t>
      </w:r>
      <w:r>
        <w:rPr>
          <w:rFonts w:hint="cs"/>
          <w:rtl/>
        </w:rPr>
        <w:t>."</w:t>
      </w:r>
      <w:r w:rsidRPr="008C5C36">
        <w:rPr>
          <w:rtl/>
        </w:rPr>
        <w:t xml:space="preserve"> </w:t>
      </w:r>
    </w:p>
    <w:p w:rsidR="008C5C36" w:rsidRPr="008C5C36" w:rsidRDefault="008C5C36" w:rsidP="008C5C36">
      <w:pPr>
        <w:pStyle w:val="a9"/>
        <w:jc w:val="right"/>
        <w:rPr>
          <w:rtl/>
        </w:rPr>
      </w:pPr>
      <w:r w:rsidRPr="008C5C36">
        <w:rPr>
          <w:rFonts w:hint="cs"/>
          <w:rtl/>
        </w:rPr>
        <w:t>(</w:t>
      </w:r>
      <w:r w:rsidRPr="008C5C36">
        <w:rPr>
          <w:rtl/>
        </w:rPr>
        <w:t>בבלי סוטה</w:t>
      </w:r>
      <w:r>
        <w:rPr>
          <w:rFonts w:hint="cs"/>
          <w:rtl/>
        </w:rPr>
        <w:t>,</w:t>
      </w:r>
      <w:r w:rsidRPr="008C5C36">
        <w:rPr>
          <w:rtl/>
        </w:rPr>
        <w:t xml:space="preserve"> לה ע</w:t>
      </w:r>
      <w:r>
        <w:rPr>
          <w:rFonts w:hint="cs"/>
          <w:rtl/>
        </w:rPr>
        <w:t>"</w:t>
      </w:r>
      <w:r w:rsidRPr="008C5C36">
        <w:rPr>
          <w:rtl/>
        </w:rPr>
        <w:t>א</w:t>
      </w:r>
      <w:r w:rsidRPr="008C5C36">
        <w:rPr>
          <w:rFonts w:hint="cs"/>
          <w:rtl/>
        </w:rPr>
        <w:t>)</w:t>
      </w:r>
    </w:p>
    <w:p w:rsidR="008C5C36" w:rsidRPr="008C5C36" w:rsidRDefault="008C5C36" w:rsidP="00D513FE">
      <w:pPr>
        <w:rPr>
          <w:rtl/>
        </w:rPr>
      </w:pPr>
      <w:r w:rsidRPr="008C5C36">
        <w:rPr>
          <w:rFonts w:hint="cs"/>
          <w:rtl/>
        </w:rPr>
        <w:t>אמנם,</w:t>
      </w:r>
      <w:r>
        <w:rPr>
          <w:rFonts w:hint="cs"/>
          <w:rtl/>
        </w:rPr>
        <w:t xml:space="preserve"> מעבר למשותף החטאים, קיימים ביניהם </w:t>
      </w:r>
      <w:r w:rsidRPr="008C5C36">
        <w:rPr>
          <w:rFonts w:hint="cs"/>
          <w:rtl/>
        </w:rPr>
        <w:t xml:space="preserve">גם הבדלים </w:t>
      </w:r>
      <w:r>
        <w:rPr>
          <w:rFonts w:hint="cs"/>
          <w:rtl/>
        </w:rPr>
        <w:t>לא קטנים</w:t>
      </w:r>
      <w:r w:rsidRPr="008C5C36">
        <w:rPr>
          <w:rFonts w:hint="cs"/>
          <w:rtl/>
        </w:rPr>
        <w:t>. לאח</w:t>
      </w:r>
      <w:r>
        <w:rPr>
          <w:rFonts w:hint="cs"/>
          <w:rtl/>
        </w:rPr>
        <w:t xml:space="preserve">ר חטא העגל יש אמנם מהומה גדולה </w:t>
      </w:r>
      <w:r w:rsidR="00D513FE">
        <w:rPr>
          <w:rFonts w:hint="cs"/>
          <w:rtl/>
        </w:rPr>
        <w:t>וחלק מן העם נדרש</w:t>
      </w:r>
      <w:r w:rsidRPr="008C5C36">
        <w:rPr>
          <w:rFonts w:hint="cs"/>
          <w:rtl/>
        </w:rPr>
        <w:t xml:space="preserve"> להרוג </w:t>
      </w:r>
      <w:r w:rsidR="00D513FE">
        <w:rPr>
          <w:rFonts w:hint="cs"/>
          <w:rtl/>
        </w:rPr>
        <w:t>חלק אחר מן העם</w:t>
      </w:r>
      <w:r w:rsidRPr="008C5C36">
        <w:rPr>
          <w:rFonts w:hint="cs"/>
          <w:rtl/>
        </w:rPr>
        <w:t>, אבל באופן כללי, מיד ניתנים לוחות שניים, והמהלך הכללי ממשיך במסלולו המקורי והמתוכנן.</w:t>
      </w:r>
    </w:p>
    <w:p w:rsidR="008C5C36" w:rsidRPr="008C5C36" w:rsidRDefault="008C5C36" w:rsidP="008C5C36">
      <w:pPr>
        <w:rPr>
          <w:rtl/>
        </w:rPr>
      </w:pPr>
      <w:r w:rsidRPr="008C5C36">
        <w:rPr>
          <w:rFonts w:hint="cs"/>
          <w:rtl/>
        </w:rPr>
        <w:t>לעומת זאת, לאחר חטא המרגלים מתרחש שינוי כיוון חד שבא לידי ביטוי בהכרזה על עוד ארבעים שנים במדבר:</w:t>
      </w:r>
    </w:p>
    <w:p w:rsidR="00D513FE" w:rsidRDefault="00D513FE" w:rsidP="00D513FE">
      <w:pPr>
        <w:pStyle w:val="a9"/>
        <w:rPr>
          <w:rtl/>
        </w:rPr>
      </w:pPr>
      <w:r>
        <w:rPr>
          <w:rFonts w:hint="cs"/>
          <w:rtl/>
        </w:rPr>
        <w:t>"</w:t>
      </w:r>
      <w:r w:rsidRPr="00D513FE">
        <w:rPr>
          <w:rtl/>
        </w:rPr>
        <w:t xml:space="preserve"> בְּמִסְפַּר הַיָּמִים אֲשֶׁר תַּרְתֶּם אֶת הָאָרֶץ אַרְבָּעִים יוֹם יוֹם לַשָּׁנָה יוֹם לַשָּׁנָה </w:t>
      </w:r>
      <w:proofErr w:type="spellStart"/>
      <w:r w:rsidRPr="00D513FE">
        <w:rPr>
          <w:rtl/>
        </w:rPr>
        <w:t>תִּשְׂאו</w:t>
      </w:r>
      <w:proofErr w:type="spellEnd"/>
      <w:r w:rsidRPr="00D513FE">
        <w:rPr>
          <w:rtl/>
        </w:rPr>
        <w:t xml:space="preserve">ּ אֶת  </w:t>
      </w:r>
      <w:proofErr w:type="spellStart"/>
      <w:r w:rsidRPr="00D513FE">
        <w:rPr>
          <w:rtl/>
        </w:rPr>
        <w:t>עֲוֹנֹתֵיכֶם</w:t>
      </w:r>
      <w:proofErr w:type="spellEnd"/>
      <w:r w:rsidRPr="00D513FE">
        <w:rPr>
          <w:rtl/>
        </w:rPr>
        <w:t xml:space="preserve"> אַרְבָּעִים שָׁנָה וִידַעְתֶּם אֶת </w:t>
      </w:r>
      <w:proofErr w:type="spellStart"/>
      <w:r w:rsidRPr="00D513FE">
        <w:rPr>
          <w:rtl/>
        </w:rPr>
        <w:t>תְּנוּאָתִי</w:t>
      </w:r>
      <w:proofErr w:type="spellEnd"/>
      <w:r>
        <w:rPr>
          <w:rFonts w:hint="cs"/>
          <w:rtl/>
        </w:rPr>
        <w:t>."</w:t>
      </w:r>
      <w:r w:rsidR="008C5C36" w:rsidRPr="008C5C36">
        <w:rPr>
          <w:rtl/>
        </w:rPr>
        <w:t xml:space="preserve"> </w:t>
      </w:r>
    </w:p>
    <w:p w:rsidR="008C5C36" w:rsidRPr="008C5C36" w:rsidRDefault="008C5C36" w:rsidP="00D513FE">
      <w:pPr>
        <w:pStyle w:val="a9"/>
        <w:jc w:val="right"/>
        <w:rPr>
          <w:rtl/>
        </w:rPr>
      </w:pPr>
      <w:r w:rsidRPr="008C5C36">
        <w:rPr>
          <w:rFonts w:hint="cs"/>
          <w:rtl/>
        </w:rPr>
        <w:t>(</w:t>
      </w:r>
      <w:r w:rsidR="00D513FE">
        <w:rPr>
          <w:rtl/>
        </w:rPr>
        <w:t xml:space="preserve">במדבר </w:t>
      </w:r>
      <w:r w:rsidR="00D513FE">
        <w:rPr>
          <w:rFonts w:hint="cs"/>
          <w:rtl/>
        </w:rPr>
        <w:t>י"ד,</w:t>
      </w:r>
      <w:r w:rsidRPr="008C5C36">
        <w:rPr>
          <w:rtl/>
        </w:rPr>
        <w:t xml:space="preserve"> לד</w:t>
      </w:r>
      <w:r w:rsidRPr="008C5C36">
        <w:rPr>
          <w:rFonts w:hint="cs"/>
          <w:rtl/>
        </w:rPr>
        <w:t>)</w:t>
      </w:r>
    </w:p>
    <w:p w:rsidR="00D513FE" w:rsidRDefault="00D513FE" w:rsidP="008C5C36">
      <w:pPr>
        <w:rPr>
          <w:rtl/>
        </w:rPr>
      </w:pPr>
    </w:p>
    <w:p w:rsidR="008C5C36" w:rsidRPr="008C5C36" w:rsidRDefault="008C5C36" w:rsidP="008C5C36">
      <w:pPr>
        <w:rPr>
          <w:rtl/>
        </w:rPr>
      </w:pPr>
      <w:r w:rsidRPr="008C5C36">
        <w:rPr>
          <w:rFonts w:hint="cs"/>
          <w:rtl/>
        </w:rPr>
        <w:t xml:space="preserve">כאן אנו נדרשים לשאול, מהי סיבת ההבדל בתגובת ה' לשני החטאים? </w:t>
      </w:r>
    </w:p>
    <w:p w:rsidR="008C5C36" w:rsidRPr="008C5C36" w:rsidRDefault="008C5C36" w:rsidP="008C5C36">
      <w:pPr>
        <w:rPr>
          <w:rtl/>
        </w:rPr>
      </w:pPr>
      <w:r w:rsidRPr="008C5C36">
        <w:rPr>
          <w:rFonts w:hint="cs"/>
          <w:rtl/>
        </w:rPr>
        <w:t>ברובד הבסיסי ביותר, כאשר העם חוטאים פעם שנייה בחטא כל כך חמור, זה גרוע הרבה יותר מאשר הפעם הראשונה, כפי שמתואר בגמרא:</w:t>
      </w:r>
    </w:p>
    <w:p w:rsidR="00D513FE" w:rsidRDefault="00D513FE" w:rsidP="00D513FE">
      <w:pPr>
        <w:pStyle w:val="a9"/>
        <w:rPr>
          <w:rtl/>
        </w:rPr>
      </w:pPr>
      <w:r>
        <w:rPr>
          <w:rFonts w:hint="cs"/>
          <w:rtl/>
        </w:rPr>
        <w:t>"</w:t>
      </w:r>
      <w:proofErr w:type="spellStart"/>
      <w:r w:rsidR="008C5C36" w:rsidRPr="008C5C36">
        <w:rPr>
          <w:rtl/>
        </w:rPr>
        <w:t>דאמר</w:t>
      </w:r>
      <w:proofErr w:type="spellEnd"/>
      <w:r w:rsidR="008C5C36" w:rsidRPr="008C5C36">
        <w:rPr>
          <w:rtl/>
        </w:rPr>
        <w:t xml:space="preserve"> רב </w:t>
      </w:r>
      <w:proofErr w:type="spellStart"/>
      <w:r w:rsidR="008C5C36" w:rsidRPr="008C5C36">
        <w:rPr>
          <w:rtl/>
        </w:rPr>
        <w:t>הונא</w:t>
      </w:r>
      <w:proofErr w:type="spellEnd"/>
      <w:r w:rsidR="008C5C36" w:rsidRPr="008C5C36">
        <w:rPr>
          <w:rtl/>
        </w:rPr>
        <w:t xml:space="preserve"> כיון שעבר אדם עבירה ושנה בה הותרה לו הותרה לו </w:t>
      </w:r>
      <w:proofErr w:type="spellStart"/>
      <w:r w:rsidR="008C5C36" w:rsidRPr="008C5C36">
        <w:rPr>
          <w:rtl/>
        </w:rPr>
        <w:t>סלקא</w:t>
      </w:r>
      <w:proofErr w:type="spellEnd"/>
      <w:r w:rsidR="008C5C36" w:rsidRPr="008C5C36">
        <w:rPr>
          <w:rtl/>
        </w:rPr>
        <w:t xml:space="preserve"> דעתך אלא אימא נעשית לו כהיתר</w:t>
      </w:r>
      <w:r>
        <w:rPr>
          <w:rFonts w:hint="cs"/>
          <w:rtl/>
        </w:rPr>
        <w:t>."</w:t>
      </w:r>
      <w:r w:rsidR="008C5C36" w:rsidRPr="008C5C36">
        <w:rPr>
          <w:rtl/>
        </w:rPr>
        <w:t xml:space="preserve"> </w:t>
      </w:r>
    </w:p>
    <w:p w:rsidR="008C5C36" w:rsidRPr="008C5C36" w:rsidRDefault="008C5C36" w:rsidP="00D513FE">
      <w:pPr>
        <w:jc w:val="right"/>
        <w:rPr>
          <w:rtl/>
        </w:rPr>
      </w:pPr>
      <w:r w:rsidRPr="008C5C36">
        <w:rPr>
          <w:rFonts w:hint="cs"/>
          <w:rtl/>
        </w:rPr>
        <w:t>(</w:t>
      </w:r>
      <w:r w:rsidRPr="008C5C36">
        <w:rPr>
          <w:rtl/>
        </w:rPr>
        <w:t>בבלי יומא</w:t>
      </w:r>
      <w:r w:rsidR="00D513FE">
        <w:rPr>
          <w:rFonts w:hint="cs"/>
          <w:rtl/>
        </w:rPr>
        <w:t>,</w:t>
      </w:r>
      <w:r w:rsidRPr="008C5C36">
        <w:rPr>
          <w:rtl/>
        </w:rPr>
        <w:t xml:space="preserve"> פו </w:t>
      </w:r>
      <w:r w:rsidR="00D513FE">
        <w:rPr>
          <w:rFonts w:hint="cs"/>
          <w:rtl/>
        </w:rPr>
        <w:t>ע"</w:t>
      </w:r>
      <w:r w:rsidRPr="008C5C36">
        <w:rPr>
          <w:rtl/>
        </w:rPr>
        <w:t>ב</w:t>
      </w:r>
      <w:r w:rsidRPr="008C5C36">
        <w:rPr>
          <w:rFonts w:hint="cs"/>
          <w:rtl/>
        </w:rPr>
        <w:t>)</w:t>
      </w:r>
    </w:p>
    <w:p w:rsidR="008C5C36" w:rsidRPr="008C5C36" w:rsidRDefault="008C5C36" w:rsidP="008C5C36">
      <w:pPr>
        <w:rPr>
          <w:rtl/>
        </w:rPr>
      </w:pPr>
      <w:r w:rsidRPr="008C5C36">
        <w:rPr>
          <w:rFonts w:hint="cs"/>
          <w:rtl/>
        </w:rPr>
        <w:t>כלומר, עצם זה שחוטאים שוב מראה שלא מדובר על מעידה חד פעמית אלא על בעיה עקרונית.</w:t>
      </w:r>
    </w:p>
    <w:p w:rsidR="008C5C36" w:rsidRDefault="008C5C36" w:rsidP="008C5C36">
      <w:pPr>
        <w:rPr>
          <w:rtl/>
        </w:rPr>
      </w:pPr>
      <w:r w:rsidRPr="008C5C36">
        <w:rPr>
          <w:rFonts w:hint="cs"/>
          <w:rtl/>
        </w:rPr>
        <w:t xml:space="preserve">אבל, ברובד עמוק יותר, נראה שזה לא רק פעם שנייה שחוטאים בחטא דומה. חטא העגל קורה לעם בתחילת דרכו, לאחר שחרור ממצרים ומעבר חד לתנאי קיצון. מתרחשת שם טעות נוראית, אבל היא באה מתוך </w:t>
      </w:r>
      <w:proofErr w:type="spellStart"/>
      <w:r w:rsidRPr="008C5C36">
        <w:rPr>
          <w:rFonts w:hint="cs"/>
          <w:rtl/>
        </w:rPr>
        <w:t>נסיון</w:t>
      </w:r>
      <w:proofErr w:type="spellEnd"/>
      <w:r w:rsidRPr="008C5C36">
        <w:rPr>
          <w:rFonts w:hint="cs"/>
          <w:rtl/>
        </w:rPr>
        <w:t xml:space="preserve"> </w:t>
      </w:r>
      <w:proofErr w:type="spellStart"/>
      <w:r w:rsidRPr="008C5C36">
        <w:rPr>
          <w:rFonts w:hint="cs"/>
          <w:rtl/>
        </w:rPr>
        <w:t>אמיתי</w:t>
      </w:r>
      <w:proofErr w:type="spellEnd"/>
      <w:r w:rsidRPr="008C5C36">
        <w:rPr>
          <w:rFonts w:hint="cs"/>
          <w:rtl/>
        </w:rPr>
        <w:t xml:space="preserve"> של העם לעבוד את ה':</w:t>
      </w:r>
    </w:p>
    <w:p w:rsidR="00D513FE" w:rsidRDefault="00D513FE" w:rsidP="00D513FE">
      <w:pPr>
        <w:pStyle w:val="a9"/>
        <w:rPr>
          <w:rtl/>
        </w:rPr>
      </w:pPr>
      <w:r>
        <w:rPr>
          <w:rFonts w:hint="cs"/>
          <w:rtl/>
        </w:rPr>
        <w:t>"</w:t>
      </w:r>
      <w:r w:rsidRPr="00D513FE">
        <w:rPr>
          <w:rtl/>
        </w:rPr>
        <w:t xml:space="preserve">וַיַּרְא אַהֲרֹן </w:t>
      </w:r>
      <w:proofErr w:type="spellStart"/>
      <w:r w:rsidRPr="00D513FE">
        <w:rPr>
          <w:rtl/>
        </w:rPr>
        <w:t>וַיִּבֶן</w:t>
      </w:r>
      <w:proofErr w:type="spellEnd"/>
      <w:r w:rsidRPr="00D513FE">
        <w:rPr>
          <w:rtl/>
        </w:rPr>
        <w:t xml:space="preserve"> מִזְבֵּחַ לְפָנָיו וַיִּקְרָא אַהֲרֹן וַיֹּאמַר חַג לַה' </w:t>
      </w:r>
      <w:r>
        <w:rPr>
          <w:rtl/>
        </w:rPr>
        <w:t>מָחָר</w:t>
      </w:r>
      <w:r>
        <w:rPr>
          <w:rFonts w:hint="cs"/>
          <w:rtl/>
        </w:rPr>
        <w:t>."</w:t>
      </w:r>
    </w:p>
    <w:p w:rsidR="008C5C36" w:rsidRPr="008C5C36" w:rsidRDefault="00D513FE" w:rsidP="00D513FE">
      <w:pPr>
        <w:pStyle w:val="a9"/>
        <w:jc w:val="right"/>
        <w:rPr>
          <w:rtl/>
        </w:rPr>
      </w:pPr>
      <w:r>
        <w:rPr>
          <w:rFonts w:hint="cs"/>
          <w:rtl/>
        </w:rPr>
        <w:t>(שמות ל"ב, ה)</w:t>
      </w:r>
    </w:p>
    <w:p w:rsidR="008C5C36" w:rsidRDefault="008C5C36" w:rsidP="008C5C36">
      <w:pPr>
        <w:rPr>
          <w:rtl/>
        </w:rPr>
      </w:pPr>
      <w:r w:rsidRPr="008C5C36">
        <w:rPr>
          <w:rFonts w:hint="cs"/>
          <w:rtl/>
        </w:rPr>
        <w:t xml:space="preserve">אהרון עצמו חושב שזה סוג של "חג לה' ", כלומר, יש רצון חיובי שמתדרדר למקומות שליליים מאוד. לכן, מיד לאחר בקשות משה הקב"ה סולח באופן מוחלט, ומבטיח להמשיך ללוות ולהוביל את </w:t>
      </w:r>
      <w:proofErr w:type="spellStart"/>
      <w:r w:rsidRPr="008C5C36">
        <w:rPr>
          <w:rFonts w:hint="cs"/>
          <w:rtl/>
        </w:rPr>
        <w:t>עמ"י</w:t>
      </w:r>
      <w:proofErr w:type="spellEnd"/>
      <w:r w:rsidRPr="008C5C36">
        <w:rPr>
          <w:rFonts w:hint="cs"/>
          <w:rtl/>
        </w:rPr>
        <w:t>:</w:t>
      </w:r>
    </w:p>
    <w:p w:rsidR="00DA3B9C" w:rsidRDefault="00DA3B9C" w:rsidP="00DA3B9C">
      <w:pPr>
        <w:rPr>
          <w:rtl/>
        </w:rPr>
      </w:pPr>
      <w:r>
        <w:rPr>
          <w:rFonts w:hint="cs"/>
          <w:rtl/>
        </w:rPr>
        <w:t>"</w:t>
      </w:r>
      <w:r w:rsidRPr="00DA3B9C">
        <w:rPr>
          <w:rtl/>
        </w:rPr>
        <w:t xml:space="preserve">וַיֹּאמֶר אִם נָא מָצָאתִי חֵן בְּעֵינֶיךָ </w:t>
      </w:r>
      <w:r>
        <w:rPr>
          <w:rFonts w:hint="cs"/>
          <w:rtl/>
        </w:rPr>
        <w:t xml:space="preserve">ה' </w:t>
      </w:r>
      <w:r>
        <w:rPr>
          <w:rtl/>
        </w:rPr>
        <w:t xml:space="preserve">יֵלֶךְ נָא </w:t>
      </w:r>
      <w:r>
        <w:rPr>
          <w:rFonts w:hint="cs"/>
          <w:rtl/>
        </w:rPr>
        <w:t>ה'</w:t>
      </w:r>
      <w:r w:rsidRPr="00DA3B9C">
        <w:rPr>
          <w:rtl/>
        </w:rPr>
        <w:t xml:space="preserve"> בְּקִרְבֵּנוּ כִּי עַם קְשֵׁה עֹרֶף הוּא וְסָלַחְתָּ </w:t>
      </w:r>
      <w:proofErr w:type="spellStart"/>
      <w:r w:rsidRPr="00DA3B9C">
        <w:rPr>
          <w:rtl/>
        </w:rPr>
        <w:t>לַעֲוֹנֵנו</w:t>
      </w:r>
      <w:proofErr w:type="spellEnd"/>
      <w:r w:rsidRPr="00DA3B9C">
        <w:rPr>
          <w:rtl/>
        </w:rPr>
        <w:t xml:space="preserve">ּ וּלְחַטָּאתֵנוּ וּנְחַלְתָּנוּ: וַיֹּאמֶר הִנֵּה אָנֹכִי כֹּרֵת בְּרִית נֶגֶד כָּל עַמְּךָ אֶעֱשֶׂה </w:t>
      </w:r>
      <w:proofErr w:type="spellStart"/>
      <w:r w:rsidRPr="00DA3B9C">
        <w:rPr>
          <w:rtl/>
        </w:rPr>
        <w:t>נִפְלָאֹת</w:t>
      </w:r>
      <w:proofErr w:type="spellEnd"/>
      <w:r w:rsidRPr="00DA3B9C">
        <w:rPr>
          <w:rtl/>
        </w:rPr>
        <w:t xml:space="preserve"> אֲשֶׁר לֹא נִבְרְאוּ בְכָל הָאָרֶץ וּבְכָל </w:t>
      </w:r>
      <w:proofErr w:type="spellStart"/>
      <w:r w:rsidRPr="00DA3B9C">
        <w:rPr>
          <w:rtl/>
        </w:rPr>
        <w:t>הַגּוֹיִם</w:t>
      </w:r>
      <w:proofErr w:type="spellEnd"/>
      <w:r w:rsidRPr="00DA3B9C">
        <w:rPr>
          <w:rtl/>
        </w:rPr>
        <w:t xml:space="preserve"> וְרָאָה כָל הָעָם אֲשֶׁר אַתָּה בְקִרְבּוֹ אֶת מַעֲשֵׂה ה' כִּי נוֹרָא ה</w:t>
      </w:r>
      <w:r>
        <w:rPr>
          <w:rtl/>
        </w:rPr>
        <w:t>וּא אֲשֶׁר אֲנִי עֹשֶׂה עִמָּךְ</w:t>
      </w:r>
      <w:r>
        <w:rPr>
          <w:rFonts w:hint="cs"/>
          <w:rtl/>
        </w:rPr>
        <w:t>."</w:t>
      </w:r>
      <w:r w:rsidRPr="00DA3B9C">
        <w:rPr>
          <w:rtl/>
        </w:rPr>
        <w:t xml:space="preserve"> </w:t>
      </w:r>
    </w:p>
    <w:p w:rsidR="00DA3B9C" w:rsidRDefault="00DA3B9C" w:rsidP="00DA3B9C">
      <w:pPr>
        <w:jc w:val="right"/>
        <w:rPr>
          <w:rtl/>
        </w:rPr>
      </w:pPr>
      <w:r>
        <w:rPr>
          <w:rFonts w:hint="cs"/>
          <w:rtl/>
        </w:rPr>
        <w:t>(שמות ל"ד, ט-י)</w:t>
      </w:r>
    </w:p>
    <w:p w:rsidR="00DA3B9C" w:rsidRDefault="00DA3B9C" w:rsidP="008C5C36">
      <w:pPr>
        <w:rPr>
          <w:rtl/>
        </w:rPr>
      </w:pPr>
    </w:p>
    <w:p w:rsidR="008C5C36" w:rsidRDefault="008C5C36" w:rsidP="008C5C36">
      <w:pPr>
        <w:rPr>
          <w:rtl/>
        </w:rPr>
      </w:pPr>
      <w:r w:rsidRPr="008C5C36">
        <w:rPr>
          <w:rFonts w:hint="cs"/>
          <w:rtl/>
        </w:rPr>
        <w:t>לעומת זאת, בחטא המרגלים חוטא עם שהספיק להתרגל למצבו. עם שראה והפנים את גדולתו של הקב"ה אך בכל זאת מפקפק בו. החטא של המרגלים אינו רק הוספת דעתם האישית להתרשמותם מהארץ, אלא עצם גישתם להנהגת ה' ולהבטחתו בדבר הכניסה לארץ, גישה שבבסיסה עומד צורך לבחון את הקב"ה.</w:t>
      </w:r>
    </w:p>
    <w:p w:rsidR="008C5C36" w:rsidRDefault="00DA3B9C" w:rsidP="00DA3B9C">
      <w:pPr>
        <w:pStyle w:val="a9"/>
        <w:rPr>
          <w:rtl/>
        </w:rPr>
      </w:pPr>
      <w:r>
        <w:rPr>
          <w:rFonts w:hint="cs"/>
          <w:rtl/>
        </w:rPr>
        <w:t>"</w:t>
      </w:r>
      <w:r w:rsidRPr="00DA3B9C">
        <w:rPr>
          <w:rtl/>
        </w:rPr>
        <w:t xml:space="preserve">וַיֹּאמֶר ה' סָלַחְתִּי כִּדְבָרֶךָ: וְאוּלָם חַי אָנִי וְיִמָּלֵא כְבוֹד ה' אֶת כָּל הָאָרֶץ: כִּי כָל הָאֲנָשִׁים הָרֹאִים אֶת כְּבֹדִי וְאֶת </w:t>
      </w:r>
      <w:proofErr w:type="spellStart"/>
      <w:r w:rsidRPr="00DA3B9C">
        <w:rPr>
          <w:rtl/>
        </w:rPr>
        <w:t>אֹתֹתַי</w:t>
      </w:r>
      <w:proofErr w:type="spellEnd"/>
      <w:r w:rsidRPr="00DA3B9C">
        <w:rPr>
          <w:rtl/>
        </w:rPr>
        <w:t xml:space="preserve"> אֲשֶׁר עָשִׂיתִי בְמִצְרַיִם וּבַמִּדְבָּר וַיְנַסּוּ אֹתִי זֶה עֶשֶׂר פְּעָמִים וְלֹא שָׁמְעוּ בְּקוֹלִי: אִם יִרְאוּ אֶת הָאָרֶץ אֲשֶׁר נִשְׁבַּעְתִּי </w:t>
      </w:r>
      <w:proofErr w:type="spellStart"/>
      <w:r w:rsidRPr="00DA3B9C">
        <w:rPr>
          <w:rtl/>
        </w:rPr>
        <w:t>לַאֲבֹתָם</w:t>
      </w:r>
      <w:proofErr w:type="spellEnd"/>
      <w:r>
        <w:rPr>
          <w:rtl/>
        </w:rPr>
        <w:t xml:space="preserve"> וְכָל מְנַאֲצַי לֹא יִרְאוּהָ</w:t>
      </w:r>
      <w:r>
        <w:rPr>
          <w:rFonts w:hint="cs"/>
          <w:rtl/>
        </w:rPr>
        <w:t>."</w:t>
      </w:r>
    </w:p>
    <w:p w:rsidR="00DA3B9C" w:rsidRPr="008C5C36" w:rsidRDefault="00DA3B9C" w:rsidP="00DA3B9C">
      <w:pPr>
        <w:jc w:val="right"/>
        <w:rPr>
          <w:rtl/>
        </w:rPr>
      </w:pPr>
      <w:r>
        <w:rPr>
          <w:rFonts w:hint="cs"/>
          <w:rtl/>
        </w:rPr>
        <w:t>(במדבר י"ד, כ-</w:t>
      </w:r>
      <w:proofErr w:type="spellStart"/>
      <w:r>
        <w:rPr>
          <w:rFonts w:hint="cs"/>
          <w:rtl/>
        </w:rPr>
        <w:t>כג</w:t>
      </w:r>
      <w:proofErr w:type="spellEnd"/>
      <w:r>
        <w:rPr>
          <w:rFonts w:hint="cs"/>
          <w:rtl/>
        </w:rPr>
        <w:t>)</w:t>
      </w:r>
    </w:p>
    <w:p w:rsidR="008C5C36" w:rsidRPr="008C5C36" w:rsidRDefault="008C5C36" w:rsidP="00DA3B9C">
      <w:pPr>
        <w:rPr>
          <w:rtl/>
        </w:rPr>
      </w:pPr>
      <w:r w:rsidRPr="008C5C36">
        <w:rPr>
          <w:rFonts w:hint="cs"/>
          <w:rtl/>
        </w:rPr>
        <w:lastRenderedPageBreak/>
        <w:t>כאן הקב"ה סולח, אבל מיד מגיע "ואולם", כלומר, לפני הכניסה לארץ נדרש שינוי מוחלט של העם עד להפיכה לעם חדש כמעט לחלוטין.</w:t>
      </w:r>
    </w:p>
    <w:p w:rsidR="008C5C36" w:rsidRPr="008C5C36" w:rsidRDefault="008C5C36" w:rsidP="00DA3B9C">
      <w:pPr>
        <w:rPr>
          <w:rtl/>
        </w:rPr>
      </w:pPr>
      <w:r w:rsidRPr="008C5C36">
        <w:rPr>
          <w:rFonts w:hint="cs"/>
          <w:rtl/>
        </w:rPr>
        <w:t>כניגוד לחטא, מובאת בסוף הפרשה פרשיית ציצית. חז"ל ראו צורך לקשור בין שתי הפרשיות, כפי שמציין רש"י בכמה מקומות:</w:t>
      </w:r>
    </w:p>
    <w:p w:rsidR="008C5C36" w:rsidRPr="008C5C36" w:rsidRDefault="00DA3B9C" w:rsidP="00DA3B9C">
      <w:pPr>
        <w:pStyle w:val="a9"/>
        <w:rPr>
          <w:rtl/>
        </w:rPr>
      </w:pPr>
      <w:r>
        <w:rPr>
          <w:rFonts w:hint="cs"/>
          <w:rtl/>
        </w:rPr>
        <w:t>"</w:t>
      </w:r>
      <w:r w:rsidR="008C5C36" w:rsidRPr="008C5C36">
        <w:rPr>
          <w:rtl/>
        </w:rPr>
        <w:t xml:space="preserve">ולא תתורו אחרי לבבכם - כמו (לעיל </w:t>
      </w:r>
      <w:proofErr w:type="spellStart"/>
      <w:r w:rsidR="008C5C36" w:rsidRPr="008C5C36">
        <w:rPr>
          <w:rtl/>
        </w:rPr>
        <w:t>יג</w:t>
      </w:r>
      <w:proofErr w:type="spellEnd"/>
      <w:r w:rsidR="008C5C36" w:rsidRPr="008C5C36">
        <w:rPr>
          <w:rtl/>
        </w:rPr>
        <w:t xml:space="preserve"> כה) מתור הארץ. הלב </w:t>
      </w:r>
      <w:proofErr w:type="spellStart"/>
      <w:r w:rsidR="008C5C36" w:rsidRPr="008C5C36">
        <w:rPr>
          <w:rtl/>
        </w:rPr>
        <w:t>והעינים</w:t>
      </w:r>
      <w:proofErr w:type="spellEnd"/>
      <w:r w:rsidR="008C5C36" w:rsidRPr="008C5C36">
        <w:rPr>
          <w:rtl/>
        </w:rPr>
        <w:t xml:space="preserve"> הם מרגלים לגוף ומסרסרים לו את העבירות, העין רואה </w:t>
      </w:r>
      <w:r>
        <w:rPr>
          <w:rtl/>
        </w:rPr>
        <w:t>והלב חומד והגוף עושה את העבירות</w:t>
      </w:r>
      <w:r>
        <w:rPr>
          <w:rFonts w:hint="cs"/>
          <w:rtl/>
        </w:rPr>
        <w:t>."</w:t>
      </w:r>
    </w:p>
    <w:p w:rsidR="00DF57DE" w:rsidRDefault="008C5C36" w:rsidP="00DF57DE">
      <w:pPr>
        <w:rPr>
          <w:rtl/>
        </w:rPr>
      </w:pPr>
      <w:r w:rsidRPr="008C5C36">
        <w:rPr>
          <w:rFonts w:hint="cs"/>
          <w:rtl/>
        </w:rPr>
        <w:t xml:space="preserve">כלומר, רש"י דורש </w:t>
      </w:r>
      <w:r w:rsidR="00DF57DE">
        <w:rPr>
          <w:rFonts w:hint="cs"/>
          <w:rtl/>
        </w:rPr>
        <w:t>את קשר טקסטואלי בין שתי הפרשיות, בין 'לא תתורו' של הציצית ל'תור הארץ' של המרגלים.</w:t>
      </w:r>
      <w:r w:rsidRPr="008C5C36">
        <w:rPr>
          <w:rFonts w:hint="cs"/>
          <w:rtl/>
        </w:rPr>
        <w:t xml:space="preserve"> </w:t>
      </w:r>
    </w:p>
    <w:p w:rsidR="00DF57DE" w:rsidRDefault="00DF57DE" w:rsidP="00DF57DE">
      <w:pPr>
        <w:rPr>
          <w:rtl/>
        </w:rPr>
      </w:pPr>
      <w:r>
        <w:rPr>
          <w:rFonts w:hint="cs"/>
          <w:rtl/>
        </w:rPr>
        <w:t>ניתן לקשור לכך את הדברים אותם הביאה הגמרא במנחות בנוגע לציצית:</w:t>
      </w:r>
    </w:p>
    <w:p w:rsidR="00DF57DE" w:rsidRDefault="00DF57DE" w:rsidP="00DF57DE">
      <w:pPr>
        <w:pStyle w:val="a9"/>
        <w:rPr>
          <w:rtl/>
        </w:rPr>
      </w:pPr>
      <w:r>
        <w:rPr>
          <w:rFonts w:hint="cs"/>
          <w:rtl/>
        </w:rPr>
        <w:t>"</w:t>
      </w:r>
      <w:r w:rsidR="008C5C36" w:rsidRPr="008C5C36">
        <w:rPr>
          <w:rtl/>
        </w:rPr>
        <w:t xml:space="preserve">תניא היה ר' מאיר אומר מה נשתנה תכלת מכל מיני </w:t>
      </w:r>
      <w:proofErr w:type="spellStart"/>
      <w:r w:rsidR="008C5C36" w:rsidRPr="008C5C36">
        <w:rPr>
          <w:rtl/>
        </w:rPr>
        <w:t>צבעונין</w:t>
      </w:r>
      <w:proofErr w:type="spellEnd"/>
      <w:r w:rsidR="008C5C36" w:rsidRPr="008C5C36">
        <w:rPr>
          <w:rtl/>
        </w:rPr>
        <w:t xml:space="preserve"> מפני שהתכלת דומה לים וים דומה לרקיע ורקיע </w:t>
      </w:r>
      <w:proofErr w:type="spellStart"/>
      <w:r w:rsidR="008C5C36" w:rsidRPr="008C5C36">
        <w:rPr>
          <w:rtl/>
        </w:rPr>
        <w:t>לכסא</w:t>
      </w:r>
      <w:proofErr w:type="spellEnd"/>
      <w:r w:rsidR="008C5C36" w:rsidRPr="008C5C36">
        <w:rPr>
          <w:rtl/>
        </w:rPr>
        <w:t xml:space="preserve"> הכבוד שנאמר ותחת רגליו כמעשה לבנת הספיר וכעצם השמים לטהר וכתיב כמראה אבן ספיר דמות </w:t>
      </w:r>
      <w:proofErr w:type="spellStart"/>
      <w:r w:rsidR="008C5C36" w:rsidRPr="008C5C36">
        <w:rPr>
          <w:rtl/>
        </w:rPr>
        <w:t>כסא</w:t>
      </w:r>
      <w:proofErr w:type="spellEnd"/>
      <w:r>
        <w:rPr>
          <w:rFonts w:hint="cs"/>
          <w:rtl/>
        </w:rPr>
        <w:t>."</w:t>
      </w:r>
      <w:r w:rsidR="008C5C36" w:rsidRPr="008C5C36">
        <w:rPr>
          <w:rtl/>
        </w:rPr>
        <w:t xml:space="preserve"> </w:t>
      </w:r>
    </w:p>
    <w:p w:rsidR="008C5C36" w:rsidRPr="008C5C36" w:rsidRDefault="008C5C36" w:rsidP="00DF57DE">
      <w:pPr>
        <w:jc w:val="right"/>
        <w:rPr>
          <w:rtl/>
        </w:rPr>
      </w:pPr>
      <w:r w:rsidRPr="008C5C36">
        <w:rPr>
          <w:rFonts w:hint="cs"/>
          <w:rtl/>
        </w:rPr>
        <w:t>(</w:t>
      </w:r>
      <w:r w:rsidRPr="008C5C36">
        <w:rPr>
          <w:rtl/>
        </w:rPr>
        <w:t>בבלי</w:t>
      </w:r>
      <w:r w:rsidR="00DF57DE">
        <w:rPr>
          <w:rFonts w:hint="cs"/>
          <w:rtl/>
        </w:rPr>
        <w:t xml:space="preserve"> </w:t>
      </w:r>
      <w:r w:rsidR="00DF57DE">
        <w:rPr>
          <w:rtl/>
        </w:rPr>
        <w:t>מנחות</w:t>
      </w:r>
      <w:r w:rsidR="00DF57DE">
        <w:rPr>
          <w:rFonts w:hint="cs"/>
          <w:rtl/>
        </w:rPr>
        <w:t>,</w:t>
      </w:r>
      <w:r w:rsidRPr="008C5C36">
        <w:rPr>
          <w:rtl/>
        </w:rPr>
        <w:t xml:space="preserve"> מ</w:t>
      </w:r>
      <w:r w:rsidR="00DF57DE">
        <w:rPr>
          <w:rFonts w:hint="cs"/>
          <w:rtl/>
        </w:rPr>
        <w:t>"</w:t>
      </w:r>
      <w:r w:rsidRPr="008C5C36">
        <w:rPr>
          <w:rtl/>
        </w:rPr>
        <w:t xml:space="preserve">ג </w:t>
      </w:r>
      <w:bookmarkStart w:id="0" w:name="_GoBack"/>
      <w:bookmarkEnd w:id="0"/>
      <w:r w:rsidRPr="008C5C36">
        <w:rPr>
          <w:rtl/>
        </w:rPr>
        <w:t>ב</w:t>
      </w:r>
      <w:r w:rsidRPr="008C5C36">
        <w:rPr>
          <w:rFonts w:hint="cs"/>
          <w:rtl/>
        </w:rPr>
        <w:t>)</w:t>
      </w:r>
    </w:p>
    <w:p w:rsidR="008C5C36" w:rsidRPr="008C5C36" w:rsidRDefault="008C5C36" w:rsidP="008C5C36">
      <w:pPr>
        <w:rPr>
          <w:rtl/>
        </w:rPr>
      </w:pPr>
      <w:r w:rsidRPr="008C5C36">
        <w:rPr>
          <w:rFonts w:hint="cs"/>
          <w:rtl/>
        </w:rPr>
        <w:t>הציצית באה להזכיר באופן תמידי שהקב"ה הוא מלכנו. אנחנו לא רשאים לבחון או לנסות אותו בשום צורה, כעבדים לפני מלכם. נחתום בדברי רש"י:</w:t>
      </w:r>
    </w:p>
    <w:p w:rsidR="008C5C36" w:rsidRPr="008C5C36" w:rsidRDefault="00DF57DE" w:rsidP="00DF57DE">
      <w:pPr>
        <w:pStyle w:val="a9"/>
        <w:rPr>
          <w:rtl/>
        </w:rPr>
      </w:pPr>
      <w:r>
        <w:rPr>
          <w:rFonts w:hint="cs"/>
          <w:rtl/>
        </w:rPr>
        <w:t>"</w:t>
      </w:r>
      <w:r w:rsidR="008C5C36" w:rsidRPr="008C5C36">
        <w:rPr>
          <w:rtl/>
        </w:rPr>
        <w:t>אשר הוצאתי אתכם - על מנת כן</w:t>
      </w:r>
      <w:r>
        <w:rPr>
          <w:rtl/>
        </w:rPr>
        <w:t xml:space="preserve"> פדיתי אתכם שתקבלו עליכם </w:t>
      </w:r>
      <w:proofErr w:type="spellStart"/>
      <w:r>
        <w:rPr>
          <w:rtl/>
        </w:rPr>
        <w:t>גזרותי</w:t>
      </w:r>
      <w:proofErr w:type="spellEnd"/>
      <w:r>
        <w:rPr>
          <w:rFonts w:hint="cs"/>
          <w:rtl/>
        </w:rPr>
        <w:t>."</w:t>
      </w:r>
    </w:p>
    <w:p w:rsidR="00E84C14" w:rsidRDefault="00E84C14" w:rsidP="00962B71">
      <w:pPr>
        <w:rPr>
          <w:szCs w:val="20"/>
          <w:rtl/>
        </w:rPr>
      </w:pPr>
    </w:p>
    <w:p w:rsidR="00D3757F" w:rsidRDefault="00D3757F" w:rsidP="00962B71">
      <w:pPr>
        <w:rPr>
          <w:szCs w:val="20"/>
        </w:rPr>
      </w:pPr>
    </w:p>
    <w:p w:rsidR="00D3757F" w:rsidRDefault="00D3757F" w:rsidP="00962B71">
      <w:pPr>
        <w:rPr>
          <w:szCs w:val="20"/>
        </w:rPr>
      </w:pPr>
    </w:p>
    <w:p w:rsidR="00D3757F" w:rsidRDefault="00D3757F" w:rsidP="00962B71">
      <w:pPr>
        <w:rPr>
          <w:szCs w:val="20"/>
        </w:rPr>
      </w:pPr>
    </w:p>
    <w:tbl>
      <w:tblPr>
        <w:tblpPr w:leftFromText="180" w:rightFromText="180" w:vertAnchor="text" w:horzAnchor="margin" w:tblpY="2303"/>
        <w:bidiVisual/>
        <w:tblW w:w="4678" w:type="dxa"/>
        <w:tblLayout w:type="fixed"/>
        <w:tblLook w:val="0000" w:firstRow="0" w:lastRow="0" w:firstColumn="0" w:lastColumn="0" w:noHBand="0" w:noVBand="0"/>
      </w:tblPr>
      <w:tblGrid>
        <w:gridCol w:w="301"/>
        <w:gridCol w:w="4377"/>
      </w:tblGrid>
      <w:tr w:rsidR="00D3757F" w:rsidRPr="00D3757F" w:rsidTr="00B53BB3">
        <w:trPr>
          <w:trHeight w:val="63"/>
        </w:trPr>
        <w:tc>
          <w:tcPr>
            <w:tcW w:w="301" w:type="dxa"/>
            <w:tcBorders>
              <w:top w:val="nil"/>
              <w:left w:val="nil"/>
              <w:bottom w:val="nil"/>
              <w:right w:val="nil"/>
            </w:tcBorders>
          </w:tcPr>
          <w:p w:rsidR="00D3757F" w:rsidRPr="00D3757F" w:rsidRDefault="00D3757F" w:rsidP="00B53BB3">
            <w:pPr>
              <w:pStyle w:val="ab"/>
              <w:rPr>
                <w:noProof w:val="0"/>
                <w:sz w:val="20"/>
                <w:szCs w:val="20"/>
              </w:rPr>
            </w:pPr>
            <w:r w:rsidRPr="00D3757F">
              <w:rPr>
                <w:noProof w:val="0"/>
                <w:sz w:val="20"/>
                <w:szCs w:val="20"/>
                <w:rtl/>
              </w:rPr>
              <w:t>*</w:t>
            </w:r>
          </w:p>
        </w:tc>
        <w:tc>
          <w:tcPr>
            <w:tcW w:w="4377" w:type="dxa"/>
            <w:tcBorders>
              <w:top w:val="nil"/>
              <w:left w:val="nil"/>
              <w:bottom w:val="nil"/>
              <w:right w:val="nil"/>
            </w:tcBorders>
          </w:tcPr>
          <w:p w:rsidR="00D3757F" w:rsidRPr="00D3757F" w:rsidRDefault="00D3757F" w:rsidP="00B53BB3">
            <w:pPr>
              <w:pStyle w:val="ab"/>
              <w:ind w:left="-170" w:right="-170"/>
              <w:rPr>
                <w:noProof w:val="0"/>
                <w:sz w:val="20"/>
                <w:szCs w:val="20"/>
              </w:rPr>
            </w:pPr>
            <w:r w:rsidRPr="00D3757F">
              <w:rPr>
                <w:noProof w:val="0"/>
                <w:sz w:val="20"/>
                <w:szCs w:val="20"/>
                <w:rtl/>
              </w:rPr>
              <w:t>***************************************************************</w:t>
            </w:r>
          </w:p>
        </w:tc>
      </w:tr>
      <w:tr w:rsidR="00D3757F" w:rsidRPr="00D3757F" w:rsidTr="00B53BB3">
        <w:tc>
          <w:tcPr>
            <w:tcW w:w="301" w:type="dxa"/>
            <w:tcBorders>
              <w:top w:val="nil"/>
              <w:left w:val="nil"/>
              <w:bottom w:val="nil"/>
              <w:right w:val="nil"/>
            </w:tcBorders>
          </w:tcPr>
          <w:p w:rsidR="00D3757F" w:rsidRPr="00D3757F" w:rsidRDefault="00D3757F" w:rsidP="00B53BB3">
            <w:pPr>
              <w:pStyle w:val="ab"/>
              <w:rPr>
                <w:noProof w:val="0"/>
                <w:sz w:val="20"/>
                <w:szCs w:val="20"/>
              </w:rPr>
            </w:pPr>
            <w:r w:rsidRPr="00D3757F">
              <w:rPr>
                <w:noProof w:val="0"/>
                <w:sz w:val="20"/>
                <w:szCs w:val="20"/>
                <w:rtl/>
              </w:rPr>
              <w:t>* * * * * * * * * *</w:t>
            </w:r>
          </w:p>
        </w:tc>
        <w:tc>
          <w:tcPr>
            <w:tcW w:w="4377" w:type="dxa"/>
            <w:tcBorders>
              <w:top w:val="nil"/>
              <w:left w:val="nil"/>
              <w:bottom w:val="nil"/>
              <w:right w:val="nil"/>
            </w:tcBorders>
          </w:tcPr>
          <w:p w:rsidR="00D3757F" w:rsidRPr="00D3757F" w:rsidRDefault="00D3757F" w:rsidP="00D3757F">
            <w:pPr>
              <w:pStyle w:val="ab"/>
              <w:rPr>
                <w:rFonts w:hint="cs"/>
                <w:noProof w:val="0"/>
                <w:sz w:val="20"/>
                <w:szCs w:val="20"/>
                <w:rtl/>
              </w:rPr>
            </w:pPr>
            <w:r w:rsidRPr="00D3757F">
              <w:rPr>
                <w:noProof w:val="0"/>
                <w:sz w:val="20"/>
                <w:szCs w:val="20"/>
                <w:rtl/>
              </w:rPr>
              <w:t>כל הזכויות שמורות לישיבת הר עציון</w:t>
            </w:r>
            <w:r w:rsidRPr="00D3757F">
              <w:rPr>
                <w:rFonts w:hint="cs"/>
                <w:noProof w:val="0"/>
                <w:sz w:val="20"/>
                <w:szCs w:val="20"/>
                <w:rtl/>
              </w:rPr>
              <w:t xml:space="preserve"> </w:t>
            </w:r>
            <w:r>
              <w:rPr>
                <w:rFonts w:hint="cs"/>
                <w:noProof w:val="0"/>
                <w:sz w:val="20"/>
                <w:szCs w:val="20"/>
                <w:rtl/>
              </w:rPr>
              <w:t xml:space="preserve">ולרב משה </w:t>
            </w:r>
            <w:proofErr w:type="spellStart"/>
            <w:r>
              <w:rPr>
                <w:rFonts w:hint="cs"/>
                <w:noProof w:val="0"/>
                <w:sz w:val="20"/>
                <w:szCs w:val="20"/>
                <w:rtl/>
              </w:rPr>
              <w:t>ליכטשנטיין</w:t>
            </w:r>
            <w:proofErr w:type="spellEnd"/>
          </w:p>
          <w:p w:rsidR="00D3757F" w:rsidRPr="00D3757F" w:rsidRDefault="00D3757F" w:rsidP="00B53BB3">
            <w:pPr>
              <w:pStyle w:val="ab"/>
              <w:rPr>
                <w:rFonts w:ascii="Times New Roman" w:hAnsi="Times New Roman" w:cs="Times New Roman"/>
                <w:noProof w:val="0"/>
                <w:sz w:val="20"/>
                <w:szCs w:val="20"/>
                <w:rtl/>
              </w:rPr>
            </w:pPr>
            <w:r w:rsidRPr="00D3757F">
              <w:rPr>
                <w:rFonts w:hint="cs"/>
                <w:noProof w:val="0"/>
                <w:sz w:val="20"/>
                <w:szCs w:val="20"/>
                <w:rtl/>
              </w:rPr>
              <w:t>עורך: אלישע אורון, תשע"ט</w:t>
            </w:r>
          </w:p>
          <w:p w:rsidR="00D3757F" w:rsidRPr="00D3757F" w:rsidRDefault="00D3757F" w:rsidP="00B53BB3">
            <w:pPr>
              <w:pStyle w:val="ab"/>
              <w:rPr>
                <w:noProof w:val="0"/>
                <w:sz w:val="20"/>
                <w:szCs w:val="20"/>
                <w:rtl/>
              </w:rPr>
            </w:pPr>
            <w:r w:rsidRPr="00D3757F">
              <w:rPr>
                <w:noProof w:val="0"/>
                <w:sz w:val="20"/>
                <w:szCs w:val="20"/>
                <w:rtl/>
              </w:rPr>
              <w:t>*******************************************************</w:t>
            </w:r>
          </w:p>
          <w:p w:rsidR="00D3757F" w:rsidRPr="00D3757F" w:rsidRDefault="00D3757F" w:rsidP="00B53BB3">
            <w:pPr>
              <w:pStyle w:val="ab"/>
              <w:rPr>
                <w:noProof w:val="0"/>
                <w:sz w:val="20"/>
                <w:szCs w:val="20"/>
                <w:rtl/>
              </w:rPr>
            </w:pPr>
          </w:p>
          <w:p w:rsidR="00D3757F" w:rsidRPr="00D3757F" w:rsidRDefault="00D3757F" w:rsidP="00B53BB3">
            <w:pPr>
              <w:pStyle w:val="ab"/>
              <w:rPr>
                <w:noProof w:val="0"/>
                <w:sz w:val="20"/>
                <w:szCs w:val="20"/>
                <w:rtl/>
              </w:rPr>
            </w:pPr>
            <w:r w:rsidRPr="00D3757F">
              <w:rPr>
                <w:noProof w:val="0"/>
                <w:sz w:val="20"/>
                <w:szCs w:val="20"/>
                <w:rtl/>
              </w:rPr>
              <w:t xml:space="preserve">בית המדרש </w:t>
            </w:r>
            <w:proofErr w:type="spellStart"/>
            <w:r w:rsidRPr="00D3757F">
              <w:rPr>
                <w:noProof w:val="0"/>
                <w:sz w:val="20"/>
                <w:szCs w:val="20"/>
                <w:rtl/>
              </w:rPr>
              <w:t>הוירטואלי</w:t>
            </w:r>
            <w:proofErr w:type="spellEnd"/>
            <w:r w:rsidRPr="00D3757F">
              <w:rPr>
                <w:noProof w:val="0"/>
                <w:sz w:val="20"/>
                <w:szCs w:val="20"/>
                <w:rtl/>
              </w:rPr>
              <w:t xml:space="preserve"> שליד ישיבת הר עציון</w:t>
            </w:r>
          </w:p>
          <w:p w:rsidR="00D3757F" w:rsidRPr="00D3757F" w:rsidRDefault="00D3757F" w:rsidP="00B53BB3">
            <w:pPr>
              <w:pStyle w:val="ab"/>
              <w:rPr>
                <w:noProof w:val="0"/>
                <w:sz w:val="20"/>
                <w:szCs w:val="20"/>
                <w:rtl/>
              </w:rPr>
            </w:pPr>
            <w:hyperlink r:id="rId7" w:history="1">
              <w:r w:rsidRPr="00D3757F">
                <w:rPr>
                  <w:rStyle w:val="Hyperlink"/>
                  <w:rFonts w:eastAsiaTheme="majorEastAsia"/>
                  <w:sz w:val="20"/>
                  <w:szCs w:val="20"/>
                </w:rPr>
                <w:t>http://www.etzion.org.il</w:t>
              </w:r>
            </w:hyperlink>
          </w:p>
          <w:p w:rsidR="00D3757F" w:rsidRPr="00D3757F" w:rsidRDefault="00D3757F" w:rsidP="00B53BB3">
            <w:pPr>
              <w:pStyle w:val="ab"/>
              <w:rPr>
                <w:noProof w:val="0"/>
                <w:sz w:val="20"/>
                <w:szCs w:val="20"/>
                <w:rtl/>
              </w:rPr>
            </w:pPr>
          </w:p>
          <w:p w:rsidR="00D3757F" w:rsidRPr="00D3757F" w:rsidRDefault="00D3757F" w:rsidP="00B53BB3">
            <w:pPr>
              <w:pStyle w:val="ab"/>
              <w:rPr>
                <w:noProof w:val="0"/>
                <w:sz w:val="20"/>
                <w:szCs w:val="20"/>
                <w:rtl/>
              </w:rPr>
            </w:pPr>
            <w:r w:rsidRPr="00D3757F">
              <w:rPr>
                <w:noProof w:val="0"/>
                <w:sz w:val="20"/>
                <w:szCs w:val="20"/>
                <w:rtl/>
              </w:rPr>
              <w:t xml:space="preserve">משרדי בית המדרש </w:t>
            </w:r>
            <w:proofErr w:type="spellStart"/>
            <w:r w:rsidRPr="00D3757F">
              <w:rPr>
                <w:noProof w:val="0"/>
                <w:sz w:val="20"/>
                <w:szCs w:val="20"/>
                <w:rtl/>
              </w:rPr>
              <w:t>הוירטואלי</w:t>
            </w:r>
            <w:proofErr w:type="spellEnd"/>
            <w:r w:rsidRPr="00D3757F">
              <w:rPr>
                <w:noProof w:val="0"/>
                <w:sz w:val="20"/>
                <w:szCs w:val="20"/>
                <w:rtl/>
              </w:rPr>
              <w:t xml:space="preserve">: 02-9937300 שלוחה 5 </w:t>
            </w:r>
          </w:p>
          <w:p w:rsidR="00D3757F" w:rsidRPr="00D3757F" w:rsidRDefault="00D3757F" w:rsidP="00B53BB3">
            <w:pPr>
              <w:pStyle w:val="ab"/>
              <w:rPr>
                <w:noProof w:val="0"/>
                <w:sz w:val="20"/>
                <w:szCs w:val="20"/>
              </w:rPr>
            </w:pPr>
            <w:r w:rsidRPr="00D3757F">
              <w:rPr>
                <w:noProof w:val="0"/>
                <w:sz w:val="20"/>
                <w:szCs w:val="20"/>
                <w:rtl/>
              </w:rPr>
              <w:t xml:space="preserve">דואל: </w:t>
            </w:r>
            <w:hyperlink r:id="rId8" w:history="1">
              <w:r w:rsidRPr="00D3757F">
                <w:rPr>
                  <w:rStyle w:val="Hyperlink"/>
                  <w:rFonts w:eastAsiaTheme="majorEastAsia"/>
                  <w:sz w:val="20"/>
                  <w:szCs w:val="20"/>
                </w:rPr>
                <w:t>office@etzion.org.il</w:t>
              </w:r>
            </w:hyperlink>
          </w:p>
        </w:tc>
      </w:tr>
      <w:tr w:rsidR="00D3757F" w:rsidRPr="00D3757F" w:rsidTr="00B53BB3">
        <w:tc>
          <w:tcPr>
            <w:tcW w:w="301" w:type="dxa"/>
            <w:tcBorders>
              <w:top w:val="nil"/>
              <w:left w:val="nil"/>
              <w:bottom w:val="nil"/>
              <w:right w:val="nil"/>
            </w:tcBorders>
          </w:tcPr>
          <w:p w:rsidR="00D3757F" w:rsidRPr="00D3757F" w:rsidRDefault="00D3757F" w:rsidP="00B53BB3">
            <w:pPr>
              <w:pStyle w:val="ab"/>
              <w:rPr>
                <w:noProof w:val="0"/>
                <w:sz w:val="20"/>
                <w:szCs w:val="20"/>
              </w:rPr>
            </w:pPr>
            <w:r w:rsidRPr="00D3757F">
              <w:rPr>
                <w:noProof w:val="0"/>
                <w:sz w:val="20"/>
                <w:szCs w:val="20"/>
                <w:rtl/>
              </w:rPr>
              <w:t>*</w:t>
            </w:r>
          </w:p>
        </w:tc>
        <w:tc>
          <w:tcPr>
            <w:tcW w:w="4377" w:type="dxa"/>
            <w:tcBorders>
              <w:top w:val="nil"/>
              <w:left w:val="nil"/>
              <w:bottom w:val="nil"/>
              <w:right w:val="nil"/>
            </w:tcBorders>
          </w:tcPr>
          <w:p w:rsidR="00D3757F" w:rsidRPr="00D3757F" w:rsidRDefault="00D3757F" w:rsidP="00D3757F">
            <w:pPr>
              <w:pStyle w:val="ab"/>
              <w:ind w:left="-227" w:right="-227"/>
              <w:rPr>
                <w:noProof w:val="0"/>
                <w:sz w:val="20"/>
                <w:szCs w:val="20"/>
              </w:rPr>
            </w:pPr>
            <w:r w:rsidRPr="00D3757F">
              <w:rPr>
                <w:noProof w:val="0"/>
                <w:sz w:val="20"/>
                <w:szCs w:val="20"/>
                <w:rtl/>
              </w:rPr>
              <w:t>**********************************************</w:t>
            </w:r>
          </w:p>
        </w:tc>
      </w:tr>
      <w:tr w:rsidR="00D3757F" w:rsidRPr="00D3757F" w:rsidTr="00B53BB3">
        <w:trPr>
          <w:trHeight w:val="63"/>
        </w:trPr>
        <w:tc>
          <w:tcPr>
            <w:tcW w:w="301" w:type="dxa"/>
            <w:tcBorders>
              <w:top w:val="nil"/>
              <w:left w:val="nil"/>
              <w:bottom w:val="nil"/>
              <w:right w:val="nil"/>
            </w:tcBorders>
          </w:tcPr>
          <w:p w:rsidR="00D3757F" w:rsidRPr="00D3757F" w:rsidRDefault="00D3757F" w:rsidP="00B53BB3">
            <w:pPr>
              <w:pStyle w:val="ab"/>
              <w:rPr>
                <w:noProof w:val="0"/>
                <w:sz w:val="20"/>
                <w:szCs w:val="20"/>
              </w:rPr>
            </w:pPr>
          </w:p>
        </w:tc>
        <w:tc>
          <w:tcPr>
            <w:tcW w:w="4377" w:type="dxa"/>
            <w:tcBorders>
              <w:top w:val="nil"/>
              <w:left w:val="nil"/>
              <w:bottom w:val="nil"/>
              <w:right w:val="nil"/>
            </w:tcBorders>
          </w:tcPr>
          <w:p w:rsidR="00D3757F" w:rsidRPr="00D3757F" w:rsidRDefault="00D3757F" w:rsidP="00B53BB3">
            <w:pPr>
              <w:pStyle w:val="ab"/>
              <w:ind w:left="-170" w:right="-170"/>
              <w:rPr>
                <w:noProof w:val="0"/>
                <w:sz w:val="20"/>
                <w:szCs w:val="20"/>
              </w:rPr>
            </w:pPr>
          </w:p>
        </w:tc>
      </w:tr>
      <w:tr w:rsidR="00D3757F" w:rsidRPr="00D3757F" w:rsidTr="00B53BB3">
        <w:tc>
          <w:tcPr>
            <w:tcW w:w="301" w:type="dxa"/>
            <w:tcBorders>
              <w:top w:val="nil"/>
              <w:left w:val="nil"/>
              <w:bottom w:val="nil"/>
              <w:right w:val="nil"/>
            </w:tcBorders>
          </w:tcPr>
          <w:p w:rsidR="00D3757F" w:rsidRPr="00D3757F" w:rsidRDefault="00D3757F" w:rsidP="00B53BB3">
            <w:pPr>
              <w:pStyle w:val="ab"/>
              <w:rPr>
                <w:noProof w:val="0"/>
                <w:sz w:val="20"/>
                <w:szCs w:val="20"/>
              </w:rPr>
            </w:pPr>
          </w:p>
        </w:tc>
        <w:tc>
          <w:tcPr>
            <w:tcW w:w="4377" w:type="dxa"/>
            <w:tcBorders>
              <w:top w:val="nil"/>
              <w:left w:val="nil"/>
              <w:bottom w:val="nil"/>
              <w:right w:val="nil"/>
            </w:tcBorders>
          </w:tcPr>
          <w:p w:rsidR="00D3757F" w:rsidRPr="00D3757F" w:rsidRDefault="00D3757F" w:rsidP="00B53BB3">
            <w:pPr>
              <w:pStyle w:val="ab"/>
              <w:rPr>
                <w:noProof w:val="0"/>
                <w:sz w:val="20"/>
                <w:szCs w:val="20"/>
              </w:rPr>
            </w:pPr>
          </w:p>
        </w:tc>
      </w:tr>
      <w:tr w:rsidR="00D3757F" w:rsidRPr="00D3757F" w:rsidTr="00B53BB3">
        <w:tc>
          <w:tcPr>
            <w:tcW w:w="301" w:type="dxa"/>
            <w:tcBorders>
              <w:top w:val="nil"/>
              <w:left w:val="nil"/>
              <w:bottom w:val="nil"/>
              <w:right w:val="nil"/>
            </w:tcBorders>
          </w:tcPr>
          <w:p w:rsidR="00D3757F" w:rsidRPr="00D3757F" w:rsidRDefault="00D3757F" w:rsidP="00B53BB3">
            <w:pPr>
              <w:pStyle w:val="ab"/>
              <w:rPr>
                <w:noProof w:val="0"/>
                <w:sz w:val="20"/>
                <w:szCs w:val="20"/>
              </w:rPr>
            </w:pPr>
          </w:p>
        </w:tc>
        <w:tc>
          <w:tcPr>
            <w:tcW w:w="4377" w:type="dxa"/>
            <w:tcBorders>
              <w:top w:val="nil"/>
              <w:left w:val="nil"/>
              <w:bottom w:val="nil"/>
              <w:right w:val="nil"/>
            </w:tcBorders>
          </w:tcPr>
          <w:p w:rsidR="00D3757F" w:rsidRPr="00D3757F" w:rsidRDefault="00D3757F" w:rsidP="00B53BB3">
            <w:pPr>
              <w:pStyle w:val="ab"/>
              <w:ind w:left="-227" w:right="-227"/>
              <w:rPr>
                <w:noProof w:val="0"/>
                <w:sz w:val="20"/>
                <w:szCs w:val="20"/>
              </w:rPr>
            </w:pPr>
          </w:p>
        </w:tc>
      </w:tr>
    </w:tbl>
    <w:p w:rsidR="00D3757F" w:rsidRPr="00962B71" w:rsidRDefault="00D3757F" w:rsidP="00DA3B9C">
      <w:pPr>
        <w:rPr>
          <w:szCs w:val="20"/>
          <w:rtl/>
        </w:rPr>
      </w:pPr>
    </w:p>
    <w:sectPr w:rsidR="00D3757F" w:rsidRPr="00962B71">
      <w:headerReference w:type="default" r:id="rId9"/>
      <w:headerReference w:type="firs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7DA" w:rsidRDefault="007D17DA">
      <w:r>
        <w:separator/>
      </w:r>
    </w:p>
  </w:endnote>
  <w:endnote w:type="continuationSeparator" w:id="0">
    <w:p w:rsidR="007D17DA" w:rsidRDefault="007D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Guttman Keren">
    <w:altName w:val="Courier New"/>
    <w:panose1 w:val="00000000000000000000"/>
    <w:charset w:val="B1"/>
    <w:family w:val="auto"/>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7DA" w:rsidRDefault="007D17DA">
      <w:r>
        <w:separator/>
      </w:r>
    </w:p>
  </w:footnote>
  <w:footnote w:type="continuationSeparator" w:id="0">
    <w:p w:rsidR="007D17DA" w:rsidRDefault="007D17DA">
      <w:r>
        <w:continuationSeparator/>
      </w:r>
    </w:p>
  </w:footnote>
  <w:footnote w:id="1">
    <w:p w:rsidR="008C5C36" w:rsidRDefault="008C5C36">
      <w:pPr>
        <w:pStyle w:val="a3"/>
        <w:rPr>
          <w:rFonts w:hint="cs"/>
        </w:rPr>
      </w:pPr>
      <w:r>
        <w:rPr>
          <w:rStyle w:val="a5"/>
        </w:rPr>
        <w:footnoteRef/>
      </w:r>
      <w:r>
        <w:rPr>
          <w:rtl/>
        </w:rPr>
        <w:t xml:space="preserve"> </w:t>
      </w:r>
      <w:r>
        <w:rPr>
          <w:rFonts w:hint="cs"/>
          <w:rtl/>
        </w:rPr>
        <w:t>השיחה נאמרה בשבת שלח תשע"ז וסוכמה ע"י יאיר אוסטר.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F57DE">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c>
        <w:tcPr>
          <w:tcW w:w="4927" w:type="dxa"/>
          <w:tcBorders>
            <w:top w:val="nil"/>
            <w:left w:val="nil"/>
            <w:bottom w:val="double" w:sz="4" w:space="0" w:color="auto"/>
            <w:right w:val="nil"/>
          </w:tcBorders>
        </w:tcPr>
        <w:p w:rsidR="00680CBB" w:rsidRDefault="00680CBB">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680CBB" w:rsidRDefault="00AB6820">
          <w:pPr>
            <w:pStyle w:val="a6"/>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rsidR="00680CBB" w:rsidRDefault="00623A8D" w:rsidP="00623A8D">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680CBB" w:rsidRDefault="00680CBB">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384E"/>
    <w:rsid w:val="000317E0"/>
    <w:rsid w:val="00071D14"/>
    <w:rsid w:val="001047F4"/>
    <w:rsid w:val="00130F07"/>
    <w:rsid w:val="001B7DE9"/>
    <w:rsid w:val="001D787B"/>
    <w:rsid w:val="001E4D01"/>
    <w:rsid w:val="001F0DF4"/>
    <w:rsid w:val="002012E1"/>
    <w:rsid w:val="0022219D"/>
    <w:rsid w:val="00234599"/>
    <w:rsid w:val="00307245"/>
    <w:rsid w:val="003C0732"/>
    <w:rsid w:val="003D3221"/>
    <w:rsid w:val="004014D2"/>
    <w:rsid w:val="00431FA5"/>
    <w:rsid w:val="004716FE"/>
    <w:rsid w:val="004A437A"/>
    <w:rsid w:val="004B1B50"/>
    <w:rsid w:val="004B6230"/>
    <w:rsid w:val="004C2CC9"/>
    <w:rsid w:val="00544C6A"/>
    <w:rsid w:val="005F363D"/>
    <w:rsid w:val="00623A8D"/>
    <w:rsid w:val="0062477E"/>
    <w:rsid w:val="00660095"/>
    <w:rsid w:val="006741E6"/>
    <w:rsid w:val="00680CBB"/>
    <w:rsid w:val="006D4244"/>
    <w:rsid w:val="00731FFA"/>
    <w:rsid w:val="007509AD"/>
    <w:rsid w:val="007738DC"/>
    <w:rsid w:val="007915D4"/>
    <w:rsid w:val="007D17DA"/>
    <w:rsid w:val="00872B89"/>
    <w:rsid w:val="00887EF6"/>
    <w:rsid w:val="00890EC2"/>
    <w:rsid w:val="008C5C36"/>
    <w:rsid w:val="00900E7B"/>
    <w:rsid w:val="0094617E"/>
    <w:rsid w:val="00962B71"/>
    <w:rsid w:val="009737F2"/>
    <w:rsid w:val="009A0FB2"/>
    <w:rsid w:val="009E2A27"/>
    <w:rsid w:val="009F5CA3"/>
    <w:rsid w:val="009F78BF"/>
    <w:rsid w:val="00A212D6"/>
    <w:rsid w:val="00A220ED"/>
    <w:rsid w:val="00A70ABB"/>
    <w:rsid w:val="00AA4FCC"/>
    <w:rsid w:val="00AB317D"/>
    <w:rsid w:val="00AB6820"/>
    <w:rsid w:val="00AC29CA"/>
    <w:rsid w:val="00B13698"/>
    <w:rsid w:val="00B35732"/>
    <w:rsid w:val="00B43B41"/>
    <w:rsid w:val="00B642A8"/>
    <w:rsid w:val="00B70AE0"/>
    <w:rsid w:val="00B74501"/>
    <w:rsid w:val="00BA12FB"/>
    <w:rsid w:val="00C17577"/>
    <w:rsid w:val="00C47FB6"/>
    <w:rsid w:val="00C5614D"/>
    <w:rsid w:val="00C92E13"/>
    <w:rsid w:val="00CB3A68"/>
    <w:rsid w:val="00D0716C"/>
    <w:rsid w:val="00D3757F"/>
    <w:rsid w:val="00D513FE"/>
    <w:rsid w:val="00DA2AB7"/>
    <w:rsid w:val="00DA3B9C"/>
    <w:rsid w:val="00DB6A88"/>
    <w:rsid w:val="00DC3E96"/>
    <w:rsid w:val="00DF57DE"/>
    <w:rsid w:val="00E14B87"/>
    <w:rsid w:val="00E15D8D"/>
    <w:rsid w:val="00E22FEA"/>
    <w:rsid w:val="00E42A89"/>
    <w:rsid w:val="00E84C14"/>
    <w:rsid w:val="00EB6B1C"/>
    <w:rsid w:val="00EC6946"/>
    <w:rsid w:val="00F3664E"/>
    <w:rsid w:val="00F506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AAFC8-B7E9-4834-A6FB-F562E6B5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paragraph" w:styleId="a3">
    <w:name w:val="footnote text"/>
    <w:aliases w:val="הערת שוליים,הערה"/>
    <w:basedOn w:val="a"/>
    <w:link w:val="a4"/>
    <w:qFormat/>
    <w:pPr>
      <w:spacing w:line="220" w:lineRule="exact"/>
      <w:ind w:left="284" w:hanging="284"/>
    </w:pPr>
    <w:rPr>
      <w:position w:val="6"/>
      <w:szCs w:val="18"/>
    </w:rPr>
  </w:style>
  <w:style w:type="character" w:customStyle="1" w:styleId="a4">
    <w:name w:val="טקסט הערת שוליים תו"/>
    <w:aliases w:val="הערת שוליים תו,הערה תו"/>
    <w:basedOn w:val="a0"/>
    <w:link w:val="a3"/>
    <w:locked/>
    <w:rPr>
      <w:rFonts w:cs="Narkisim"/>
      <w:sz w:val="20"/>
      <w:szCs w:val="20"/>
    </w:rPr>
  </w:style>
  <w:style w:type="character" w:styleId="a5">
    <w:name w:val="footnote reference"/>
    <w:basedOn w:val="a0"/>
    <w:rPr>
      <w:rFonts w:ascii="Narkisim" w:hAnsi="Narkisim" w:cs="Narkisim"/>
      <w:position w:val="6"/>
      <w:sz w:val="18"/>
      <w:szCs w:val="18"/>
      <w:lang w:bidi="he-IL"/>
    </w:rPr>
  </w:style>
  <w:style w:type="character" w:styleId="Hyperlink">
    <w:name w:val="Hyperlink"/>
    <w:basedOn w:val="a0"/>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locked/>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basedOn w:val="a0"/>
    <w:link w:val="a9"/>
    <w:locked/>
    <w:rPr>
      <w:rFonts w:cs="Narkisim"/>
      <w:i/>
      <w:iCs/>
      <w:color w:val="404040" w:themeColor="text1" w:themeTint="BF"/>
      <w:sz w:val="2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basedOn w:val="a0"/>
    <w:link w:val="ac"/>
    <w:uiPriority w:val="99"/>
    <w:semiHidden/>
    <w:locked/>
    <w:rPr>
      <w:rFonts w:cs="Narkisim"/>
      <w:sz w:val="20"/>
    </w:rPr>
  </w:style>
  <w:style w:type="character" w:styleId="ae">
    <w:name w:val="page number"/>
    <w:basedOn w:val="a0"/>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paragraph" w:customStyle="1" w:styleId="100">
    <w:name w:val="ציטוט קרן 10"/>
    <w:basedOn w:val="a"/>
    <w:link w:val="101"/>
    <w:qFormat/>
    <w:rsid w:val="0001384E"/>
    <w:pPr>
      <w:autoSpaceDE/>
      <w:autoSpaceDN/>
      <w:spacing w:after="200" w:line="276" w:lineRule="auto"/>
    </w:pPr>
    <w:rPr>
      <w:rFonts w:ascii="Rockwell" w:hAnsi="Rockwell" w:cs="Guttman Keren"/>
      <w:szCs w:val="20"/>
    </w:rPr>
  </w:style>
  <w:style w:type="character" w:customStyle="1" w:styleId="101">
    <w:name w:val="ציטוט קרן 10 תו"/>
    <w:link w:val="100"/>
    <w:locked/>
    <w:rsid w:val="0001384E"/>
    <w:rPr>
      <w:rFonts w:ascii="Rockwell" w:eastAsia="Times New Roman" w:hAnsi="Rockwell"/>
      <w:sz w:val="20"/>
    </w:rPr>
  </w:style>
  <w:style w:type="paragraph" w:styleId="af">
    <w:name w:val="Body Text"/>
    <w:basedOn w:val="a"/>
    <w:link w:val="af0"/>
    <w:uiPriority w:val="99"/>
    <w:unhideWhenUsed/>
    <w:rsid w:val="0001384E"/>
    <w:pPr>
      <w:autoSpaceDE/>
      <w:autoSpaceDN/>
      <w:spacing w:after="200" w:line="276" w:lineRule="auto"/>
    </w:pPr>
    <w:rPr>
      <w:rFonts w:ascii="Rockwell" w:hAnsi="Rockwell" w:cs="David"/>
      <w:sz w:val="24"/>
      <w:szCs w:val="24"/>
    </w:rPr>
  </w:style>
  <w:style w:type="character" w:customStyle="1" w:styleId="af0">
    <w:name w:val="גוף טקסט תו"/>
    <w:basedOn w:val="a0"/>
    <w:link w:val="af"/>
    <w:uiPriority w:val="99"/>
    <w:locked/>
    <w:rsid w:val="0001384E"/>
    <w:rPr>
      <w:rFonts w:ascii="Rockwell" w:eastAsia="Times New Roman" w:hAnsi="Rockwell" w:cs="David"/>
      <w:sz w:val="24"/>
      <w:szCs w:val="24"/>
    </w:rPr>
  </w:style>
  <w:style w:type="paragraph" w:customStyle="1" w:styleId="11">
    <w:name w:val="רגיל1"/>
    <w:basedOn w:val="a"/>
    <w:rsid w:val="00DB6A88"/>
    <w:pPr>
      <w:autoSpaceDE/>
      <w:autoSpaceDN/>
      <w:bidi w:val="0"/>
      <w:spacing w:before="100" w:beforeAutospacing="1" w:after="100" w:afterAutospacing="1" w:line="240" w:lineRule="auto"/>
      <w:jc w:val="left"/>
    </w:pPr>
    <w:rPr>
      <w:rFonts w:cs="Times New Roman"/>
      <w:sz w:val="24"/>
      <w:szCs w:val="24"/>
    </w:rPr>
  </w:style>
  <w:style w:type="paragraph" w:customStyle="1" w:styleId="quotation">
    <w:name w:val="quotation"/>
    <w:basedOn w:val="a"/>
    <w:rsid w:val="00DB6A88"/>
    <w:pPr>
      <w:autoSpaceDE/>
      <w:autoSpaceDN/>
      <w:bidi w:val="0"/>
      <w:spacing w:before="100" w:beforeAutospacing="1" w:after="100" w:afterAutospacing="1" w:line="240" w:lineRule="auto"/>
      <w:jc w:val="left"/>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633758">
      <w:marLeft w:val="0"/>
      <w:marRight w:val="0"/>
      <w:marTop w:val="0"/>
      <w:marBottom w:val="0"/>
      <w:divBdr>
        <w:top w:val="none" w:sz="0" w:space="0" w:color="auto"/>
        <w:left w:val="none" w:sz="0" w:space="0" w:color="auto"/>
        <w:bottom w:val="none" w:sz="0" w:space="0" w:color="auto"/>
        <w:right w:val="none" w:sz="0" w:space="0" w:color="auto"/>
      </w:divBdr>
      <w:divsChild>
        <w:div w:id="157863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771</Words>
  <Characters>3860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3</cp:revision>
  <cp:lastPrinted>2001-10-24T10:13:00Z</cp:lastPrinted>
  <dcterms:created xsi:type="dcterms:W3CDTF">2019-06-20T10:51:00Z</dcterms:created>
  <dcterms:modified xsi:type="dcterms:W3CDTF">2019-06-20T11:08:00Z</dcterms:modified>
</cp:coreProperties>
</file>