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36C19E67" w:rsidR="00685E21" w:rsidRDefault="00685E21" w:rsidP="00C20096">
      <w:pPr>
        <w:pStyle w:val="ad"/>
        <w:rPr>
          <w:sz w:val="26"/>
          <w:szCs w:val="26"/>
        </w:rPr>
      </w:pPr>
      <w:r>
        <w:rPr>
          <w:sz w:val="26"/>
          <w:szCs w:val="26"/>
          <w:rtl/>
        </w:rPr>
        <w:t>הרב</w:t>
      </w:r>
      <w:r w:rsidR="005E10BA">
        <w:rPr>
          <w:rFonts w:hint="cs"/>
          <w:sz w:val="26"/>
          <w:szCs w:val="26"/>
          <w:rtl/>
        </w:rPr>
        <w:t xml:space="preserve"> </w:t>
      </w:r>
      <w:r w:rsidR="00C20096">
        <w:rPr>
          <w:rFonts w:hint="cs"/>
          <w:sz w:val="26"/>
          <w:szCs w:val="26"/>
          <w:rtl/>
        </w:rPr>
        <w:t>ברוך גיגי</w:t>
      </w:r>
      <w:r w:rsidR="007D61B8">
        <w:rPr>
          <w:rFonts w:hint="cs"/>
          <w:sz w:val="26"/>
          <w:szCs w:val="26"/>
          <w:rtl/>
        </w:rPr>
        <w:t xml:space="preserve"> שליט"א</w:t>
      </w:r>
    </w:p>
    <w:p w14:paraId="36B8B1BA" w14:textId="2546D53F" w:rsidR="00685E21" w:rsidRPr="00CB1F5F" w:rsidRDefault="00685E21" w:rsidP="00CB1F5F">
      <w:pPr>
        <w:pStyle w:val="ad"/>
        <w:rPr>
          <w:sz w:val="26"/>
          <w:szCs w:val="26"/>
          <w:rtl/>
        </w:rPr>
      </w:pPr>
      <w:r w:rsidRPr="00CB1F5F">
        <w:rPr>
          <w:sz w:val="26"/>
          <w:szCs w:val="26"/>
          <w:rtl/>
        </w:rPr>
        <w:t>שיחה לפרשת</w:t>
      </w:r>
      <w:r w:rsidR="008C591D" w:rsidRPr="00CB1F5F">
        <w:rPr>
          <w:rFonts w:hint="cs"/>
          <w:sz w:val="26"/>
          <w:szCs w:val="26"/>
          <w:rtl/>
        </w:rPr>
        <w:t xml:space="preserve"> </w:t>
      </w:r>
      <w:r w:rsidR="00CB1F5F" w:rsidRPr="00CB1F5F">
        <w:rPr>
          <w:rFonts w:hint="cs"/>
          <w:sz w:val="26"/>
          <w:szCs w:val="26"/>
          <w:rtl/>
        </w:rPr>
        <w:t xml:space="preserve">כי </w:t>
      </w:r>
      <w:r w:rsidR="00CB1F5F" w:rsidRPr="00CB1F5F">
        <w:rPr>
          <w:sz w:val="26"/>
          <w:szCs w:val="26"/>
          <w:rtl/>
        </w:rPr>
        <w:t>ת</w:t>
      </w:r>
      <w:r w:rsidR="00CB1F5F" w:rsidRPr="00CB1F5F">
        <w:rPr>
          <w:rFonts w:hint="cs"/>
          <w:sz w:val="26"/>
          <w:szCs w:val="26"/>
          <w:rtl/>
        </w:rPr>
        <w:t>צא</w:t>
      </w:r>
    </w:p>
    <w:p w14:paraId="6686ED28" w14:textId="2FE61E11" w:rsidR="00685E21" w:rsidRPr="00761263" w:rsidRDefault="00684EAE" w:rsidP="00CB1F5F">
      <w:pPr>
        <w:pStyle w:val="1"/>
        <w:rPr>
          <w:sz w:val="22"/>
          <w:szCs w:val="46"/>
        </w:rPr>
      </w:pPr>
      <w:bookmarkStart w:id="0" w:name="OLE_LINK1"/>
      <w:r>
        <w:rPr>
          <w:rFonts w:hint="cs"/>
          <w:rtl/>
        </w:rPr>
        <w:t xml:space="preserve">איסור </w:t>
      </w:r>
      <w:r w:rsidR="00CB1F5F">
        <w:rPr>
          <w:rFonts w:hint="cs"/>
          <w:rtl/>
        </w:rPr>
        <w:t>כלאים</w:t>
      </w:r>
      <w:r w:rsidR="00685E21">
        <w:rPr>
          <w:rStyle w:val="aa"/>
          <w:rFonts w:eastAsiaTheme="majorEastAsia" w:hint="cs"/>
          <w:szCs w:val="20"/>
          <w:rtl/>
        </w:rPr>
        <w:footnoteReference w:customMarkFollows="1" w:id="1"/>
        <w:t>*</w:t>
      </w:r>
    </w:p>
    <w:bookmarkEnd w:id="0"/>
    <w:p w14:paraId="118BFA67" w14:textId="753ED392" w:rsidR="00CB1F5F" w:rsidRDefault="00CB1F5F" w:rsidP="00CB1F5F">
      <w:pPr>
        <w:rPr>
          <w:rtl/>
        </w:rPr>
      </w:pPr>
      <w:r>
        <w:rPr>
          <w:rFonts w:hint="cs"/>
          <w:rtl/>
        </w:rPr>
        <w:t>שלוש פרשו</w:t>
      </w:r>
      <w:r>
        <w:rPr>
          <w:rtl/>
        </w:rPr>
        <w:t>ת</w:t>
      </w:r>
      <w:r>
        <w:rPr>
          <w:rFonts w:hint="cs"/>
          <w:rtl/>
        </w:rPr>
        <w:t xml:space="preserve"> מפורסמו</w:t>
      </w:r>
      <w:r>
        <w:rPr>
          <w:rtl/>
        </w:rPr>
        <w:t>ת</w:t>
      </w:r>
      <w:r>
        <w:rPr>
          <w:rFonts w:hint="cs"/>
          <w:rtl/>
        </w:rPr>
        <w:t xml:space="preserve"> בריבוי המצוו</w:t>
      </w:r>
      <w:r>
        <w:rPr>
          <w:rtl/>
        </w:rPr>
        <w:t>ת</w:t>
      </w:r>
      <w:r>
        <w:rPr>
          <w:rFonts w:hint="cs"/>
          <w:rtl/>
        </w:rPr>
        <w:t xml:space="preserve"> שלהן: פרש</w:t>
      </w:r>
      <w:r>
        <w:rPr>
          <w:rtl/>
        </w:rPr>
        <w:t>ת</w:t>
      </w:r>
      <w:r>
        <w:rPr>
          <w:rFonts w:hint="cs"/>
          <w:rtl/>
        </w:rPr>
        <w:t xml:space="preserve"> משפטים, פרש</w:t>
      </w:r>
      <w:r>
        <w:rPr>
          <w:rtl/>
        </w:rPr>
        <w:t>ת</w:t>
      </w:r>
      <w:r>
        <w:rPr>
          <w:rFonts w:hint="cs"/>
          <w:rtl/>
        </w:rPr>
        <w:t xml:space="preserve"> קדושים ופרש</w:t>
      </w:r>
      <w:r>
        <w:rPr>
          <w:rtl/>
        </w:rPr>
        <w:t>ת</w:t>
      </w:r>
      <w:r>
        <w:rPr>
          <w:rFonts w:hint="cs"/>
          <w:rtl/>
        </w:rPr>
        <w:t xml:space="preserve">נו </w:t>
      </w:r>
      <w:r>
        <w:rPr>
          <w:rtl/>
        </w:rPr>
        <w:t>–</w:t>
      </w:r>
      <w:r>
        <w:rPr>
          <w:rFonts w:hint="cs"/>
          <w:rtl/>
        </w:rPr>
        <w:t xml:space="preserve"> פרש</w:t>
      </w:r>
      <w:r>
        <w:rPr>
          <w:rtl/>
        </w:rPr>
        <w:t>ת</w:t>
      </w:r>
      <w:r>
        <w:rPr>
          <w:rFonts w:hint="cs"/>
          <w:rtl/>
        </w:rPr>
        <w:t xml:space="preserve"> כי </w:t>
      </w:r>
      <w:r>
        <w:rPr>
          <w:rtl/>
        </w:rPr>
        <w:t>ת</w:t>
      </w:r>
      <w:r>
        <w:rPr>
          <w:rFonts w:hint="cs"/>
          <w:rtl/>
        </w:rPr>
        <w:t>צא.</w:t>
      </w:r>
    </w:p>
    <w:p w14:paraId="421200F5" w14:textId="3A57E5CB" w:rsidR="00CB1F5F" w:rsidRDefault="00CB1F5F" w:rsidP="00CB1F5F">
      <w:pPr>
        <w:rPr>
          <w:rtl/>
        </w:rPr>
      </w:pPr>
      <w:r>
        <w:rPr>
          <w:rFonts w:hint="cs"/>
          <w:rtl/>
        </w:rPr>
        <w:t>בפרש</w:t>
      </w:r>
      <w:r>
        <w:rPr>
          <w:rtl/>
        </w:rPr>
        <w:t>ת</w:t>
      </w:r>
      <w:r>
        <w:rPr>
          <w:rFonts w:hint="cs"/>
          <w:rtl/>
        </w:rPr>
        <w:t xml:space="preserve"> </w:t>
      </w:r>
      <w:r>
        <w:rPr>
          <w:rtl/>
        </w:rPr>
        <w:t>משפטים ניתן להבין בדרך כלל את הכיוון הבסיסי</w:t>
      </w:r>
      <w:r>
        <w:rPr>
          <w:rFonts w:hint="cs"/>
          <w:rtl/>
        </w:rPr>
        <w:t xml:space="preserve"> של המצוו</w:t>
      </w:r>
      <w:r>
        <w:rPr>
          <w:rtl/>
        </w:rPr>
        <w:t>ת</w:t>
      </w:r>
      <w:r>
        <w:rPr>
          <w:rFonts w:hint="cs"/>
          <w:rtl/>
        </w:rPr>
        <w:t xml:space="preserve"> המנויו</w:t>
      </w:r>
      <w:r>
        <w:rPr>
          <w:rtl/>
        </w:rPr>
        <w:t>ת</w:t>
      </w:r>
      <w:r>
        <w:rPr>
          <w:rFonts w:hint="cs"/>
          <w:rtl/>
        </w:rPr>
        <w:t xml:space="preserve"> שם. </w:t>
      </w:r>
      <w:r>
        <w:rPr>
          <w:rtl/>
        </w:rPr>
        <w:t>התורה פורסת את משנת חושן משפט שלה</w:t>
      </w:r>
      <w:r>
        <w:rPr>
          <w:rFonts w:hint="cs"/>
          <w:rtl/>
        </w:rPr>
        <w:t xml:space="preserve"> </w:t>
      </w:r>
      <w:r>
        <w:rPr>
          <w:rtl/>
        </w:rPr>
        <w:t>–</w:t>
      </w:r>
      <w:r>
        <w:rPr>
          <w:rFonts w:hint="cs"/>
          <w:rtl/>
        </w:rPr>
        <w:t xml:space="preserve"> </w:t>
      </w:r>
      <w:r>
        <w:rPr>
          <w:rtl/>
        </w:rPr>
        <w:t>הלכות נזיקין, הלכות חובל, גניבה וגזילה, הלכות שומרים, דיני הלוואה ועוד</w:t>
      </w:r>
      <w:r>
        <w:rPr>
          <w:rFonts w:hint="cs"/>
          <w:rtl/>
        </w:rPr>
        <w:t xml:space="preserve">. </w:t>
      </w:r>
      <w:r>
        <w:rPr>
          <w:rtl/>
        </w:rPr>
        <w:t>בפרשיות קדשים וכי תצא</w:t>
      </w:r>
      <w:r>
        <w:rPr>
          <w:rFonts w:hint="cs"/>
          <w:rtl/>
        </w:rPr>
        <w:t xml:space="preserve"> לעומ</w:t>
      </w:r>
      <w:r>
        <w:rPr>
          <w:rtl/>
        </w:rPr>
        <w:t>ת</w:t>
      </w:r>
      <w:r>
        <w:rPr>
          <w:rFonts w:hint="cs"/>
          <w:rtl/>
        </w:rPr>
        <w:t xml:space="preserve"> זא</w:t>
      </w:r>
      <w:r>
        <w:rPr>
          <w:rtl/>
        </w:rPr>
        <w:t>ת</w:t>
      </w:r>
      <w:r>
        <w:rPr>
          <w:rFonts w:hint="cs"/>
          <w:rtl/>
        </w:rPr>
        <w:t>,</w:t>
      </w:r>
      <w:r>
        <w:rPr>
          <w:rtl/>
        </w:rPr>
        <w:t xml:space="preserve"> קשה הרבה יותר לארגן את המצוות בסדר מסוים. דומה הדבר, שהתורה ביקשה 'לזרוע כלאיים' את מצוותיהן של פרשיות אלו.</w:t>
      </w:r>
    </w:p>
    <w:p w14:paraId="47BB920B" w14:textId="77777777" w:rsidR="00CB1F5F" w:rsidRDefault="00CB1F5F" w:rsidP="00CB1F5F">
      <w:pPr>
        <w:rPr>
          <w:rtl/>
        </w:rPr>
      </w:pPr>
      <w:r>
        <w:rPr>
          <w:rtl/>
        </w:rPr>
        <w:t xml:space="preserve">בין המצוות המוזכרות בשתי הפרשיות הללו נמצאת מצוות כלאיים. נעמוד על יסוד איסור כלאיים, ומתוכו ננסה להבין את מגמתן של שתי הפרשיות הללו. </w:t>
      </w:r>
    </w:p>
    <w:p w14:paraId="4F975CB8" w14:textId="2ACFA5CD" w:rsidR="00CB1F5F" w:rsidRDefault="00CB1F5F" w:rsidP="0008645B">
      <w:pPr>
        <w:pStyle w:val="a4"/>
        <w:rPr>
          <w:rtl/>
        </w:rPr>
      </w:pPr>
      <w:r>
        <w:rPr>
          <w:rFonts w:hint="cs"/>
          <w:rtl/>
        </w:rPr>
        <w:t>"</w:t>
      </w:r>
      <w:r>
        <w:rPr>
          <w:rtl/>
        </w:rPr>
        <w:t>אֶת חֻקֹּתַי תִּשְׁמֹרוּ בְּהֶמְתְּךָ לֹא תַרְבִּיעַ כִּלְאַיִם שָׂדְךָ לֹא תִזְרַע כִּלְאָיִם וּבֶגֶד כִּלְאַיִם שַׁעַטְנֵז לֹא יַעֲלֶה עָלֶיךָ.</w:t>
      </w:r>
      <w:r>
        <w:rPr>
          <w:rFonts w:hint="cs"/>
          <w:rtl/>
        </w:rPr>
        <w:t>"</w:t>
      </w:r>
    </w:p>
    <w:p w14:paraId="06477477" w14:textId="477F4A41" w:rsidR="00CB1F5F" w:rsidRDefault="00CB1F5F" w:rsidP="00A45EEA">
      <w:pPr>
        <w:pStyle w:val="a8"/>
        <w:rPr>
          <w:rtl/>
        </w:rPr>
      </w:pPr>
      <w:r>
        <w:rPr>
          <w:rFonts w:hint="cs"/>
          <w:rtl/>
        </w:rPr>
        <w:t>(ויקרא י"ט, יט)</w:t>
      </w:r>
    </w:p>
    <w:p w14:paraId="7CCCD310" w14:textId="3725F192" w:rsidR="00CB1F5F" w:rsidRDefault="00CB1F5F" w:rsidP="00CB1F5F">
      <w:pPr>
        <w:rPr>
          <w:rFonts w:asciiTheme="minorHAnsi" w:hAnsiTheme="minorHAnsi" w:cstheme="minorBidi"/>
          <w:rtl/>
        </w:rPr>
      </w:pPr>
      <w:r>
        <w:rPr>
          <w:rtl/>
        </w:rPr>
        <w:t>נשים לב שעל מצוות אלו נאמר שהם חוקותיו של הקב"ה. רש"י מסביר מה משמעות הדבר:</w:t>
      </w:r>
    </w:p>
    <w:p w14:paraId="58CA03F3" w14:textId="77777777" w:rsidR="00CB1F5F" w:rsidRDefault="00CB1F5F" w:rsidP="0008645B">
      <w:pPr>
        <w:pStyle w:val="a4"/>
        <w:rPr>
          <w:rtl/>
        </w:rPr>
      </w:pPr>
      <w:r>
        <w:rPr>
          <w:rtl/>
        </w:rPr>
        <w:t>"ואלו הן, בהמתך לא תרביע כלאים וגו'. חקים אלו גזרות מלך, שאין טעם לדבר"</w:t>
      </w:r>
    </w:p>
    <w:p w14:paraId="45B13393" w14:textId="4569C0DD" w:rsidR="00CB1F5F" w:rsidRDefault="00CB1F5F" w:rsidP="00A45EEA">
      <w:pPr>
        <w:pStyle w:val="a8"/>
        <w:rPr>
          <w:rtl/>
        </w:rPr>
      </w:pPr>
      <w:r>
        <w:rPr>
          <w:rFonts w:hint="cs"/>
          <w:rtl/>
        </w:rPr>
        <w:t>(רש"י שם)</w:t>
      </w:r>
    </w:p>
    <w:p w14:paraId="590653EC" w14:textId="41E506AF" w:rsidR="00CB1F5F" w:rsidRDefault="00CB1F5F" w:rsidP="00CB1F5F">
      <w:pPr>
        <w:rPr>
          <w:rFonts w:asciiTheme="minorHAnsi" w:hAnsiTheme="minorHAnsi" w:cstheme="minorBidi"/>
          <w:rtl/>
        </w:rPr>
      </w:pPr>
      <w:r>
        <w:rPr>
          <w:rtl/>
        </w:rPr>
        <w:t xml:space="preserve">הרמב"ן שם מבקש לתת טעם מסוים לאיסור כלאים, ולפיכך הוא מעיר על דברי רש"י: </w:t>
      </w:r>
    </w:p>
    <w:p w14:paraId="62CE6BFC" w14:textId="2EDF56C6" w:rsidR="00CB1F5F" w:rsidRDefault="00CB1F5F" w:rsidP="0008645B">
      <w:pPr>
        <w:pStyle w:val="a4"/>
        <w:rPr>
          <w:rtl/>
        </w:rPr>
      </w:pPr>
      <w:r>
        <w:rPr>
          <w:rFonts w:hint="cs"/>
          <w:rtl/>
        </w:rPr>
        <w:t>"</w:t>
      </w:r>
      <w:r>
        <w:rPr>
          <w:rtl/>
        </w:rPr>
        <w:t xml:space="preserve">ואין הכונה בהם שתהיה גזרת מלך מלכי המלכים בשום </w:t>
      </w:r>
      <w:r w:rsidRPr="00175111">
        <w:rPr>
          <w:rtl/>
        </w:rPr>
        <w:t>מ</w:t>
      </w:r>
      <w:r>
        <w:rPr>
          <w:rtl/>
        </w:rPr>
        <w:t xml:space="preserve">קום בלא טעם, כי כל אמרת א-לוה צרופה (משלי ל ה), רק החקים הם גזירת המלך אשר יחוק במלכותו בלי שיגלה תועלתם לעם, ואין העם נהנים בהם אבל מהרהרין אחריהם בלבם ומקבלים אותם ליראת המלכות, וכן חוקי הקדוש ברוך הוא הם הסודות אשר לו בתורה שאין העם במחשבתם </w:t>
      </w:r>
      <w:r>
        <w:rPr>
          <w:rtl/>
        </w:rPr>
        <w:t>נהנים בהם כמשפטים, אבל כולם בטעם נכון ותועלת שלימה.</w:t>
      </w:r>
      <w:r>
        <w:rPr>
          <w:rFonts w:hint="cs"/>
          <w:rtl/>
        </w:rPr>
        <w:t>"</w:t>
      </w:r>
    </w:p>
    <w:p w14:paraId="125F4FDB" w14:textId="2ADAA54D" w:rsidR="00CB1F5F" w:rsidRDefault="00CB1F5F" w:rsidP="00A45EEA">
      <w:pPr>
        <w:pStyle w:val="a8"/>
        <w:rPr>
          <w:rFonts w:cs="Arial"/>
          <w:rtl/>
        </w:rPr>
      </w:pPr>
      <w:r>
        <w:rPr>
          <w:rFonts w:hint="cs"/>
          <w:rtl/>
        </w:rPr>
        <w:t>(רמב"ן ויקרא שם)</w:t>
      </w:r>
    </w:p>
    <w:p w14:paraId="241187ED" w14:textId="77777777" w:rsidR="00CB1F5F" w:rsidRDefault="00CB1F5F" w:rsidP="00CB1F5F">
      <w:pPr>
        <w:rPr>
          <w:rFonts w:ascii="FrankRuehl" w:hAnsi="FrankRuehl" w:cs="FrankRuehl"/>
          <w:rtl/>
        </w:rPr>
      </w:pPr>
      <w:r>
        <w:rPr>
          <w:rtl/>
        </w:rPr>
        <w:t xml:space="preserve">ומתוך כך הוא מציע טעם לאיסור (יסוד הדברים כבר נמצא בדבריו בפרשת הבריאה, אבל כאן הוא מרחיב): </w:t>
      </w:r>
    </w:p>
    <w:p w14:paraId="4F985FB8" w14:textId="77777777" w:rsidR="00CB1F5F" w:rsidRDefault="00CB1F5F" w:rsidP="0008645B">
      <w:pPr>
        <w:pStyle w:val="a4"/>
        <w:rPr>
          <w:rFonts w:cstheme="minorBidi"/>
          <w:rtl/>
        </w:rPr>
      </w:pPr>
      <w:r>
        <w:rPr>
          <w:rtl/>
        </w:rPr>
        <w:t>"כי השם ברא המינים בעולם ... וצוה בכחם שיוציאו למיניהם ולא ישתנו לעד לעולם שנאמר בכולם "למינהו" (בראשית א). והנה צוה סיבת המשכב, שנרביע בהמות זו עם זו לקיום המינין, כאשר יבואו הא</w:t>
      </w:r>
      <w:bookmarkStart w:id="2" w:name="_GoBack"/>
      <w:bookmarkEnd w:id="2"/>
      <w:r>
        <w:rPr>
          <w:rtl/>
        </w:rPr>
        <w:t>נשים על הנשים לפריה ורביה. והמרכיב שני מינין משנה ומכחיש במעשה בראשית כאילו יחשוב שלא השלים הקב"ה בעולמו כל הצורך ויחפוץ הוא לעזור בבריאתו של עולם להוסיף בו בריות".</w:t>
      </w:r>
    </w:p>
    <w:p w14:paraId="1D51BD26" w14:textId="546A00DE" w:rsidR="00CB1F5F" w:rsidRDefault="00CB1F5F" w:rsidP="00A45EEA">
      <w:pPr>
        <w:pStyle w:val="a8"/>
        <w:rPr>
          <w:rtl/>
        </w:rPr>
      </w:pPr>
      <w:r>
        <w:rPr>
          <w:rFonts w:hint="cs"/>
          <w:rtl/>
        </w:rPr>
        <w:t>(שם)</w:t>
      </w:r>
    </w:p>
    <w:p w14:paraId="239D00C5" w14:textId="7A7D65C6" w:rsidR="00CB1F5F" w:rsidRDefault="00CB1F5F" w:rsidP="0008645B">
      <w:pPr>
        <w:rPr>
          <w:rtl/>
        </w:rPr>
      </w:pPr>
      <w:r>
        <w:rPr>
          <w:rtl/>
        </w:rPr>
        <w:t xml:space="preserve">דברי הרמב"ן הללו מהדהדים בנו </w:t>
      </w:r>
      <w:r w:rsidR="00315055">
        <w:rPr>
          <w:rFonts w:hint="cs"/>
          <w:rtl/>
        </w:rPr>
        <w:t>ד</w:t>
      </w:r>
      <w:r>
        <w:rPr>
          <w:rtl/>
        </w:rPr>
        <w:t>יון שהתקיי</w:t>
      </w:r>
      <w:r w:rsidR="00315055">
        <w:rPr>
          <w:rFonts w:hint="cs"/>
          <w:rtl/>
        </w:rPr>
        <w:t>ם</w:t>
      </w:r>
      <w:r>
        <w:rPr>
          <w:rtl/>
        </w:rPr>
        <w:t xml:space="preserve"> בנקודה זו בין רבי עקיבא וטורנוסרופוס, סביב מצוות המילה, המסירה את הערלה, ו'מתקנת' את מעשי ה' בבריאה. מובא במדרש:</w:t>
      </w:r>
    </w:p>
    <w:p w14:paraId="6AFF8D57" w14:textId="77777777" w:rsidR="00CB1F5F" w:rsidRDefault="00CB1F5F" w:rsidP="0008645B">
      <w:pPr>
        <w:pStyle w:val="a4"/>
        <w:rPr>
          <w:rtl/>
        </w:rPr>
      </w:pPr>
      <w:r>
        <w:rPr>
          <w:rtl/>
        </w:rPr>
        <w:t xml:space="preserve">"שאל טורנוסרופוס הרשע את רבי עקיבא: איזו מעשים נאים, של הקדוש ברוך הוא או של בשר ודם? אמר לו: של בשר ודם נאים. אמר לו טורנוסרופוס: הרי השמים והארץ יכול אדם לעשות כיוצא בהם?! אמר לו רבי עקיבא: לא תאמר לי בדבר שהוא למעלה מן הבריות שאין שולטין עליו, אלא אמור דברים שהם מצויין בבני אדם. אמר לו: למה אתם מולין. אמר לו: אני הייתי יודע שעל דבר זה אתה שואלני, ולכך הקדמתי ואמרתי לך, שמעשה בני אדם נאים משל הקדוש ברוך הוא. הביא לו רבי עקיבא שבלים וגלסקאות. אמר לו: אלו מעשה הקדוש ברוך הוא, ואלו מעשה ידי אדם. אמר לו: אין אלו נאים יותר מן השבלים?!" </w:t>
      </w:r>
    </w:p>
    <w:p w14:paraId="593340C2" w14:textId="107F0A33" w:rsidR="00CB1F5F" w:rsidRDefault="00CB1F5F" w:rsidP="00A45EEA">
      <w:pPr>
        <w:pStyle w:val="a8"/>
        <w:rPr>
          <w:rtl/>
        </w:rPr>
      </w:pPr>
      <w:r>
        <w:rPr>
          <w:rtl/>
        </w:rPr>
        <w:tab/>
        <w:t xml:space="preserve"> (</w:t>
      </w:r>
      <w:r>
        <w:rPr>
          <w:rFonts w:hint="cs"/>
          <w:rtl/>
        </w:rPr>
        <w:t xml:space="preserve">מדרש </w:t>
      </w:r>
      <w:r>
        <w:rPr>
          <w:rtl/>
        </w:rPr>
        <w:t>תנחומא</w:t>
      </w:r>
      <w:r>
        <w:rPr>
          <w:rFonts w:hint="cs"/>
          <w:rtl/>
        </w:rPr>
        <w:t xml:space="preserve"> (בובר)</w:t>
      </w:r>
      <w:r>
        <w:rPr>
          <w:rtl/>
        </w:rPr>
        <w:t>, תזריע</w:t>
      </w:r>
      <w:r>
        <w:rPr>
          <w:rFonts w:hint="cs"/>
          <w:rtl/>
        </w:rPr>
        <w:t xml:space="preserve"> ז'</w:t>
      </w:r>
      <w:r>
        <w:rPr>
          <w:rtl/>
        </w:rPr>
        <w:t>)</w:t>
      </w:r>
    </w:p>
    <w:p w14:paraId="1E483F5A" w14:textId="77777777" w:rsidR="00CB1F5F" w:rsidRDefault="00CB1F5F" w:rsidP="00CB1F5F">
      <w:pPr>
        <w:rPr>
          <w:rtl/>
        </w:rPr>
      </w:pPr>
      <w:r>
        <w:rPr>
          <w:rtl/>
        </w:rPr>
        <w:t xml:space="preserve">לפנינו מתח, לכאורה, בין שתי תפיסות, בשאלה אם יש מקום לאדם לפעול בעולם, לתקנו ולשכללו או לא. </w:t>
      </w:r>
    </w:p>
    <w:p w14:paraId="4ED58C3B" w14:textId="68FA804A" w:rsidR="00CB1F5F" w:rsidRDefault="00CB1F5F" w:rsidP="00CB1F5F">
      <w:pPr>
        <w:rPr>
          <w:rtl/>
        </w:rPr>
      </w:pPr>
      <w:r>
        <w:rPr>
          <w:rtl/>
        </w:rPr>
        <w:t>מדברי המדרש עולה, ששכלול העולם ופיתוחו אינ</w:t>
      </w:r>
      <w:r w:rsidR="00315055">
        <w:rPr>
          <w:rFonts w:hint="cs"/>
          <w:rtl/>
        </w:rPr>
        <w:t>ם</w:t>
      </w:r>
      <w:r>
        <w:rPr>
          <w:rtl/>
        </w:rPr>
        <w:t xml:space="preserve"> </w:t>
      </w:r>
      <w:r>
        <w:rPr>
          <w:rFonts w:hint="cs"/>
          <w:rtl/>
        </w:rPr>
        <w:t>מהוו</w:t>
      </w:r>
      <w:r w:rsidR="00315055">
        <w:rPr>
          <w:rFonts w:hint="cs"/>
          <w:rtl/>
        </w:rPr>
        <w:t>ים</w:t>
      </w:r>
      <w:r>
        <w:rPr>
          <w:rFonts w:hint="cs"/>
          <w:rtl/>
        </w:rPr>
        <w:t xml:space="preserve"> </w:t>
      </w:r>
      <w:r>
        <w:rPr>
          <w:rtl/>
        </w:rPr>
        <w:t>פגיעה</w:t>
      </w:r>
      <w:r>
        <w:rPr>
          <w:rFonts w:hint="cs"/>
          <w:rtl/>
        </w:rPr>
        <w:t>, חליל</w:t>
      </w:r>
      <w:r>
        <w:rPr>
          <w:rtl/>
        </w:rPr>
        <w:t>ה, בקב"ה, אלא להפך</w:t>
      </w:r>
      <w:r>
        <w:rPr>
          <w:rFonts w:hint="cs"/>
          <w:rtl/>
        </w:rPr>
        <w:t>. זהו</w:t>
      </w:r>
      <w:r>
        <w:rPr>
          <w:rtl/>
        </w:rPr>
        <w:t xml:space="preserve"> מילוי </w:t>
      </w:r>
      <w:r>
        <w:rPr>
          <w:rtl/>
        </w:rPr>
        <w:lastRenderedPageBreak/>
        <w:t>רצונו</w:t>
      </w:r>
      <w:r>
        <w:rPr>
          <w:rFonts w:hint="cs"/>
          <w:rtl/>
        </w:rPr>
        <w:t xml:space="preserve"> של הקב"ה,</w:t>
      </w:r>
      <w:r>
        <w:rPr>
          <w:rtl/>
        </w:rPr>
        <w:t xml:space="preserve"> שרצה שנפתח ונשכלל את העולם. כך מקובלנו לפרש את הפסוק </w:t>
      </w:r>
      <w:r>
        <w:rPr>
          <w:rFonts w:ascii="FrankRuehl" w:hAnsi="FrankRuehl" w:cs="FrankRuehl"/>
          <w:rtl/>
        </w:rPr>
        <w:t>"אשר ברא א–להים לעשות"</w:t>
      </w:r>
      <w:r>
        <w:rPr>
          <w:rtl/>
        </w:rPr>
        <w:t>, שלאחר שה' ברא את העולם, הוא מסר אותו לבני האדם – 'לעשות', ועל האדם מוטל להמשיך לייצר</w:t>
      </w:r>
      <w:r w:rsidR="00315055">
        <w:rPr>
          <w:rFonts w:hint="cs"/>
          <w:rtl/>
        </w:rPr>
        <w:t>,</w:t>
      </w:r>
      <w:r>
        <w:rPr>
          <w:rtl/>
        </w:rPr>
        <w:t xml:space="preserve"> לפתח ולשכלל. </w:t>
      </w:r>
    </w:p>
    <w:p w14:paraId="54B3103F" w14:textId="4BC57978" w:rsidR="00CB1F5F" w:rsidRDefault="00CB1F5F" w:rsidP="0008645B">
      <w:pPr>
        <w:rPr>
          <w:rtl/>
        </w:rPr>
      </w:pPr>
      <w:r>
        <w:rPr>
          <w:rtl/>
        </w:rPr>
        <w:t>ואכן, האדם נשא משא זה על שכמו, פעל כך לאורך כל ההיסטוריה, ופיתח את העולם באופן מרשים. בוודאי בדורנו, שעם כל המהפכות הטכנולוגיות שמתרחשות בו, אם היינו מזמינים לביקור אדם מן העבר, לא רק מלפני מאות שנים, אלא גם מהמאות ה־17 וה־18, הוא לא היה מבין מה מתרחש סביבו. הפריצה האנושית הגדולה באה</w:t>
      </w:r>
      <w:r>
        <w:rPr>
          <w:rFonts w:hint="cs"/>
          <w:rtl/>
        </w:rPr>
        <w:t xml:space="preserve"> עם</w:t>
      </w:r>
      <w:r>
        <w:rPr>
          <w:rtl/>
        </w:rPr>
        <w:t xml:space="preserve"> המהפכה התעשייתית, ומני המהפכה הצרפתית של החירות והשויון, העולם התפתח גם במבנה החברה</w:t>
      </w:r>
      <w:r>
        <w:rPr>
          <w:rFonts w:hint="cs"/>
          <w:rtl/>
        </w:rPr>
        <w:t xml:space="preserve"> </w:t>
      </w:r>
      <w:r>
        <w:rPr>
          <w:rtl/>
        </w:rPr>
        <w:t>ובסדריה.</w:t>
      </w:r>
    </w:p>
    <w:p w14:paraId="748335B2" w14:textId="0E0085BB" w:rsidR="00CB1F5F" w:rsidRDefault="00CB1F5F" w:rsidP="00CB1F5F">
      <w:pPr>
        <w:rPr>
          <w:rtl/>
        </w:rPr>
      </w:pPr>
      <w:r>
        <w:rPr>
          <w:rFonts w:hint="cs"/>
          <w:rtl/>
        </w:rPr>
        <w:t xml:space="preserve">הגישה אשר לכאורה עולה מפירוש </w:t>
      </w:r>
      <w:r>
        <w:rPr>
          <w:rtl/>
        </w:rPr>
        <w:t>הרמב"ן ת</w:t>
      </w:r>
      <w:r>
        <w:rPr>
          <w:rFonts w:hint="cs"/>
          <w:rtl/>
        </w:rPr>
        <w:t>טען</w:t>
      </w:r>
      <w:r>
        <w:rPr>
          <w:rtl/>
        </w:rPr>
        <w:t xml:space="preserve"> שאיסור כלאים נועד כדי לצמצמם את ההתערבות האנושית, שיש בה מעין קריאת תיגר נגד הבריאה הא-להית. כב</w:t>
      </w:r>
      <w:r>
        <w:rPr>
          <w:rFonts w:hint="cs"/>
          <w:rtl/>
        </w:rPr>
        <w:t>יכול, עדו</w:t>
      </w:r>
      <w:r>
        <w:rPr>
          <w:rtl/>
        </w:rPr>
        <w:t>ת</w:t>
      </w:r>
      <w:r>
        <w:rPr>
          <w:rFonts w:hint="cs"/>
          <w:rtl/>
        </w:rPr>
        <w:t xml:space="preserve"> על כך</w:t>
      </w:r>
      <w:r>
        <w:rPr>
          <w:rtl/>
        </w:rPr>
        <w:t xml:space="preserve"> </w:t>
      </w:r>
      <w:r>
        <w:rPr>
          <w:rFonts w:hint="cs"/>
          <w:rtl/>
        </w:rPr>
        <w:t>ש</w:t>
      </w:r>
      <w:r>
        <w:rPr>
          <w:rtl/>
        </w:rPr>
        <w:t>לא השלים הקב"ה את בריאתו.</w:t>
      </w:r>
    </w:p>
    <w:p w14:paraId="68AFF4AF" w14:textId="71D1DBAA" w:rsidR="00CB1F5F" w:rsidRDefault="00CB1F5F" w:rsidP="0008645B">
      <w:pPr>
        <w:rPr>
          <w:rtl/>
        </w:rPr>
      </w:pPr>
      <w:r>
        <w:rPr>
          <w:rtl/>
        </w:rPr>
        <w:t>ההסבר הפשוט הוא, שמגמת הדברים, הן של המדרש והן של הרמב"ן, היא להדגיש כי הפעילות האנושית בעולם נועדה להמשיך ולפתח את עולמו של הקב"ה לא מתוך עימות ותחרות, אלא מתוך קבלת המשימה שהוטלה עלינו על ידי הקב"ה.</w:t>
      </w:r>
      <w:r>
        <w:rPr>
          <w:rStyle w:val="aa"/>
          <w:rtl/>
        </w:rPr>
        <w:footnoteReference w:id="2"/>
      </w:r>
      <w:r>
        <w:rPr>
          <w:rtl/>
        </w:rPr>
        <w:t xml:space="preserve"> הפעילות האנושית ברוכה היא, כל זמן שמשמרת היא את האיזון, וכפי שהדגיש המדרש: תן דעתך שלא תקלקל. </w:t>
      </w:r>
    </w:p>
    <w:p w14:paraId="414AC3B4" w14:textId="652177E9" w:rsidR="00CB1F5F" w:rsidRDefault="00CB1F5F" w:rsidP="00CB1F5F">
      <w:pPr>
        <w:rPr>
          <w:rtl/>
        </w:rPr>
      </w:pPr>
      <w:r>
        <w:rPr>
          <w:rtl/>
        </w:rPr>
        <w:t xml:space="preserve">אנחנו מודעים היום לשאלות יסודיות של הפרת האיזון האקולוגי בעולם, הנגרם בעקבות הפעילות האנושית המוגברת וההתפתחות הטכנולוגית המהירה. כמו כן, עומדות לפנינו שאלות אתיות ומוסריות חמורות בקביעת הגבולות בתחומים שונים המופיעות בשל ההתפתחות המדעית, בעיקר בתחום ההנדסה הגנטית והדומה לה. אל לו לאדם לנסות להחליף את הבורא, וחלילה, 'להזיז אותו הצידה', באמירת </w:t>
      </w:r>
      <w:r>
        <w:rPr>
          <w:rFonts w:hint="cs"/>
          <w:rtl/>
        </w:rPr>
        <w:t>הטוענו</w:t>
      </w:r>
      <w:r>
        <w:rPr>
          <w:rtl/>
        </w:rPr>
        <w:t>ת</w:t>
      </w:r>
      <w:r>
        <w:rPr>
          <w:rFonts w:hint="cs"/>
          <w:rtl/>
        </w:rPr>
        <w:t xml:space="preserve"> שהאדם טוב מבוראו</w:t>
      </w:r>
      <w:r>
        <w:rPr>
          <w:rtl/>
        </w:rPr>
        <w:t>. על האדם לפעול מתוך הכנעה וקבלת השליחות המוטלת עליו על ידי הבורא, מתוך מחויבות לשמר את סדרו של עולם.</w:t>
      </w:r>
    </w:p>
    <w:p w14:paraId="6C4299F8" w14:textId="1AE4F841" w:rsidR="00CB1F5F" w:rsidRDefault="00CB1F5F" w:rsidP="0008645B">
      <w:pPr>
        <w:rPr>
          <w:rtl/>
        </w:rPr>
      </w:pPr>
      <w:r>
        <w:rPr>
          <w:rtl/>
        </w:rPr>
        <w:t xml:space="preserve">לעיתים, נוטלת האנושות חירות לפעולה בזירות אחרות, זירות חברתיות, המפרות את האיזון בקיומה של חברה אנושית הפועלת כתקנה. החברה הולכת לכזו שנוקמת ונוטרת, מלבה שנאה ופירוד, עושקת וגוזלת, </w:t>
      </w:r>
      <w:r>
        <w:rPr>
          <w:rtl/>
        </w:rPr>
        <w:t>אוכלת על הדם, מנחשת ומעוננת, ובכך הורסת את היחס ההרמוני הנדרש בתוכה. הרמוניה זו היא הקדושה הנזכרת בפרשת קדושים. ההכרה של העם, שאנו עם ה' וחיים לפניו, ועלינו לקיים חברה מסודרת, שאינה מערבת ויוצרת כלאים, שלא מאפשרים קיומה של חברה הוגנת וישרה.</w:t>
      </w:r>
    </w:p>
    <w:p w14:paraId="5219A72B" w14:textId="61E52FD6" w:rsidR="00CB1F5F" w:rsidRDefault="00CB1F5F" w:rsidP="00CB1F5F">
      <w:pPr>
        <w:rPr>
          <w:rtl/>
        </w:rPr>
      </w:pPr>
      <w:r>
        <w:rPr>
          <w:rtl/>
        </w:rPr>
        <w:t>כך, גם בפרשת כי תצא, שהיא הפרשה העוסקת בסדר החיים של הפרט, ומכינה אותו לקראת הכניסה לארץ. גם היא מדגישה את הצורך לשמור על חברה מסודרת, ולא חברה של יד איש באחיו</w:t>
      </w:r>
      <w:r>
        <w:rPr>
          <w:rFonts w:hint="cs"/>
          <w:rtl/>
        </w:rPr>
        <w:t xml:space="preserve">, </w:t>
      </w:r>
      <w:r>
        <w:rPr>
          <w:rtl/>
        </w:rPr>
        <w:t>המתעלמת מאבידתו וממצוקתו, המציבה דמים וסכנה לבני רשות הרבים, האונסת, מפתה ומוציאה שם רע, המעידה עדות שקר, העוסקת בזנות ובנשך. חברה הרמונית היא הדואגת לענייה ולאביוניה, שומרת על קדושת הזיווג</w:t>
      </w:r>
      <w:r w:rsidR="00315055">
        <w:rPr>
          <w:rFonts w:hint="cs"/>
          <w:rtl/>
        </w:rPr>
        <w:t>,</w:t>
      </w:r>
      <w:r>
        <w:rPr>
          <w:rtl/>
        </w:rPr>
        <w:t xml:space="preserve"> המשפחה והעם. זו ההרמוניה הנדרשת, בניגוד לכלאיים המערבים את הבריאה ומפירים את סדריה. התורה מבקשת מאיתנו את השלמות והסדר הנחוצים כל כך לקיומה של חברה, ובמיוחד לקיומה של חברה הנושאת את שם ה' על עמו ועל נחלתו, בארץ אשר ה' א–להיך נותן לך לרשתה.</w:t>
      </w:r>
    </w:p>
    <w:p w14:paraId="3D2F0200" w14:textId="77777777" w:rsidR="00CB1F5F" w:rsidRDefault="00CB1F5F" w:rsidP="00CB1F5F">
      <w:pPr>
        <w:rPr>
          <w:rtl/>
        </w:rPr>
      </w:pPr>
    </w:p>
    <w:p w14:paraId="5FB6346A" w14:textId="77777777" w:rsidR="00986A10" w:rsidRDefault="00986A10" w:rsidP="00986A10"/>
    <w:p w14:paraId="6C05AEBB" w14:textId="77777777" w:rsidR="00986A10" w:rsidRDefault="00986A10" w:rsidP="00986A10">
      <w:pPr>
        <w:jc w:val="center"/>
      </w:pPr>
    </w:p>
    <w:p w14:paraId="42A06674" w14:textId="5D1493E1" w:rsidR="00685E21" w:rsidRPr="00986A10" w:rsidRDefault="00685E21" w:rsidP="0008645B">
      <w:pPr>
        <w:rPr>
          <w:rFonts w:eastAsiaTheme="majorEastAsia"/>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FD53C4">
        <w:tc>
          <w:tcPr>
            <w:tcW w:w="283" w:type="dxa"/>
            <w:tcBorders>
              <w:top w:val="nil"/>
              <w:left w:val="nil"/>
              <w:bottom w:val="nil"/>
              <w:right w:val="nil"/>
            </w:tcBorders>
          </w:tcPr>
          <w:p w14:paraId="44241A9A" w14:textId="77777777" w:rsidR="00EB474F" w:rsidRDefault="00EB474F" w:rsidP="00FD53C4">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FD53C4">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FD53C4">
            <w:pPr>
              <w:pStyle w:val="ae"/>
              <w:rPr>
                <w:noProof w:val="0"/>
              </w:rPr>
            </w:pPr>
            <w:r>
              <w:rPr>
                <w:noProof w:val="0"/>
                <w:rtl/>
              </w:rPr>
              <w:t>*</w:t>
            </w:r>
          </w:p>
        </w:tc>
      </w:tr>
      <w:tr w:rsidR="00EB474F" w14:paraId="699C8955" w14:textId="77777777" w:rsidTr="00FD53C4">
        <w:tc>
          <w:tcPr>
            <w:tcW w:w="283" w:type="dxa"/>
            <w:tcBorders>
              <w:top w:val="nil"/>
              <w:left w:val="nil"/>
              <w:bottom w:val="nil"/>
              <w:right w:val="nil"/>
            </w:tcBorders>
          </w:tcPr>
          <w:p w14:paraId="3A47BA07" w14:textId="77777777" w:rsidR="00EB474F" w:rsidRDefault="00EB474F" w:rsidP="00FD53C4">
            <w:pPr>
              <w:pStyle w:val="ae"/>
              <w:rPr>
                <w:noProof w:val="0"/>
              </w:rPr>
            </w:pPr>
            <w:r>
              <w:rPr>
                <w:noProof w:val="0"/>
                <w:rtl/>
              </w:rPr>
              <w:t>* * * * * * * * * *</w:t>
            </w:r>
          </w:p>
        </w:tc>
        <w:tc>
          <w:tcPr>
            <w:tcW w:w="4111" w:type="dxa"/>
            <w:tcBorders>
              <w:top w:val="nil"/>
              <w:left w:val="nil"/>
              <w:bottom w:val="nil"/>
              <w:right w:val="nil"/>
            </w:tcBorders>
          </w:tcPr>
          <w:p w14:paraId="6CB88172" w14:textId="77777777" w:rsidR="00EB474F" w:rsidRDefault="00EB474F" w:rsidP="00FD53C4">
            <w:pPr>
              <w:pStyle w:val="ae"/>
              <w:rPr>
                <w:noProof w:val="0"/>
              </w:rPr>
            </w:pPr>
            <w:r>
              <w:rPr>
                <w:noProof w:val="0"/>
                <w:rtl/>
              </w:rPr>
              <w:t>כל הזכויות שמורות לישיבת הר עציון</w:t>
            </w:r>
            <w:r>
              <w:rPr>
                <w:rFonts w:hint="cs"/>
                <w:noProof w:val="0"/>
                <w:rtl/>
              </w:rPr>
              <w:t xml:space="preserve"> ולרב ברוך גיגי שליט"א</w:t>
            </w:r>
          </w:p>
          <w:p w14:paraId="7D4AE99F" w14:textId="77777777" w:rsidR="00EB474F" w:rsidRPr="00C5614D" w:rsidRDefault="00EB474F" w:rsidP="00FD53C4">
            <w:pPr>
              <w:pStyle w:val="ae"/>
              <w:rPr>
                <w:rFonts w:ascii="Times New Roman" w:hAnsi="Times New Roman" w:cs="Times New Roman"/>
                <w:noProof w:val="0"/>
                <w:rtl/>
              </w:rPr>
            </w:pPr>
            <w:r>
              <w:rPr>
                <w:rFonts w:hint="cs"/>
                <w:noProof w:val="0"/>
                <w:rtl/>
              </w:rPr>
              <w:t>עורכת: הודיה אורון, תש"פ</w:t>
            </w:r>
          </w:p>
          <w:p w14:paraId="3DF178AA" w14:textId="77777777" w:rsidR="00EB474F" w:rsidRDefault="00EB474F" w:rsidP="00FD53C4">
            <w:pPr>
              <w:pStyle w:val="ae"/>
              <w:rPr>
                <w:noProof w:val="0"/>
                <w:rtl/>
              </w:rPr>
            </w:pPr>
            <w:r>
              <w:rPr>
                <w:noProof w:val="0"/>
                <w:rtl/>
              </w:rPr>
              <w:t>*******************************************************</w:t>
            </w:r>
          </w:p>
          <w:p w14:paraId="73AEEDFE" w14:textId="77777777" w:rsidR="00EB474F" w:rsidRDefault="00EB474F" w:rsidP="00FD53C4">
            <w:pPr>
              <w:pStyle w:val="ae"/>
              <w:rPr>
                <w:noProof w:val="0"/>
                <w:rtl/>
              </w:rPr>
            </w:pPr>
            <w:r>
              <w:rPr>
                <w:noProof w:val="0"/>
                <w:rtl/>
              </w:rPr>
              <w:t>בית המדרש הוירטואלי</w:t>
            </w:r>
          </w:p>
          <w:p w14:paraId="18ED1A1E" w14:textId="77777777" w:rsidR="00EB474F" w:rsidRDefault="00EB474F" w:rsidP="00FD53C4">
            <w:pPr>
              <w:pStyle w:val="ae"/>
              <w:rPr>
                <w:noProof w:val="0"/>
                <w:rtl/>
              </w:rPr>
            </w:pPr>
            <w:r>
              <w:rPr>
                <w:rFonts w:hint="cs"/>
                <w:noProof w:val="0"/>
                <w:rtl/>
              </w:rPr>
              <w:t xml:space="preserve">מיסודו של </w:t>
            </w:r>
          </w:p>
          <w:p w14:paraId="5B0FB9A7" w14:textId="77777777" w:rsidR="00EB474F" w:rsidRDefault="00EB474F" w:rsidP="00FD53C4">
            <w:pPr>
              <w:pStyle w:val="ae"/>
              <w:rPr>
                <w:rFonts w:hint="cs"/>
                <w:noProof w:val="0"/>
                <w:rtl/>
              </w:rPr>
            </w:pPr>
            <w:r>
              <w:rPr>
                <w:noProof w:val="0"/>
                <w:rtl/>
              </w:rPr>
              <w:tab/>
            </w:r>
            <w:r>
              <w:rPr>
                <w:noProof w:val="0"/>
              </w:rPr>
              <w:t xml:space="preserve">        The Israel Koschitzky Virtual Beit Midrash</w:t>
            </w:r>
            <w:r>
              <w:rPr>
                <w:rFonts w:hint="cs"/>
                <w:noProof w:val="0"/>
                <w:rtl/>
              </w:rPr>
              <w:t xml:space="preserve">  </w:t>
            </w:r>
          </w:p>
          <w:p w14:paraId="055223D2" w14:textId="77777777" w:rsidR="00EB474F" w:rsidRDefault="00EB474F" w:rsidP="00FD53C4">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r>
                <w:rPr>
                  <w:rStyle w:val="Hyperlink"/>
                </w:rPr>
                <w:t>l</w:t>
              </w:r>
            </w:hyperlink>
          </w:p>
          <w:p w14:paraId="3B34F533" w14:textId="77777777" w:rsidR="00EB474F" w:rsidRDefault="00EB474F" w:rsidP="00FD53C4">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79AF6B0F" w14:textId="77777777" w:rsidR="00EB474F" w:rsidRDefault="00EB474F" w:rsidP="00FD53C4">
            <w:pPr>
              <w:pStyle w:val="ae"/>
              <w:rPr>
                <w:rFonts w:hint="cs"/>
                <w:noProof w:val="0"/>
                <w:rtl/>
              </w:rPr>
            </w:pPr>
          </w:p>
          <w:p w14:paraId="59AB0DDE" w14:textId="77777777" w:rsidR="00EB474F" w:rsidRDefault="00EB474F" w:rsidP="00FD53C4">
            <w:pPr>
              <w:pStyle w:val="ae"/>
              <w:rPr>
                <w:noProof w:val="0"/>
                <w:rtl/>
              </w:rPr>
            </w:pPr>
            <w:r>
              <w:rPr>
                <w:noProof w:val="0"/>
                <w:rtl/>
              </w:rPr>
              <w:t xml:space="preserve">משרדי בית המדרש הוירטואלי: 02-9937300 שלוחה 5 </w:t>
            </w:r>
          </w:p>
          <w:p w14:paraId="123FDB63" w14:textId="77777777" w:rsidR="00EB474F" w:rsidRDefault="00EB474F" w:rsidP="00FD53C4">
            <w:pPr>
              <w:pStyle w:val="ae"/>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FD53C4">
            <w:pPr>
              <w:pStyle w:val="ae"/>
              <w:rPr>
                <w:noProof w:val="0"/>
                <w:rtl/>
              </w:rPr>
            </w:pPr>
            <w:r>
              <w:rPr>
                <w:noProof w:val="0"/>
                <w:rtl/>
              </w:rPr>
              <w:t xml:space="preserve">* * * * * * * * * * </w:t>
            </w:r>
          </w:p>
        </w:tc>
      </w:tr>
      <w:tr w:rsidR="00EB474F" w14:paraId="634CABA2" w14:textId="77777777" w:rsidTr="00FD53C4">
        <w:tc>
          <w:tcPr>
            <w:tcW w:w="283" w:type="dxa"/>
            <w:tcBorders>
              <w:top w:val="nil"/>
              <w:left w:val="nil"/>
              <w:bottom w:val="nil"/>
              <w:right w:val="nil"/>
            </w:tcBorders>
          </w:tcPr>
          <w:p w14:paraId="354D6396" w14:textId="77777777" w:rsidR="00EB474F" w:rsidRDefault="00EB474F" w:rsidP="00FD53C4">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FD53C4">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FD53C4">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D59BE" w16cex:dateUtc="2020-08-23T18:10:00Z"/>
  <w16cex:commentExtensible w16cex:durableId="22ED59CF" w16cex:dateUtc="2020-08-23T18:10:00Z"/>
  <w16cex:commentExtensible w16cex:durableId="22ED59F7" w16cex:dateUtc="2020-08-23T18:11:00Z"/>
  <w16cex:commentExtensible w16cex:durableId="22ED5A06" w16cex:dateUtc="2020-08-23T18:11:00Z"/>
  <w16cex:commentExtensible w16cex:durableId="22EE84C6" w16cex:dateUtc="2020-08-24T15:26:00Z"/>
  <w16cex:commentExtensible w16cex:durableId="22ED5A94" w16cex:dateUtc="2020-08-23T18:13:00Z"/>
  <w16cex:commentExtensible w16cex:durableId="22EE8501" w16cex:dateUtc="2020-08-24T15:27:00Z"/>
  <w16cex:commentExtensible w16cex:durableId="22EE851A" w16cex:dateUtc="2020-08-24T15:27:00Z"/>
  <w16cex:commentExtensible w16cex:durableId="22ED5B37" w16cex:dateUtc="2020-08-23T18:16:00Z"/>
  <w16cex:commentExtensible w16cex:durableId="22ED64EB" w16cex:dateUtc="2020-08-23T18:58:00Z"/>
  <w16cex:commentExtensible w16cex:durableId="22EE8690" w16cex:dateUtc="2020-08-24T15:33:00Z"/>
  <w16cex:commentExtensible w16cex:durableId="22EE86B5" w16cex:dateUtc="2020-08-24T15:34:00Z"/>
  <w16cex:commentExtensible w16cex:durableId="22EE86DC" w16cex:dateUtc="2020-08-24T15:35:00Z"/>
  <w16cex:commentExtensible w16cex:durableId="22EE86F8" w16cex:dateUtc="2020-08-24T15:35:00Z"/>
  <w16cex:commentExtensible w16cex:durableId="22EE8746" w16cex:dateUtc="2020-08-24T15:36:00Z"/>
  <w16cex:commentExtensible w16cex:durableId="22ED57B7" w16cex:dateUtc="2020-08-23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FF2E13" w16cid:durableId="22ED59BE"/>
  <w16cid:commentId w16cid:paraId="102E19BF" w16cid:durableId="22ED59CF"/>
  <w16cid:commentId w16cid:paraId="168B735B" w16cid:durableId="22ED59F7"/>
  <w16cid:commentId w16cid:paraId="4D64F7F9" w16cid:durableId="22ED5A06"/>
  <w16cid:commentId w16cid:paraId="3A4AAD0D" w16cid:durableId="22EE84C6"/>
  <w16cid:commentId w16cid:paraId="7D916EE2" w16cid:durableId="22ED5A94"/>
  <w16cid:commentId w16cid:paraId="4354E415" w16cid:durableId="22EE8501"/>
  <w16cid:commentId w16cid:paraId="170B4C94" w16cid:durableId="22EE851A"/>
  <w16cid:commentId w16cid:paraId="741D1950" w16cid:durableId="22ED5B37"/>
  <w16cid:commentId w16cid:paraId="18EA0C6D" w16cid:durableId="22ED64EB"/>
  <w16cid:commentId w16cid:paraId="08E1C0D9" w16cid:durableId="22EE8690"/>
  <w16cid:commentId w16cid:paraId="4367A7B0" w16cid:durableId="22EE86B5"/>
  <w16cid:commentId w16cid:paraId="2DE64DA4" w16cid:durableId="22EE86DC"/>
  <w16cid:commentId w16cid:paraId="3D5DC7F2" w16cid:durableId="22EE86F8"/>
  <w16cid:commentId w16cid:paraId="181A052B" w16cid:durableId="22EE8746"/>
  <w16cid:commentId w16cid:paraId="36673DD3" w16cid:durableId="22ED57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0F434" w14:textId="77777777" w:rsidR="00F44A75" w:rsidRDefault="00F44A75" w:rsidP="005F7985">
      <w:pPr>
        <w:spacing w:after="0" w:line="240" w:lineRule="auto"/>
      </w:pPr>
      <w:r>
        <w:separator/>
      </w:r>
    </w:p>
  </w:endnote>
  <w:endnote w:type="continuationSeparator" w:id="0">
    <w:p w14:paraId="7F5D58C1" w14:textId="77777777" w:rsidR="00F44A75" w:rsidRDefault="00F44A7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9472A" w14:textId="77777777" w:rsidR="00F44A75" w:rsidRDefault="00F44A75" w:rsidP="005F7985">
      <w:pPr>
        <w:spacing w:after="0" w:line="240" w:lineRule="auto"/>
      </w:pPr>
      <w:r>
        <w:separator/>
      </w:r>
    </w:p>
  </w:footnote>
  <w:footnote w:type="continuationSeparator" w:id="0">
    <w:p w14:paraId="6E0CEC51" w14:textId="77777777" w:rsidR="00F44A75" w:rsidRDefault="00F44A75" w:rsidP="005F7985">
      <w:pPr>
        <w:spacing w:after="0" w:line="240" w:lineRule="auto"/>
      </w:pPr>
      <w:r>
        <w:continuationSeparator/>
      </w:r>
    </w:p>
  </w:footnote>
  <w:footnote w:id="1">
    <w:p w14:paraId="32476669" w14:textId="1AEFD9CF" w:rsidR="00026472" w:rsidRDefault="00026472" w:rsidP="00A45EEA">
      <w:pPr>
        <w:pStyle w:val="a8"/>
        <w:jc w:val="both"/>
      </w:pPr>
      <w:r>
        <w:rPr>
          <w:rStyle w:val="aa"/>
          <w:rFonts w:hint="cs"/>
          <w:rtl/>
        </w:rPr>
        <w:t>*</w:t>
      </w:r>
      <w:r>
        <w:rPr>
          <w:rtl/>
        </w:rPr>
        <w:t xml:space="preserve"> </w:t>
      </w:r>
      <w:bookmarkStart w:id="1" w:name="_ftn1"/>
      <w:bookmarkEnd w:id="1"/>
      <w:r>
        <w:rPr>
          <w:rtl/>
        </w:rPr>
        <w:tab/>
      </w:r>
      <w:r>
        <w:rPr>
          <w:rFonts w:hint="cs"/>
          <w:rtl/>
        </w:rPr>
        <w:t xml:space="preserve">השיחה נאמרה בליל שבת קודש פרשת כי </w:t>
      </w:r>
      <w:r>
        <w:rPr>
          <w:rtl/>
        </w:rPr>
        <w:t>ת</w:t>
      </w:r>
      <w:r>
        <w:rPr>
          <w:rFonts w:hint="cs"/>
          <w:rtl/>
        </w:rPr>
        <w:t xml:space="preserve">צא ה'תשע"ט </w:t>
      </w:r>
      <w:r w:rsidR="00315055">
        <w:rPr>
          <w:rFonts w:hint="cs"/>
          <w:rtl/>
        </w:rPr>
        <w:t>וסוכ</w:t>
      </w:r>
      <w:r w:rsidR="00315055">
        <w:rPr>
          <w:rFonts w:hint="cs"/>
          <w:rtl/>
        </w:rPr>
        <w:t>מה</w:t>
      </w:r>
      <w:r w:rsidR="00315055">
        <w:rPr>
          <w:rFonts w:hint="cs"/>
          <w:rtl/>
        </w:rPr>
        <w:t xml:space="preserve"> </w:t>
      </w:r>
      <w:r>
        <w:rPr>
          <w:rFonts w:hint="cs"/>
          <w:rtl/>
        </w:rPr>
        <w:t>ע"י אביעד ליפשטט. סיכום השיחה לא עבר את ביקורת הרב.</w:t>
      </w:r>
    </w:p>
  </w:footnote>
  <w:footnote w:id="2">
    <w:p w14:paraId="120EE0B0" w14:textId="7E83AC51" w:rsidR="00026472" w:rsidRDefault="00026472" w:rsidP="00A45EEA">
      <w:pPr>
        <w:pStyle w:val="a8"/>
        <w:jc w:val="both"/>
      </w:pPr>
      <w:r>
        <w:rPr>
          <w:rStyle w:val="aa"/>
        </w:rPr>
        <w:footnoteRef/>
      </w:r>
      <w:r>
        <w:rPr>
          <w:rtl/>
        </w:rPr>
        <w:t xml:space="preserve"> </w:t>
      </w:r>
      <w:r>
        <w:rPr>
          <w:rFonts w:hint="cs"/>
          <w:rtl/>
        </w:rPr>
        <w:t xml:space="preserve">יש כמובן להדגיש, שאף אם יאמר אדם שהוא מכליא בין מינים, ויוצר זנים חדשים לא כפגיעה בקב"ה, אלא כהמשכה והשלמה של מעשיו, </w:t>
      </w:r>
      <w:r w:rsidR="00315055">
        <w:rPr>
          <w:rFonts w:hint="cs"/>
          <w:rtl/>
        </w:rPr>
        <w:t xml:space="preserve">כלפיו </w:t>
      </w:r>
      <w:r>
        <w:rPr>
          <w:rFonts w:hint="cs"/>
          <w:rtl/>
        </w:rPr>
        <w:t xml:space="preserve">נזעק את דברי רש"י: </w:t>
      </w:r>
      <w:r>
        <w:rPr>
          <w:rFonts w:ascii="FrankRuehl" w:hAnsi="FrankRuehl" w:cs="FrankRuehl" w:hint="cs"/>
          <w:rtl/>
        </w:rPr>
        <w:t>"</w:t>
      </w:r>
      <w:r>
        <w:rPr>
          <w:rFonts w:ascii="FrankRuehl" w:hAnsi="FrankRuehl" w:cs="FrankRuehl"/>
          <w:rtl/>
        </w:rPr>
        <w:t>חקים אלו גזרות מלך, שאין טעם לדבר</w:t>
      </w:r>
      <w:r>
        <w:rPr>
          <w:rtl/>
        </w:rPr>
        <w:t>.</w:t>
      </w:r>
      <w:r>
        <w:rPr>
          <w:rFonts w:hint="cs"/>
          <w:rtl/>
        </w:rPr>
        <w:t>"</w:t>
      </w:r>
      <w:r>
        <w:rPr>
          <w:rtl/>
        </w:rPr>
        <w:t xml:space="preserve"> כך שגם כאשר האדם טוען שאין הוא מתנגש עם טעמי המצווה, עליו לקיימה בכל מקרה.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026472" w:rsidRDefault="0002647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45EEA">
      <w:rPr>
        <w:b/>
        <w:bCs/>
        <w:noProof/>
        <w:sz w:val="21"/>
        <w:rtl/>
      </w:rPr>
      <w:t>2</w:t>
    </w:r>
    <w:r>
      <w:rPr>
        <w:b/>
        <w:bCs/>
        <w:sz w:val="21"/>
        <w:rtl/>
      </w:rPr>
      <w:fldChar w:fldCharType="end"/>
    </w:r>
    <w:r>
      <w:rPr>
        <w:b/>
        <w:bCs/>
        <w:sz w:val="21"/>
        <w:rtl/>
      </w:rPr>
      <w:t xml:space="preserve"> -</w:t>
    </w:r>
  </w:p>
  <w:p w14:paraId="59122D54" w14:textId="77777777" w:rsidR="00026472" w:rsidRDefault="00026472"/>
  <w:p w14:paraId="2961C22A" w14:textId="77777777" w:rsidR="00026472" w:rsidRDefault="00026472"/>
  <w:p w14:paraId="26628626" w14:textId="77777777" w:rsidR="00026472" w:rsidRDefault="000264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6472" w14:paraId="06B7EE42" w14:textId="77777777">
      <w:tc>
        <w:tcPr>
          <w:tcW w:w="4927" w:type="dxa"/>
          <w:tcBorders>
            <w:top w:val="nil"/>
            <w:left w:val="nil"/>
            <w:bottom w:val="double" w:sz="4" w:space="0" w:color="auto"/>
            <w:right w:val="nil"/>
          </w:tcBorders>
        </w:tcPr>
        <w:p w14:paraId="07C82EEA" w14:textId="77777777" w:rsidR="00026472" w:rsidRDefault="00026472">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77777777" w:rsidR="00026472" w:rsidRDefault="0002647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026472" w:rsidRDefault="0002647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026472" w:rsidRDefault="0002647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026472" w:rsidRDefault="0002647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175D"/>
    <w:rsid w:val="0000753D"/>
    <w:rsid w:val="0001517C"/>
    <w:rsid w:val="00015A32"/>
    <w:rsid w:val="000164A3"/>
    <w:rsid w:val="00016FCE"/>
    <w:rsid w:val="00022CBF"/>
    <w:rsid w:val="00023E4C"/>
    <w:rsid w:val="00026472"/>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645B"/>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4E7B"/>
    <w:rsid w:val="00136612"/>
    <w:rsid w:val="001502DB"/>
    <w:rsid w:val="00150A06"/>
    <w:rsid w:val="00164E12"/>
    <w:rsid w:val="00171AE8"/>
    <w:rsid w:val="0017470E"/>
    <w:rsid w:val="001748C6"/>
    <w:rsid w:val="00175111"/>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0057"/>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2311"/>
    <w:rsid w:val="002D3217"/>
    <w:rsid w:val="002D72E6"/>
    <w:rsid w:val="002D7346"/>
    <w:rsid w:val="002E05FB"/>
    <w:rsid w:val="002E1482"/>
    <w:rsid w:val="002E206A"/>
    <w:rsid w:val="002E32BC"/>
    <w:rsid w:val="002E5F98"/>
    <w:rsid w:val="002F0491"/>
    <w:rsid w:val="002F79BE"/>
    <w:rsid w:val="00300E44"/>
    <w:rsid w:val="00303B58"/>
    <w:rsid w:val="00307943"/>
    <w:rsid w:val="0031173D"/>
    <w:rsid w:val="00312DCF"/>
    <w:rsid w:val="00313557"/>
    <w:rsid w:val="00314F87"/>
    <w:rsid w:val="00315055"/>
    <w:rsid w:val="00315192"/>
    <w:rsid w:val="0031706A"/>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624D9"/>
    <w:rsid w:val="0047018D"/>
    <w:rsid w:val="004721A4"/>
    <w:rsid w:val="0047500A"/>
    <w:rsid w:val="00480A23"/>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1B77"/>
    <w:rsid w:val="00505A47"/>
    <w:rsid w:val="005149C3"/>
    <w:rsid w:val="00524943"/>
    <w:rsid w:val="00530587"/>
    <w:rsid w:val="00533E88"/>
    <w:rsid w:val="005340F6"/>
    <w:rsid w:val="00534CA4"/>
    <w:rsid w:val="0054004B"/>
    <w:rsid w:val="00543BFF"/>
    <w:rsid w:val="00544704"/>
    <w:rsid w:val="00552A2B"/>
    <w:rsid w:val="00553804"/>
    <w:rsid w:val="00556D4D"/>
    <w:rsid w:val="005647CD"/>
    <w:rsid w:val="00564B9B"/>
    <w:rsid w:val="00577317"/>
    <w:rsid w:val="00583B07"/>
    <w:rsid w:val="00586435"/>
    <w:rsid w:val="00586BD8"/>
    <w:rsid w:val="00596BEE"/>
    <w:rsid w:val="0059716D"/>
    <w:rsid w:val="005A3716"/>
    <w:rsid w:val="005A6DA7"/>
    <w:rsid w:val="005B0EF7"/>
    <w:rsid w:val="005B76C2"/>
    <w:rsid w:val="005D314E"/>
    <w:rsid w:val="005D48CE"/>
    <w:rsid w:val="005D6110"/>
    <w:rsid w:val="005E10BA"/>
    <w:rsid w:val="005E1B28"/>
    <w:rsid w:val="005E44BA"/>
    <w:rsid w:val="005F1EEC"/>
    <w:rsid w:val="005F4A21"/>
    <w:rsid w:val="005F7985"/>
    <w:rsid w:val="006031AD"/>
    <w:rsid w:val="00604F95"/>
    <w:rsid w:val="006064E4"/>
    <w:rsid w:val="00610134"/>
    <w:rsid w:val="00613A7B"/>
    <w:rsid w:val="00615148"/>
    <w:rsid w:val="0061649C"/>
    <w:rsid w:val="006250E1"/>
    <w:rsid w:val="00626B50"/>
    <w:rsid w:val="00626B7E"/>
    <w:rsid w:val="00626F51"/>
    <w:rsid w:val="0062740D"/>
    <w:rsid w:val="0063345E"/>
    <w:rsid w:val="00640807"/>
    <w:rsid w:val="006409CD"/>
    <w:rsid w:val="0064671A"/>
    <w:rsid w:val="00655DC7"/>
    <w:rsid w:val="00656961"/>
    <w:rsid w:val="006569CA"/>
    <w:rsid w:val="00656EF2"/>
    <w:rsid w:val="00675D5A"/>
    <w:rsid w:val="00676A7C"/>
    <w:rsid w:val="006777FE"/>
    <w:rsid w:val="006819E8"/>
    <w:rsid w:val="00683AD6"/>
    <w:rsid w:val="0068488F"/>
    <w:rsid w:val="00684EAE"/>
    <w:rsid w:val="00685E21"/>
    <w:rsid w:val="00691F33"/>
    <w:rsid w:val="006A2004"/>
    <w:rsid w:val="006B1EF3"/>
    <w:rsid w:val="006B31E6"/>
    <w:rsid w:val="006B332C"/>
    <w:rsid w:val="006C7122"/>
    <w:rsid w:val="006C78EC"/>
    <w:rsid w:val="006C7B79"/>
    <w:rsid w:val="006D639A"/>
    <w:rsid w:val="006E3C75"/>
    <w:rsid w:val="006E6B76"/>
    <w:rsid w:val="006E7F81"/>
    <w:rsid w:val="006F3E20"/>
    <w:rsid w:val="006F6BDD"/>
    <w:rsid w:val="0070000E"/>
    <w:rsid w:val="00702C02"/>
    <w:rsid w:val="00704261"/>
    <w:rsid w:val="00707A86"/>
    <w:rsid w:val="007112F6"/>
    <w:rsid w:val="007176D1"/>
    <w:rsid w:val="0072687E"/>
    <w:rsid w:val="00732B0A"/>
    <w:rsid w:val="007361F0"/>
    <w:rsid w:val="007569DC"/>
    <w:rsid w:val="00757250"/>
    <w:rsid w:val="007611E7"/>
    <w:rsid w:val="00761263"/>
    <w:rsid w:val="0077023A"/>
    <w:rsid w:val="0077090A"/>
    <w:rsid w:val="00771641"/>
    <w:rsid w:val="00773F69"/>
    <w:rsid w:val="00781A2D"/>
    <w:rsid w:val="00786329"/>
    <w:rsid w:val="00786FDD"/>
    <w:rsid w:val="007873C0"/>
    <w:rsid w:val="00790A2F"/>
    <w:rsid w:val="00791356"/>
    <w:rsid w:val="00791790"/>
    <w:rsid w:val="00792C2B"/>
    <w:rsid w:val="007938CE"/>
    <w:rsid w:val="007A0AD1"/>
    <w:rsid w:val="007A3054"/>
    <w:rsid w:val="007A44B4"/>
    <w:rsid w:val="007A6AB1"/>
    <w:rsid w:val="007B261F"/>
    <w:rsid w:val="007B3547"/>
    <w:rsid w:val="007C0386"/>
    <w:rsid w:val="007C5FA6"/>
    <w:rsid w:val="007C67CF"/>
    <w:rsid w:val="007D61B8"/>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A7C28"/>
    <w:rsid w:val="008B3362"/>
    <w:rsid w:val="008C2748"/>
    <w:rsid w:val="008C4DDB"/>
    <w:rsid w:val="008C591D"/>
    <w:rsid w:val="008C5B82"/>
    <w:rsid w:val="008D309C"/>
    <w:rsid w:val="008D4165"/>
    <w:rsid w:val="008E2980"/>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86A10"/>
    <w:rsid w:val="00992860"/>
    <w:rsid w:val="009A4C0C"/>
    <w:rsid w:val="009B5E32"/>
    <w:rsid w:val="009B70F2"/>
    <w:rsid w:val="009C2F55"/>
    <w:rsid w:val="009C6C3A"/>
    <w:rsid w:val="009D5A68"/>
    <w:rsid w:val="009D757B"/>
    <w:rsid w:val="009E0E0A"/>
    <w:rsid w:val="009E6F74"/>
    <w:rsid w:val="009F0CFF"/>
    <w:rsid w:val="009F1F91"/>
    <w:rsid w:val="009F301F"/>
    <w:rsid w:val="009F32DA"/>
    <w:rsid w:val="00A03E61"/>
    <w:rsid w:val="00A04E63"/>
    <w:rsid w:val="00A17CC0"/>
    <w:rsid w:val="00A17E19"/>
    <w:rsid w:val="00A21DE3"/>
    <w:rsid w:val="00A35DEA"/>
    <w:rsid w:val="00A432CE"/>
    <w:rsid w:val="00A443AC"/>
    <w:rsid w:val="00A45EEA"/>
    <w:rsid w:val="00A47392"/>
    <w:rsid w:val="00A51F2D"/>
    <w:rsid w:val="00A55913"/>
    <w:rsid w:val="00A562F4"/>
    <w:rsid w:val="00A61622"/>
    <w:rsid w:val="00A623E1"/>
    <w:rsid w:val="00A67BCC"/>
    <w:rsid w:val="00A72BDE"/>
    <w:rsid w:val="00A84C56"/>
    <w:rsid w:val="00A84EB6"/>
    <w:rsid w:val="00A86146"/>
    <w:rsid w:val="00A9321B"/>
    <w:rsid w:val="00A97382"/>
    <w:rsid w:val="00A97713"/>
    <w:rsid w:val="00AB11ED"/>
    <w:rsid w:val="00AB54EB"/>
    <w:rsid w:val="00AC4207"/>
    <w:rsid w:val="00AD12E5"/>
    <w:rsid w:val="00AD1EC8"/>
    <w:rsid w:val="00AD3AF5"/>
    <w:rsid w:val="00AD4303"/>
    <w:rsid w:val="00AD521A"/>
    <w:rsid w:val="00AE1BD0"/>
    <w:rsid w:val="00AE2FA2"/>
    <w:rsid w:val="00AE33CD"/>
    <w:rsid w:val="00AF78D0"/>
    <w:rsid w:val="00B16AD2"/>
    <w:rsid w:val="00B2236F"/>
    <w:rsid w:val="00B243F4"/>
    <w:rsid w:val="00B24B5A"/>
    <w:rsid w:val="00B2571E"/>
    <w:rsid w:val="00B32303"/>
    <w:rsid w:val="00B33C9F"/>
    <w:rsid w:val="00B40D5E"/>
    <w:rsid w:val="00B4556D"/>
    <w:rsid w:val="00B47D28"/>
    <w:rsid w:val="00B5602D"/>
    <w:rsid w:val="00B56A7A"/>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5172"/>
    <w:rsid w:val="00BC6A3D"/>
    <w:rsid w:val="00BC7C5F"/>
    <w:rsid w:val="00BD32A3"/>
    <w:rsid w:val="00BD38AD"/>
    <w:rsid w:val="00BD7661"/>
    <w:rsid w:val="00BE1240"/>
    <w:rsid w:val="00BF0322"/>
    <w:rsid w:val="00BF05A2"/>
    <w:rsid w:val="00C02BF9"/>
    <w:rsid w:val="00C07D76"/>
    <w:rsid w:val="00C12248"/>
    <w:rsid w:val="00C129E3"/>
    <w:rsid w:val="00C143D2"/>
    <w:rsid w:val="00C148D7"/>
    <w:rsid w:val="00C14C5A"/>
    <w:rsid w:val="00C20096"/>
    <w:rsid w:val="00C22ED5"/>
    <w:rsid w:val="00C25383"/>
    <w:rsid w:val="00C26A04"/>
    <w:rsid w:val="00C32906"/>
    <w:rsid w:val="00C34C36"/>
    <w:rsid w:val="00C42983"/>
    <w:rsid w:val="00C4453E"/>
    <w:rsid w:val="00C53107"/>
    <w:rsid w:val="00C639A0"/>
    <w:rsid w:val="00C640F0"/>
    <w:rsid w:val="00C65157"/>
    <w:rsid w:val="00C66FF3"/>
    <w:rsid w:val="00C762A4"/>
    <w:rsid w:val="00C9267B"/>
    <w:rsid w:val="00C94D76"/>
    <w:rsid w:val="00C955E8"/>
    <w:rsid w:val="00CA2C77"/>
    <w:rsid w:val="00CA3B41"/>
    <w:rsid w:val="00CA66C7"/>
    <w:rsid w:val="00CA7F1E"/>
    <w:rsid w:val="00CB11E4"/>
    <w:rsid w:val="00CB1F5F"/>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55277"/>
    <w:rsid w:val="00D61E80"/>
    <w:rsid w:val="00D66424"/>
    <w:rsid w:val="00D67878"/>
    <w:rsid w:val="00D70DEE"/>
    <w:rsid w:val="00D7436F"/>
    <w:rsid w:val="00D74DD2"/>
    <w:rsid w:val="00D823B6"/>
    <w:rsid w:val="00D84328"/>
    <w:rsid w:val="00D9250D"/>
    <w:rsid w:val="00D92A75"/>
    <w:rsid w:val="00D94341"/>
    <w:rsid w:val="00D97609"/>
    <w:rsid w:val="00DA06A2"/>
    <w:rsid w:val="00DA08AA"/>
    <w:rsid w:val="00DA4E68"/>
    <w:rsid w:val="00DB03E7"/>
    <w:rsid w:val="00DB0EBF"/>
    <w:rsid w:val="00DB381D"/>
    <w:rsid w:val="00DB7976"/>
    <w:rsid w:val="00DD011C"/>
    <w:rsid w:val="00DD02C6"/>
    <w:rsid w:val="00DD18B2"/>
    <w:rsid w:val="00DD41BA"/>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74F"/>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20E4"/>
    <w:rsid w:val="00F172E6"/>
    <w:rsid w:val="00F17D47"/>
    <w:rsid w:val="00F17DD4"/>
    <w:rsid w:val="00F24E1D"/>
    <w:rsid w:val="00F25953"/>
    <w:rsid w:val="00F32518"/>
    <w:rsid w:val="00F37BEB"/>
    <w:rsid w:val="00F4298A"/>
    <w:rsid w:val="00F44A75"/>
    <w:rsid w:val="00F46D1C"/>
    <w:rsid w:val="00F47DE4"/>
    <w:rsid w:val="00F53A54"/>
    <w:rsid w:val="00F55AAC"/>
    <w:rsid w:val="00F64754"/>
    <w:rsid w:val="00F73661"/>
    <w:rsid w:val="00F81084"/>
    <w:rsid w:val="00F8219A"/>
    <w:rsid w:val="00F92339"/>
    <w:rsid w:val="00F92DDA"/>
    <w:rsid w:val="00F9705F"/>
    <w:rsid w:val="00FA124F"/>
    <w:rsid w:val="00FA6FEC"/>
    <w:rsid w:val="00FB1EFB"/>
    <w:rsid w:val="00FC0A4E"/>
    <w:rsid w:val="00FC2633"/>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EB474F"/>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EB474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175111"/>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175111"/>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4990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2</cp:revision>
  <dcterms:created xsi:type="dcterms:W3CDTF">2020-08-27T14:04:00Z</dcterms:created>
  <dcterms:modified xsi:type="dcterms:W3CDTF">2020-08-27T14:04:00Z</dcterms:modified>
</cp:coreProperties>
</file>