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3B4" w:rsidRDefault="00C113B4" w:rsidP="00C113B4">
      <w:pPr>
        <w:pStyle w:val="af1"/>
        <w:rPr>
          <w:rFonts w:cs="Arial"/>
          <w:sz w:val="24"/>
          <w:szCs w:val="24"/>
          <w:rtl/>
        </w:rPr>
      </w:pPr>
      <w:r w:rsidRPr="00947E35">
        <w:rPr>
          <w:rFonts w:cs="Arial"/>
          <w:sz w:val="24"/>
          <w:szCs w:val="24"/>
          <w:rtl/>
        </w:rPr>
        <w:t xml:space="preserve">הרב </w:t>
      </w:r>
      <w:r>
        <w:rPr>
          <w:rFonts w:cs="Arial" w:hint="cs"/>
          <w:sz w:val="24"/>
          <w:szCs w:val="24"/>
          <w:rtl/>
        </w:rPr>
        <w:t xml:space="preserve">יהודה </w:t>
      </w:r>
      <w:proofErr w:type="spellStart"/>
      <w:r>
        <w:rPr>
          <w:rFonts w:cs="Arial" w:hint="cs"/>
          <w:sz w:val="24"/>
          <w:szCs w:val="24"/>
          <w:rtl/>
        </w:rPr>
        <w:t>עמיטל</w:t>
      </w:r>
      <w:proofErr w:type="spellEnd"/>
      <w:r>
        <w:rPr>
          <w:rFonts w:cs="Arial" w:hint="cs"/>
          <w:sz w:val="24"/>
          <w:szCs w:val="24"/>
          <w:rtl/>
        </w:rPr>
        <w:t xml:space="preserve"> זצ"ל</w:t>
      </w:r>
      <w:r w:rsidRPr="00947E35">
        <w:rPr>
          <w:rFonts w:cs="Arial" w:hint="cs"/>
          <w:sz w:val="24"/>
          <w:szCs w:val="24"/>
          <w:rtl/>
        </w:rPr>
        <w:br/>
        <w:t xml:space="preserve">שיחה לפרשת </w:t>
      </w:r>
      <w:r>
        <w:rPr>
          <w:rFonts w:cs="Arial" w:hint="cs"/>
          <w:sz w:val="24"/>
          <w:szCs w:val="24"/>
          <w:rtl/>
        </w:rPr>
        <w:t>בלק</w:t>
      </w:r>
    </w:p>
    <w:p w:rsidR="00707F76" w:rsidRDefault="00707F76" w:rsidP="00707F76">
      <w:pPr>
        <w:pStyle w:val="1"/>
        <w:rPr>
          <w:rtl/>
        </w:rPr>
      </w:pPr>
      <w:r w:rsidRPr="00707F76">
        <w:rPr>
          <w:rFonts w:hint="cs"/>
          <w:sz w:val="28"/>
          <w:szCs w:val="28"/>
          <w:rtl/>
        </w:rPr>
        <w:t xml:space="preserve">מלחמתנו התמידית </w:t>
      </w:r>
      <w:proofErr w:type="spellStart"/>
      <w:r w:rsidRPr="00707F76">
        <w:rPr>
          <w:rFonts w:hint="cs"/>
          <w:sz w:val="28"/>
          <w:szCs w:val="28"/>
          <w:rtl/>
        </w:rPr>
        <w:t>באידאולגיה</w:t>
      </w:r>
      <w:proofErr w:type="spellEnd"/>
      <w:r w:rsidRPr="00707F76">
        <w:rPr>
          <w:rFonts w:hint="cs"/>
          <w:sz w:val="28"/>
          <w:szCs w:val="28"/>
          <w:rtl/>
        </w:rPr>
        <w:t xml:space="preserve"> של פעור</w:t>
      </w:r>
      <w:r w:rsidRPr="00C1023C">
        <w:rPr>
          <w:rStyle w:val="ab"/>
          <w:rFonts w:eastAsiaTheme="majorEastAsia"/>
          <w:szCs w:val="20"/>
          <w:rtl/>
        </w:rPr>
        <w:footnoteReference w:customMarkFollows="1" w:id="1"/>
        <w:t>*</w:t>
      </w:r>
    </w:p>
    <w:p w:rsidR="00C113B4" w:rsidRDefault="00C113B4" w:rsidP="00C113B4">
      <w:pPr>
        <w:spacing w:line="288" w:lineRule="exact"/>
      </w:pPr>
      <w:r>
        <w:rPr>
          <w:rFonts w:hint="cs"/>
          <w:rtl/>
        </w:rPr>
        <w:t xml:space="preserve">הפסקה האחרונה של הפרשה עוסקת </w:t>
      </w:r>
      <w:proofErr w:type="spellStart"/>
      <w:r>
        <w:rPr>
          <w:rFonts w:hint="cs"/>
          <w:rtl/>
        </w:rPr>
        <w:t>בכשלונם</w:t>
      </w:r>
      <w:proofErr w:type="spellEnd"/>
      <w:r>
        <w:rPr>
          <w:rFonts w:hint="cs"/>
          <w:rtl/>
        </w:rPr>
        <w:t xml:space="preserve"> של בני ישראל בשני חטאים: זנות עם בנות מואב וזביחה לאלוהיהן.</w:t>
      </w:r>
    </w:p>
    <w:p w:rsidR="00C113B4" w:rsidRDefault="00C113B4" w:rsidP="00C113B4">
      <w:pPr>
        <w:spacing w:line="288" w:lineRule="exact"/>
        <w:rPr>
          <w:rtl/>
        </w:rPr>
      </w:pPr>
      <w:r>
        <w:rPr>
          <w:rFonts w:hint="cs"/>
          <w:rtl/>
        </w:rPr>
        <w:t>שני פסוקים מתארים את עבודת האלילים הזאת:</w:t>
      </w:r>
    </w:p>
    <w:p w:rsidR="00707F76" w:rsidRDefault="00707F76" w:rsidP="00707F76">
      <w:pPr>
        <w:pStyle w:val="a5"/>
        <w:rPr>
          <w:rtl/>
        </w:rPr>
      </w:pPr>
      <w:r>
        <w:rPr>
          <w:rFonts w:hint="cs"/>
          <w:rtl/>
        </w:rPr>
        <w:t>"</w:t>
      </w:r>
      <w:r w:rsidRPr="00707F76">
        <w:rPr>
          <w:rtl/>
        </w:rPr>
        <w:t xml:space="preserve">וַתִּקְרֶאןָ לָעָם לְזִבְחֵי </w:t>
      </w:r>
      <w:proofErr w:type="spellStart"/>
      <w:r w:rsidRPr="00707F76">
        <w:rPr>
          <w:rtl/>
        </w:rPr>
        <w:t>אֱלֹהֵיהֶן</w:t>
      </w:r>
      <w:proofErr w:type="spellEnd"/>
      <w:r w:rsidRPr="00707F76">
        <w:rPr>
          <w:rtl/>
        </w:rPr>
        <w:t xml:space="preserve"> וַיֹּאכַל הָעָ</w:t>
      </w:r>
      <w:r>
        <w:rPr>
          <w:rtl/>
        </w:rPr>
        <w:t xml:space="preserve">ם וַיִּשְׁתַּחֲווּ </w:t>
      </w:r>
      <w:proofErr w:type="spellStart"/>
      <w:r>
        <w:rPr>
          <w:rtl/>
        </w:rPr>
        <w:t>לֵאלֹהֵיהֶן</w:t>
      </w:r>
      <w:proofErr w:type="spellEnd"/>
      <w:r>
        <w:rPr>
          <w:rtl/>
        </w:rPr>
        <w:t>:</w:t>
      </w:r>
      <w:r w:rsidRPr="00707F76">
        <w:rPr>
          <w:rtl/>
        </w:rPr>
        <w:t xml:space="preserve"> </w:t>
      </w:r>
      <w:proofErr w:type="spellStart"/>
      <w:r w:rsidRPr="00707F76">
        <w:rPr>
          <w:rtl/>
        </w:rPr>
        <w:t>וַיִּצָּמֶד</w:t>
      </w:r>
      <w:proofErr w:type="spellEnd"/>
      <w:r w:rsidRPr="00707F76">
        <w:rPr>
          <w:rtl/>
        </w:rPr>
        <w:t xml:space="preserve"> יִשְׂרָאֵל לְבַעַל פְּעוֹר </w:t>
      </w:r>
      <w:proofErr w:type="spellStart"/>
      <w:r w:rsidRPr="00707F76">
        <w:rPr>
          <w:rtl/>
        </w:rPr>
        <w:t>וַיִּחַר</w:t>
      </w:r>
      <w:proofErr w:type="spellEnd"/>
      <w:r w:rsidRPr="00707F76">
        <w:rPr>
          <w:rtl/>
        </w:rPr>
        <w:t xml:space="preserve"> אַף ה' בְּיִשְׂרָאֵל:</w:t>
      </w:r>
      <w:r>
        <w:rPr>
          <w:rFonts w:hint="cs"/>
          <w:rtl/>
        </w:rPr>
        <w:t>"</w:t>
      </w:r>
    </w:p>
    <w:p w:rsidR="00C113B4" w:rsidRDefault="00C113B4" w:rsidP="00707F76">
      <w:pPr>
        <w:pStyle w:val="5"/>
        <w:rPr>
          <w:rtl/>
        </w:rPr>
      </w:pPr>
      <w:r>
        <w:rPr>
          <w:rFonts w:hint="cs"/>
          <w:rtl/>
        </w:rPr>
        <w:t>(במדבר כ"ה, ב-ג)</w:t>
      </w:r>
    </w:p>
    <w:p w:rsidR="00C113B4" w:rsidRDefault="00C113B4" w:rsidP="00C113B4">
      <w:pPr>
        <w:spacing w:line="288" w:lineRule="exact"/>
        <w:rPr>
          <w:rtl/>
        </w:rPr>
      </w:pPr>
      <w:r>
        <w:rPr>
          <w:rFonts w:hint="cs"/>
          <w:rtl/>
        </w:rPr>
        <w:t>נראה כי הפסוקים הללו מתייחסים לשתי קבוצות שונות של עובדי אלילים. ממקומות אחרים בתנ"ך ידוע לנו כי האל העיקרי של מואב היה כמוש ולא פעור</w:t>
      </w:r>
      <w:r w:rsidR="00707F76">
        <w:rPr>
          <w:rFonts w:hint="cs"/>
          <w:rtl/>
        </w:rPr>
        <w:t>.</w:t>
      </w:r>
      <w:r w:rsidR="00707F76">
        <w:rPr>
          <w:rStyle w:val="ab"/>
          <w:rtl/>
        </w:rPr>
        <w:footnoteReference w:id="2"/>
      </w:r>
      <w:r>
        <w:rPr>
          <w:rFonts w:hint="cs"/>
          <w:rtl/>
        </w:rPr>
        <w:t xml:space="preserve"> א</w:t>
      </w:r>
      <w:r w:rsidR="00C945EE">
        <w:rPr>
          <w:rFonts w:hint="cs"/>
          <w:rtl/>
        </w:rPr>
        <w:t>ת כמוש עבדו על ידי זבחים והשתחוויות</w:t>
      </w:r>
      <w:r>
        <w:rPr>
          <w:rFonts w:hint="cs"/>
          <w:rtl/>
        </w:rPr>
        <w:t>, כפי שמתואר בפסוק הראשון. את פעור, לעומת זאת, עבדו באופן שונה לחלוטין. עובדי פעור היו מתפשטים לפניו ועושים את צורכיהם.</w:t>
      </w:r>
    </w:p>
    <w:p w:rsidR="00C113B4" w:rsidRDefault="00C113B4" w:rsidP="00C113B4">
      <w:pPr>
        <w:spacing w:line="288" w:lineRule="exact"/>
        <w:rPr>
          <w:rtl/>
        </w:rPr>
      </w:pPr>
      <w:r>
        <w:rPr>
          <w:rFonts w:hint="cs"/>
          <w:rtl/>
        </w:rPr>
        <w:t xml:space="preserve">חשוב לציין, כי חרון אף ה' מוזכר בפסוק העוסק בפעור. יתר על כן, בכל פעם שהתורה מתייחסת לחטא עם בנות מואב, היא מכנה אותו 'דבר פעור' (במדבר כ"ה, </w:t>
      </w:r>
      <w:proofErr w:type="spellStart"/>
      <w:r>
        <w:rPr>
          <w:rFonts w:hint="cs"/>
          <w:rtl/>
        </w:rPr>
        <w:t>יח</w:t>
      </w:r>
      <w:proofErr w:type="spellEnd"/>
      <w:r>
        <w:rPr>
          <w:rFonts w:hint="cs"/>
          <w:rtl/>
        </w:rPr>
        <w:t xml:space="preserve">; ל"א, </w:t>
      </w:r>
      <w:proofErr w:type="spellStart"/>
      <w:r>
        <w:rPr>
          <w:rFonts w:hint="cs"/>
          <w:rtl/>
        </w:rPr>
        <w:t>טז</w:t>
      </w:r>
      <w:proofErr w:type="spellEnd"/>
      <w:r>
        <w:rPr>
          <w:rFonts w:hint="cs"/>
          <w:rtl/>
        </w:rPr>
        <w:t>). מכך אנו למדים כי פעור מבטא את מהות החטא. מספר האנשים שמתו כתוצאה מהחטא היה 24,000. חטא העגל, לעומת זאת, הביא למיתתם של 3000 אנשים בלבד.</w:t>
      </w:r>
    </w:p>
    <w:p w:rsidR="00C113B4" w:rsidRDefault="00C113B4" w:rsidP="00C113B4">
      <w:pPr>
        <w:spacing w:line="288" w:lineRule="exact"/>
        <w:rPr>
          <w:rtl/>
        </w:rPr>
      </w:pPr>
      <w:r>
        <w:rPr>
          <w:rFonts w:hint="cs"/>
          <w:rtl/>
        </w:rPr>
        <w:t>מה גרוע כל כך בפעור, ומדוע הוא מודגש כחטא המרכזי בסיפור?</w:t>
      </w:r>
    </w:p>
    <w:p w:rsidR="00C113B4" w:rsidRDefault="00C945EE" w:rsidP="00C113B4">
      <w:pPr>
        <w:spacing w:line="288" w:lineRule="exact"/>
        <w:rPr>
          <w:rtl/>
        </w:rPr>
      </w:pPr>
      <w:r>
        <w:rPr>
          <w:rFonts w:hint="cs"/>
          <w:rtl/>
        </w:rPr>
        <w:t>הפ</w:t>
      </w:r>
      <w:r w:rsidR="00C113B4">
        <w:rPr>
          <w:rFonts w:hint="cs"/>
          <w:rtl/>
        </w:rPr>
        <w:t>תרון לשאלה זו נעוץ בתשובה לשאלה אחרת: מה גרם לבני ישראל, שבלעם שיבחם זה לא מכבר על כך שלא אימצו מנהגים סוטים מעמים אחרים (במדבר כ"ג) להיכשל בעבודת אלילים זו, שהיא מוזרה במיוחד?</w:t>
      </w:r>
    </w:p>
    <w:p w:rsidR="00C113B4" w:rsidRDefault="00C113B4" w:rsidP="00C113B4">
      <w:pPr>
        <w:spacing w:line="288" w:lineRule="exact"/>
        <w:rPr>
          <w:rtl/>
        </w:rPr>
      </w:pPr>
      <w:r>
        <w:rPr>
          <w:rFonts w:hint="cs"/>
          <w:rtl/>
        </w:rPr>
        <w:t>נחשוב לרגע על האידאולוגיה שמאחורי פרטי הפולחן לפעור. פעור מסמל אידאולוגיה שעדיין אופנתית בימינו. אידאולוגיה זו מכילה שני מרכיבים: הת</w:t>
      </w:r>
      <w:bookmarkStart w:id="1" w:name="_GoBack"/>
      <w:bookmarkEnd w:id="1"/>
      <w:r>
        <w:rPr>
          <w:rFonts w:hint="cs"/>
          <w:rtl/>
        </w:rPr>
        <w:t>נהגות האדם בצורה הטבעית ביותר, וכתוצאה מכך אבדן רגש הבושה.</w:t>
      </w:r>
    </w:p>
    <w:p w:rsidR="00C113B4" w:rsidRDefault="00C113B4" w:rsidP="00C113B4">
      <w:pPr>
        <w:spacing w:line="288" w:lineRule="exact"/>
        <w:rPr>
          <w:rtl/>
        </w:rPr>
      </w:pPr>
      <w:r>
        <w:rPr>
          <w:rFonts w:hint="cs"/>
          <w:rtl/>
        </w:rPr>
        <w:t xml:space="preserve">לפי אידאולוגיה זו אין לאדם כל סיבה להתבייש. מה שטבעי הוא טוב! מדוע מילוי הצרכים הבסיסיים והטבעיים ביותר של האדם צריך לגרום לו להתחבא? למעשה, היינו מצפים </w:t>
      </w:r>
      <w:r>
        <w:rPr>
          <w:rFonts w:hint="cs"/>
          <w:rtl/>
        </w:rPr>
        <w:t>להתנהגות הפוכה מעם ירא א-להים. היינו מצפים שהאדם, החי בתוך מכלול הבריאה המושלמת (גופו המופלא, והעולם הטבעי הסובב אותו) יאמץ אליו את הטבע כפי שהוא, ויציג אותו בגאווה כפי שהא-ל יצרו, מבלי להוסיף או להחסיר ממנו.</w:t>
      </w:r>
    </w:p>
    <w:p w:rsidR="00C113B4" w:rsidRDefault="00C113B4" w:rsidP="00C113B4">
      <w:pPr>
        <w:spacing w:line="288" w:lineRule="exact"/>
        <w:rPr>
          <w:rtl/>
        </w:rPr>
      </w:pPr>
      <w:r>
        <w:rPr>
          <w:rFonts w:hint="cs"/>
          <w:rtl/>
        </w:rPr>
        <w:t xml:space="preserve">טבעי הדבר, שאידיאולוגיה זו תמצא את ביטוייה בפולחן </w:t>
      </w:r>
      <w:r w:rsidR="00C945EE">
        <w:rPr>
          <w:rFonts w:hint="cs"/>
          <w:rtl/>
        </w:rPr>
        <w:t xml:space="preserve">  </w:t>
      </w:r>
      <w:r>
        <w:rPr>
          <w:rFonts w:hint="cs"/>
          <w:rtl/>
        </w:rPr>
        <w:t>הא-ל. מנקודת מבט כזאת, פולחן פעור הוא למעשה שירה, המביעה בבהירות עמדה פילוסופית מפותחת. ברם, היהדות דוחה עמדה זו דחייה מוחלטת.</w:t>
      </w:r>
    </w:p>
    <w:p w:rsidR="00C113B4" w:rsidRDefault="00C113B4" w:rsidP="00C113B4">
      <w:pPr>
        <w:spacing w:line="288" w:lineRule="exact"/>
        <w:rPr>
          <w:rtl/>
        </w:rPr>
      </w:pPr>
      <w:r>
        <w:rPr>
          <w:rFonts w:hint="cs"/>
          <w:rtl/>
        </w:rPr>
        <w:t xml:space="preserve">התורה פותחת במתח שבין הטבעי לבין הבושה. כזכור, תוצאת האכילה מעץ הדעת הייתה ההבחנה בין טוב לרע (בראשית ב', </w:t>
      </w:r>
      <w:proofErr w:type="spellStart"/>
      <w:r>
        <w:rPr>
          <w:rFonts w:hint="cs"/>
          <w:rtl/>
        </w:rPr>
        <w:t>יז</w:t>
      </w:r>
      <w:proofErr w:type="spellEnd"/>
      <w:r>
        <w:rPr>
          <w:rFonts w:hint="cs"/>
          <w:rtl/>
        </w:rPr>
        <w:t>). פעולתם הראשונה של אדם וחוה, לאחר שאכלו מעץ הדעת ורכשו את יכולת ההבחנה בין טוב לרע, הייתה לתפור לעצמם חגורות מהדבר הראשון שמצאו ולכסות את ערוותם (בראשית ג', ז).</w:t>
      </w:r>
    </w:p>
    <w:p w:rsidR="00C113B4" w:rsidRDefault="00C113B4" w:rsidP="00550DDD">
      <w:pPr>
        <w:spacing w:line="288" w:lineRule="exact"/>
        <w:rPr>
          <w:rtl/>
        </w:rPr>
      </w:pPr>
      <w:r>
        <w:rPr>
          <w:rFonts w:hint="cs"/>
          <w:rtl/>
        </w:rPr>
        <w:t>האדם מבטא בצורה ברורה את תגובתו כאשר הוא מבחין שאיננו לבוש: "</w:t>
      </w:r>
      <w:r w:rsidR="00550DDD" w:rsidRPr="00550DDD">
        <w:rPr>
          <w:rtl/>
        </w:rPr>
        <w:t>וָאִירָ</w:t>
      </w:r>
      <w:r w:rsidR="00550DDD">
        <w:rPr>
          <w:rtl/>
        </w:rPr>
        <w:t xml:space="preserve">א כִּי עֵירֹם אָנֹכִי </w:t>
      </w:r>
      <w:proofErr w:type="spellStart"/>
      <w:r w:rsidR="00550DDD">
        <w:rPr>
          <w:rtl/>
        </w:rPr>
        <w:t>וָאֵחָבֵא</w:t>
      </w:r>
      <w:proofErr w:type="spellEnd"/>
      <w:r>
        <w:rPr>
          <w:rFonts w:hint="cs"/>
          <w:rtl/>
        </w:rPr>
        <w:t xml:space="preserve">" (בראשית ג', י). מאוחר יותר, הקב"ה עצמו מלביש את אדם וחוה (בראשית ג', </w:t>
      </w:r>
      <w:proofErr w:type="spellStart"/>
      <w:r>
        <w:rPr>
          <w:rFonts w:hint="cs"/>
          <w:rtl/>
        </w:rPr>
        <w:t>כא</w:t>
      </w:r>
      <w:proofErr w:type="spellEnd"/>
      <w:r>
        <w:rPr>
          <w:rFonts w:hint="cs"/>
          <w:rtl/>
        </w:rPr>
        <w:t>).</w:t>
      </w:r>
    </w:p>
    <w:p w:rsidR="00C113B4" w:rsidRDefault="00C113B4" w:rsidP="00C113B4">
      <w:pPr>
        <w:spacing w:line="288" w:lineRule="exact"/>
        <w:rPr>
          <w:rtl/>
        </w:rPr>
      </w:pPr>
      <w:r>
        <w:rPr>
          <w:rFonts w:hint="cs"/>
          <w:rtl/>
        </w:rPr>
        <w:t>המקובלים מבטאים רעיון זה כרעיון מרכזי בבריאה כולה. שינוי סדר האותיות של המילה 'בראשית' יכול ליצור את המילים 'ירא בשת'. זהו הניגוד של הטבע הלא-מוגבל, וההפך של בעל פעור. תפקידו של האדם אינו רק להיות חלק מהטבע, אלא גם להעלות את הטבע ולהפכו למושלם.</w:t>
      </w:r>
    </w:p>
    <w:p w:rsidR="00C113B4" w:rsidRDefault="00C113B4" w:rsidP="00C113B4">
      <w:pPr>
        <w:spacing w:line="288" w:lineRule="exact"/>
        <w:rPr>
          <w:rtl/>
        </w:rPr>
      </w:pPr>
      <w:r>
        <w:rPr>
          <w:rFonts w:hint="cs"/>
          <w:rtl/>
        </w:rPr>
        <w:t>מאז ימי בעל פעור ועד ימינו היו שהטילו ספק בקביעה התיאולוגית שלפיה על האדם לשנות במידה מסוימת את בריאתו של הא-ל.</w:t>
      </w:r>
    </w:p>
    <w:p w:rsidR="00C113B4" w:rsidRDefault="00C113B4" w:rsidP="00C113B4">
      <w:pPr>
        <w:spacing w:line="288" w:lineRule="exact"/>
        <w:rPr>
          <w:rtl/>
        </w:rPr>
      </w:pPr>
      <w:r>
        <w:rPr>
          <w:rFonts w:hint="cs"/>
          <w:rtl/>
        </w:rPr>
        <w:t>במדרש הידוע (</w:t>
      </w:r>
      <w:proofErr w:type="spellStart"/>
      <w:r>
        <w:rPr>
          <w:rFonts w:hint="cs"/>
          <w:rtl/>
        </w:rPr>
        <w:t>תנחומא</w:t>
      </w:r>
      <w:proofErr w:type="spellEnd"/>
      <w:r>
        <w:rPr>
          <w:rFonts w:hint="cs"/>
          <w:rtl/>
        </w:rPr>
        <w:t xml:space="preserve">, פרשת תזריע) שואל </w:t>
      </w:r>
      <w:proofErr w:type="spellStart"/>
      <w:r>
        <w:rPr>
          <w:rFonts w:hint="cs"/>
          <w:rtl/>
        </w:rPr>
        <w:t>טורנוסרופוס</w:t>
      </w:r>
      <w:proofErr w:type="spellEnd"/>
      <w:r>
        <w:rPr>
          <w:rFonts w:hint="cs"/>
          <w:rtl/>
        </w:rPr>
        <w:t xml:space="preserve"> השליט הרומאי את רבי עקיבא: "איזו מעשים נאים</w:t>
      </w:r>
      <w:r w:rsidR="00550DDD">
        <w:rPr>
          <w:rFonts w:hint="cs"/>
          <w:rtl/>
        </w:rPr>
        <w:t>?</w:t>
      </w:r>
      <w:r>
        <w:rPr>
          <w:rFonts w:hint="cs"/>
          <w:rtl/>
        </w:rPr>
        <w:t xml:space="preserve"> של הקדוש ברוך הוא או של בשר ודם?". רבי עקיבא, שהבין להיכן הוא חותר, השיב כי מעשי בשר ודם נאים יותר. כהוכחה הוא מזכיר את החיטה, שהיא חסרת ערך אלא אם האדם הופך אותה ללחם, ואת הפשתן, הדורש טווייה על ידי האדם.</w:t>
      </w:r>
    </w:p>
    <w:p w:rsidR="00C113B4" w:rsidRDefault="00C113B4" w:rsidP="00C113B4">
      <w:pPr>
        <w:spacing w:line="288" w:lineRule="exact"/>
        <w:rPr>
          <w:rtl/>
        </w:rPr>
      </w:pPr>
      <w:r>
        <w:rPr>
          <w:rFonts w:hint="cs"/>
          <w:rtl/>
        </w:rPr>
        <w:t>למעשה, הרומאי מקשה כאן על חוצפת היהודים במילת בניהם – כיצד אנו מעזים לשנות את מה שהא-ל יצר? אכן, רבי עקיבא משיב לו תשובה ברורה.</w:t>
      </w:r>
    </w:p>
    <w:p w:rsidR="00C113B4" w:rsidRDefault="00C113B4" w:rsidP="00C113B4">
      <w:pPr>
        <w:spacing w:line="288" w:lineRule="exact"/>
        <w:rPr>
          <w:rtl/>
        </w:rPr>
      </w:pPr>
      <w:r>
        <w:rPr>
          <w:rFonts w:hint="cs"/>
          <w:rtl/>
        </w:rPr>
        <w:t xml:space="preserve">הרעיון של רבי עקיבא מהדהד במצוות שונות – החל במצוות המילה, וכלה במצוות כערלת האילן וכמושג הצניעות. אותו הא-ל שברא את העולם, הוא שאמר לבני האדם שמצבו </w:t>
      </w:r>
      <w:r>
        <w:rPr>
          <w:rFonts w:hint="cs"/>
          <w:rtl/>
        </w:rPr>
        <w:lastRenderedPageBreak/>
        <w:t>הטבעי של העולם אינו תמיד מושלם או טוב, וציווה עליהם לדאוג לתיקונו.</w:t>
      </w:r>
    </w:p>
    <w:p w:rsidR="00C113B4" w:rsidRDefault="00C113B4" w:rsidP="00C113B4">
      <w:pPr>
        <w:spacing w:line="288" w:lineRule="exact"/>
        <w:rPr>
          <w:rtl/>
        </w:rPr>
      </w:pPr>
      <w:r>
        <w:rPr>
          <w:rFonts w:hint="cs"/>
          <w:rtl/>
        </w:rPr>
        <w:t>דחיית האידאולוגיה ה'טבעית' של פעור מוצאת את ביטויה לא רק בתחילת התורה ובמצוותיה השונות, כי אם גם בחתימתה. בתיאור מקום קבורת משה רבנו אומרת התורה:</w:t>
      </w:r>
    </w:p>
    <w:p w:rsidR="008D391A" w:rsidRDefault="008D391A" w:rsidP="008D391A">
      <w:pPr>
        <w:pStyle w:val="a5"/>
        <w:rPr>
          <w:rtl/>
        </w:rPr>
      </w:pPr>
      <w:r>
        <w:rPr>
          <w:rFonts w:hint="cs"/>
          <w:rtl/>
        </w:rPr>
        <w:t>"</w:t>
      </w:r>
      <w:r w:rsidRPr="008D391A">
        <w:rPr>
          <w:rtl/>
        </w:rPr>
        <w:t xml:space="preserve">וַיִּקְבֹּר אֹתוֹ </w:t>
      </w:r>
      <w:proofErr w:type="spellStart"/>
      <w:r w:rsidRPr="008D391A">
        <w:rPr>
          <w:rtl/>
        </w:rPr>
        <w:t>בַגַּי</w:t>
      </w:r>
      <w:proofErr w:type="spellEnd"/>
      <w:r w:rsidRPr="008D391A">
        <w:rPr>
          <w:rtl/>
        </w:rPr>
        <w:t>ְ בְּאֶרֶץ מוֹאָב מוּל בֵּית פְּעוֹר</w:t>
      </w:r>
      <w:r>
        <w:rPr>
          <w:rFonts w:hint="cs"/>
          <w:rtl/>
        </w:rPr>
        <w:t>."</w:t>
      </w:r>
    </w:p>
    <w:p w:rsidR="008D391A" w:rsidRDefault="008D391A" w:rsidP="008D391A">
      <w:pPr>
        <w:pStyle w:val="5"/>
        <w:rPr>
          <w:rtl/>
        </w:rPr>
      </w:pPr>
      <w:r>
        <w:rPr>
          <w:rFonts w:hint="cs"/>
          <w:rtl/>
        </w:rPr>
        <w:t>(דברים ל"ד, ו)</w:t>
      </w:r>
    </w:p>
    <w:p w:rsidR="00C113B4" w:rsidRDefault="00C113B4" w:rsidP="00C113B4">
      <w:pPr>
        <w:spacing w:line="288" w:lineRule="exact"/>
        <w:rPr>
          <w:rtl/>
        </w:rPr>
      </w:pPr>
      <w:r>
        <w:rPr>
          <w:rFonts w:hint="cs"/>
          <w:rtl/>
        </w:rPr>
        <w:t>אי אפשר שלא לתהות מדוע אין התורה מתארת את המקום באופן מחמיא יותר. האם לא ניתן היה לסיים את התורה מבלי להזכיר את פעור?</w:t>
      </w:r>
    </w:p>
    <w:p w:rsidR="00C113B4" w:rsidRDefault="00C113B4" w:rsidP="00C113B4">
      <w:pPr>
        <w:spacing w:line="288" w:lineRule="exact"/>
        <w:rPr>
          <w:rtl/>
        </w:rPr>
      </w:pPr>
      <w:r>
        <w:rPr>
          <w:rFonts w:hint="cs"/>
          <w:rtl/>
        </w:rPr>
        <w:t>הזיקה בין המעשה המתואר בפרשתנו, לבין קבורת משה – האיש שניתן לראותו כהתגלמות התורה – ברורה לאור הנאמר לעיל. התנגדותה של התורה לאידאולוגיה של פעור מסומלת בבירור על ידי הניגוד המוחלט: משה ותורתו, מול פעור ומקדשו. משה מוצב עולמית כנגד פעור.</w:t>
      </w:r>
    </w:p>
    <w:p w:rsidR="00C113B4" w:rsidRDefault="00C113B4" w:rsidP="00C113B4">
      <w:pPr>
        <w:spacing w:line="288" w:lineRule="exact"/>
        <w:rPr>
          <w:rtl/>
        </w:rPr>
      </w:pPr>
      <w:r>
        <w:rPr>
          <w:rFonts w:hint="cs"/>
          <w:rtl/>
        </w:rPr>
        <w:t>אחד מיסודי תורתנו הוא שלא כל הטבעי טוב הוא. והתורה, תחומה בין פרשת 'בראשית' לבין פרשת 'וזאת הברכה', המזכירות שתיהן יסוד זה.</w:t>
      </w:r>
    </w:p>
    <w:p w:rsidR="00C113B4" w:rsidRDefault="00C113B4" w:rsidP="00C113B4">
      <w:pPr>
        <w:autoSpaceDE/>
        <w:autoSpaceDN/>
        <w:spacing w:line="288" w:lineRule="exact"/>
        <w:rPr>
          <w:rtl/>
        </w:rPr>
      </w:pPr>
    </w:p>
    <w:p w:rsidR="00C113B4" w:rsidRDefault="00C113B4" w:rsidP="00707F76">
      <w:pPr>
        <w:autoSpaceDE/>
        <w:autoSpaceDN/>
        <w:spacing w:line="240" w:lineRule="auto"/>
        <w:rPr>
          <w:rtl/>
        </w:rPr>
      </w:pPr>
    </w:p>
    <w:p w:rsidR="008D391A" w:rsidRDefault="008D391A" w:rsidP="00707F76">
      <w:pPr>
        <w:autoSpaceDE/>
        <w:autoSpaceDN/>
        <w:spacing w:line="240" w:lineRule="auto"/>
        <w:rPr>
          <w:rtl/>
        </w:rPr>
      </w:pPr>
    </w:p>
    <w:p w:rsidR="008D391A" w:rsidRDefault="008D391A" w:rsidP="00707F76">
      <w:pPr>
        <w:autoSpaceDE/>
        <w:autoSpaceDN/>
        <w:spacing w:line="240" w:lineRule="auto"/>
        <w:rPr>
          <w:rtl/>
        </w:rPr>
      </w:pPr>
    </w:p>
    <w:p w:rsidR="00C113B4" w:rsidRDefault="00C113B4" w:rsidP="00C113B4">
      <w:pPr>
        <w:autoSpaceDE/>
        <w:autoSpaceDN/>
        <w:spacing w:line="288" w:lineRule="exact"/>
        <w:rPr>
          <w:rtl/>
        </w:rPr>
      </w:pPr>
    </w:p>
    <w:p w:rsidR="00C113B4" w:rsidRPr="005E6454" w:rsidRDefault="00C113B4" w:rsidP="00C113B4">
      <w:pPr>
        <w:autoSpaceDE/>
        <w:autoSpaceDN/>
        <w:spacing w:line="288" w:lineRule="exact"/>
        <w:rPr>
          <w:rtl/>
        </w:rPr>
      </w:pPr>
    </w:p>
    <w:p w:rsidR="00C113B4" w:rsidRDefault="00C113B4" w:rsidP="00C113B4">
      <w:pPr>
        <w:pStyle w:val="a9"/>
        <w:rPr>
          <w:sz w:val="16"/>
          <w:rtl/>
        </w:rPr>
      </w:pPr>
    </w:p>
    <w:tbl>
      <w:tblPr>
        <w:bidiVisual/>
        <w:tblW w:w="0" w:type="auto"/>
        <w:jc w:val="center"/>
        <w:tblLayout w:type="fixed"/>
        <w:tblLook w:val="0000" w:firstRow="0" w:lastRow="0" w:firstColumn="0" w:lastColumn="0" w:noHBand="0" w:noVBand="0"/>
      </w:tblPr>
      <w:tblGrid>
        <w:gridCol w:w="283"/>
        <w:gridCol w:w="4111"/>
        <w:gridCol w:w="284"/>
      </w:tblGrid>
      <w:tr w:rsidR="00C113B4" w:rsidTr="00B15173">
        <w:trPr>
          <w:jc w:val="center"/>
        </w:trPr>
        <w:tc>
          <w:tcPr>
            <w:tcW w:w="283" w:type="dxa"/>
            <w:tcBorders>
              <w:top w:val="nil"/>
              <w:left w:val="nil"/>
              <w:bottom w:val="nil"/>
              <w:right w:val="nil"/>
            </w:tcBorders>
          </w:tcPr>
          <w:p w:rsidR="00C113B4" w:rsidRDefault="00C113B4" w:rsidP="00B15173">
            <w:pPr>
              <w:pStyle w:val="af"/>
              <w:rPr>
                <w:rtl/>
              </w:rPr>
            </w:pPr>
            <w:r>
              <w:rPr>
                <w:rtl/>
              </w:rPr>
              <w:t>*</w:t>
            </w:r>
          </w:p>
        </w:tc>
        <w:tc>
          <w:tcPr>
            <w:tcW w:w="4111" w:type="dxa"/>
            <w:tcBorders>
              <w:top w:val="nil"/>
              <w:left w:val="nil"/>
              <w:bottom w:val="nil"/>
              <w:right w:val="nil"/>
            </w:tcBorders>
          </w:tcPr>
          <w:p w:rsidR="00C113B4" w:rsidRDefault="00C113B4" w:rsidP="00B15173">
            <w:pPr>
              <w:pStyle w:val="af"/>
              <w:rPr>
                <w:rtl/>
              </w:rPr>
            </w:pPr>
            <w:r>
              <w:rPr>
                <w:rtl/>
              </w:rPr>
              <w:t>**********************************************************</w:t>
            </w:r>
          </w:p>
        </w:tc>
        <w:tc>
          <w:tcPr>
            <w:tcW w:w="284" w:type="dxa"/>
            <w:tcBorders>
              <w:top w:val="nil"/>
              <w:left w:val="nil"/>
              <w:bottom w:val="nil"/>
              <w:right w:val="nil"/>
            </w:tcBorders>
          </w:tcPr>
          <w:p w:rsidR="00C113B4" w:rsidRDefault="00C113B4" w:rsidP="00B15173">
            <w:pPr>
              <w:pStyle w:val="af"/>
              <w:rPr>
                <w:rtl/>
              </w:rPr>
            </w:pPr>
            <w:r>
              <w:rPr>
                <w:rtl/>
              </w:rPr>
              <w:t>*</w:t>
            </w:r>
          </w:p>
        </w:tc>
      </w:tr>
      <w:tr w:rsidR="00C113B4" w:rsidTr="00B15173">
        <w:trPr>
          <w:jc w:val="center"/>
        </w:trPr>
        <w:tc>
          <w:tcPr>
            <w:tcW w:w="283" w:type="dxa"/>
            <w:tcBorders>
              <w:top w:val="nil"/>
              <w:left w:val="nil"/>
              <w:bottom w:val="nil"/>
              <w:right w:val="nil"/>
            </w:tcBorders>
          </w:tcPr>
          <w:p w:rsidR="00C113B4" w:rsidRDefault="00C113B4" w:rsidP="00B15173">
            <w:pPr>
              <w:pStyle w:val="af"/>
              <w:rPr>
                <w:rtl/>
              </w:rPr>
            </w:pPr>
            <w:r>
              <w:rPr>
                <w:rtl/>
              </w:rPr>
              <w:t>* * * * * * * * * *</w:t>
            </w:r>
          </w:p>
        </w:tc>
        <w:tc>
          <w:tcPr>
            <w:tcW w:w="4111" w:type="dxa"/>
            <w:tcBorders>
              <w:top w:val="nil"/>
              <w:left w:val="nil"/>
              <w:bottom w:val="nil"/>
              <w:right w:val="nil"/>
            </w:tcBorders>
          </w:tcPr>
          <w:p w:rsidR="008D391A" w:rsidRDefault="00C113B4" w:rsidP="008D391A">
            <w:pPr>
              <w:pStyle w:val="af"/>
              <w:rPr>
                <w:rtl/>
              </w:rPr>
            </w:pPr>
            <w:r>
              <w:rPr>
                <w:rtl/>
              </w:rPr>
              <w:t>כל</w:t>
            </w:r>
            <w:r w:rsidR="008D391A">
              <w:rPr>
                <w:rtl/>
              </w:rPr>
              <w:t xml:space="preserve"> הזכויות שמורות לישיבת הר עציון</w:t>
            </w:r>
            <w:r w:rsidR="008D391A">
              <w:rPr>
                <w:rFonts w:hint="cs"/>
                <w:rtl/>
              </w:rPr>
              <w:t xml:space="preserve"> ולר יהודה עמיטל זצ"ל</w:t>
            </w:r>
          </w:p>
          <w:p w:rsidR="008D391A" w:rsidRDefault="008D391A" w:rsidP="008D391A">
            <w:pPr>
              <w:pStyle w:val="af"/>
              <w:rPr>
                <w:rtl/>
              </w:rPr>
            </w:pPr>
            <w:r>
              <w:rPr>
                <w:rFonts w:hint="cs"/>
                <w:rtl/>
              </w:rPr>
              <w:t>עורך: אלישע אורון, תשע"ז</w:t>
            </w:r>
          </w:p>
          <w:p w:rsidR="00C113B4" w:rsidRDefault="00C113B4" w:rsidP="008D391A">
            <w:pPr>
              <w:pStyle w:val="af"/>
              <w:rPr>
                <w:rtl/>
              </w:rPr>
            </w:pPr>
            <w:r>
              <w:rPr>
                <w:rtl/>
              </w:rPr>
              <w:t xml:space="preserve"> *******************************************************</w:t>
            </w:r>
          </w:p>
          <w:p w:rsidR="00C113B4" w:rsidRDefault="00C113B4" w:rsidP="00B15173">
            <w:pPr>
              <w:pStyle w:val="af"/>
              <w:rPr>
                <w:rtl/>
              </w:rPr>
            </w:pPr>
          </w:p>
          <w:p w:rsidR="00C113B4" w:rsidRDefault="00C113B4" w:rsidP="00B15173">
            <w:pPr>
              <w:pStyle w:val="af"/>
              <w:rPr>
                <w:rtl/>
              </w:rPr>
            </w:pPr>
            <w:r>
              <w:rPr>
                <w:rtl/>
              </w:rPr>
              <w:t>בית המדרש הוירטואלי שליד ישיבת הר עציון</w:t>
            </w:r>
          </w:p>
          <w:p w:rsidR="00C113B4" w:rsidRDefault="00C113B4" w:rsidP="00B15173">
            <w:pPr>
              <w:pStyle w:val="af"/>
              <w:rPr>
                <w:rFonts w:ascii="Times New Roman" w:hAnsi="Times New Roman"/>
                <w:rtl/>
              </w:rPr>
            </w:pPr>
            <w:r>
              <w:rPr>
                <w:rtl/>
              </w:rPr>
              <w:t>האתר בעברית:</w:t>
            </w:r>
            <w:r>
              <w:rPr>
                <w:rtl/>
              </w:rPr>
              <w:tab/>
            </w:r>
            <w:hyperlink r:id="rId7" w:history="1">
              <w:r w:rsidRPr="00092F32">
                <w:rPr>
                  <w:rStyle w:val="Hyperlink"/>
                </w:rPr>
                <w:t>http://www.etzion.org.il/vbm</w:t>
              </w:r>
            </w:hyperlink>
          </w:p>
          <w:p w:rsidR="00C113B4" w:rsidRDefault="00C113B4" w:rsidP="00B15173">
            <w:pPr>
              <w:pStyle w:val="af"/>
              <w:rPr>
                <w:rFonts w:ascii="Times New Roman" w:hAnsi="Times New Roman"/>
                <w:rtl/>
              </w:rPr>
            </w:pPr>
            <w:r>
              <w:rPr>
                <w:rtl/>
              </w:rPr>
              <w:t>האתר באנגלית:</w:t>
            </w:r>
            <w:r>
              <w:rPr>
                <w:rtl/>
              </w:rPr>
              <w:tab/>
            </w:r>
            <w:hyperlink r:id="rId8" w:history="1">
              <w:r>
                <w:rPr>
                  <w:rStyle w:val="Hyperlink"/>
                </w:rPr>
                <w:t>http://www.vbm-torah.org</w:t>
              </w:r>
            </w:hyperlink>
          </w:p>
          <w:p w:rsidR="00C113B4" w:rsidRDefault="00C113B4" w:rsidP="00B15173">
            <w:pPr>
              <w:pStyle w:val="af"/>
              <w:rPr>
                <w:rtl/>
              </w:rPr>
            </w:pPr>
          </w:p>
          <w:p w:rsidR="00C113B4" w:rsidRDefault="00C113B4" w:rsidP="00B15173">
            <w:pPr>
              <w:pStyle w:val="af"/>
              <w:rPr>
                <w:rFonts w:ascii="Times New Roman" w:hAnsi="Times New Roman"/>
                <w:rtl/>
              </w:rPr>
            </w:pPr>
            <w:r>
              <w:rPr>
                <w:rtl/>
              </w:rPr>
              <w:t xml:space="preserve">משרדי בית המדרש הוירטואלי: 02-9937300 שלוחה 5 </w:t>
            </w:r>
          </w:p>
          <w:p w:rsidR="00C113B4" w:rsidRDefault="00C113B4" w:rsidP="00B15173">
            <w:pPr>
              <w:pStyle w:val="af"/>
              <w:rPr>
                <w:rtl/>
              </w:rPr>
            </w:pPr>
            <w:r>
              <w:rPr>
                <w:rtl/>
              </w:rPr>
              <w:t xml:space="preserve">דואל: </w:t>
            </w:r>
            <w:hyperlink r:id="rId9" w:history="1">
              <w:r>
                <w:rPr>
                  <w:rStyle w:val="Hyperlink"/>
                </w:rPr>
                <w:t>office@etzion.org.il</w:t>
              </w:r>
            </w:hyperlink>
          </w:p>
        </w:tc>
        <w:tc>
          <w:tcPr>
            <w:tcW w:w="284" w:type="dxa"/>
            <w:tcBorders>
              <w:top w:val="nil"/>
              <w:left w:val="nil"/>
              <w:bottom w:val="nil"/>
              <w:right w:val="nil"/>
            </w:tcBorders>
          </w:tcPr>
          <w:p w:rsidR="00C113B4" w:rsidRDefault="00C113B4" w:rsidP="00B15173">
            <w:pPr>
              <w:pStyle w:val="af"/>
              <w:rPr>
                <w:rtl/>
              </w:rPr>
            </w:pPr>
            <w:r>
              <w:rPr>
                <w:rtl/>
              </w:rPr>
              <w:t xml:space="preserve">* * * * * * * * * * </w:t>
            </w:r>
          </w:p>
        </w:tc>
      </w:tr>
      <w:tr w:rsidR="00C113B4" w:rsidTr="00B15173">
        <w:trPr>
          <w:jc w:val="center"/>
        </w:trPr>
        <w:tc>
          <w:tcPr>
            <w:tcW w:w="283" w:type="dxa"/>
            <w:tcBorders>
              <w:top w:val="nil"/>
              <w:left w:val="nil"/>
              <w:bottom w:val="nil"/>
              <w:right w:val="nil"/>
            </w:tcBorders>
          </w:tcPr>
          <w:p w:rsidR="00C113B4" w:rsidRDefault="00C113B4" w:rsidP="00B15173">
            <w:pPr>
              <w:pStyle w:val="af"/>
              <w:rPr>
                <w:rtl/>
              </w:rPr>
            </w:pPr>
            <w:r>
              <w:rPr>
                <w:rtl/>
              </w:rPr>
              <w:t>*</w:t>
            </w:r>
          </w:p>
        </w:tc>
        <w:tc>
          <w:tcPr>
            <w:tcW w:w="4111" w:type="dxa"/>
            <w:tcBorders>
              <w:top w:val="nil"/>
              <w:left w:val="nil"/>
              <w:bottom w:val="nil"/>
              <w:right w:val="nil"/>
            </w:tcBorders>
          </w:tcPr>
          <w:p w:rsidR="00C113B4" w:rsidRDefault="00C113B4" w:rsidP="00B15173">
            <w:pPr>
              <w:pStyle w:val="af"/>
              <w:rPr>
                <w:rtl/>
              </w:rPr>
            </w:pPr>
            <w:r>
              <w:rPr>
                <w:rtl/>
              </w:rPr>
              <w:t>**********************************************************</w:t>
            </w:r>
          </w:p>
        </w:tc>
        <w:tc>
          <w:tcPr>
            <w:tcW w:w="284" w:type="dxa"/>
            <w:tcBorders>
              <w:top w:val="nil"/>
              <w:left w:val="nil"/>
              <w:bottom w:val="nil"/>
              <w:right w:val="nil"/>
            </w:tcBorders>
          </w:tcPr>
          <w:p w:rsidR="00C113B4" w:rsidRDefault="00C113B4" w:rsidP="00B15173">
            <w:pPr>
              <w:pStyle w:val="af"/>
              <w:rPr>
                <w:rtl/>
              </w:rPr>
            </w:pPr>
            <w:r>
              <w:rPr>
                <w:rtl/>
              </w:rPr>
              <w:t>*</w:t>
            </w:r>
          </w:p>
        </w:tc>
      </w:tr>
    </w:tbl>
    <w:p w:rsidR="00C113B4" w:rsidRDefault="00C113B4" w:rsidP="00C113B4">
      <w:pPr>
        <w:jc w:val="center"/>
        <w:rPr>
          <w:b/>
          <w:bCs/>
          <w:rtl/>
        </w:rPr>
      </w:pPr>
    </w:p>
    <w:p w:rsidR="00CC65E6" w:rsidRPr="00C113B4" w:rsidRDefault="00CC65E6" w:rsidP="00C113B4">
      <w:pPr>
        <w:rPr>
          <w:szCs w:val="20"/>
          <w:rtl/>
        </w:rPr>
      </w:pPr>
    </w:p>
    <w:sectPr w:rsidR="00CC65E6" w:rsidRPr="00C113B4" w:rsidSect="005F7985">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17A" w:rsidRDefault="00E1117A" w:rsidP="005F7985">
      <w:pPr>
        <w:spacing w:after="0" w:line="240" w:lineRule="auto"/>
      </w:pPr>
      <w:r>
        <w:separator/>
      </w:r>
    </w:p>
  </w:endnote>
  <w:endnote w:type="continuationSeparator" w:id="0">
    <w:p w:rsidR="00E1117A" w:rsidRDefault="00E1117A"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17A" w:rsidRDefault="00E1117A" w:rsidP="005F7985">
      <w:pPr>
        <w:spacing w:after="0" w:line="240" w:lineRule="auto"/>
      </w:pPr>
      <w:r>
        <w:separator/>
      </w:r>
    </w:p>
  </w:footnote>
  <w:footnote w:type="continuationSeparator" w:id="0">
    <w:p w:rsidR="00E1117A" w:rsidRDefault="00E1117A" w:rsidP="005F7985">
      <w:pPr>
        <w:spacing w:after="0" w:line="240" w:lineRule="auto"/>
      </w:pPr>
      <w:r>
        <w:continuationSeparator/>
      </w:r>
    </w:p>
  </w:footnote>
  <w:footnote w:id="1">
    <w:p w:rsidR="00707F76" w:rsidRPr="00550DDD" w:rsidRDefault="00707F76" w:rsidP="00707F76">
      <w:pPr>
        <w:pStyle w:val="a9"/>
        <w:rPr>
          <w:sz w:val="18"/>
          <w:rtl/>
        </w:rPr>
      </w:pPr>
      <w:r w:rsidRPr="00550DDD">
        <w:rPr>
          <w:rStyle w:val="ab"/>
          <w:rFonts w:eastAsiaTheme="majorEastAsia"/>
          <w:rtl/>
        </w:rPr>
        <w:t>*</w:t>
      </w:r>
      <w:r w:rsidRPr="00550DDD">
        <w:rPr>
          <w:rFonts w:hint="cs"/>
          <w:sz w:val="18"/>
          <w:rtl/>
        </w:rPr>
        <w:t xml:space="preserve"> </w:t>
      </w:r>
      <w:bookmarkStart w:id="0" w:name="_ftn1"/>
      <w:bookmarkEnd w:id="0"/>
      <w:r w:rsidRPr="00550DDD">
        <w:rPr>
          <w:rFonts w:hint="cs"/>
          <w:sz w:val="18"/>
          <w:rtl/>
        </w:rPr>
        <w:tab/>
        <w:t>השיחה הועברה בשנת ה'תשס"ט. סיכום השיחה לא עבר את ביקורת הרב.</w:t>
      </w:r>
    </w:p>
  </w:footnote>
  <w:footnote w:id="2">
    <w:p w:rsidR="00707F76" w:rsidRPr="00550DDD" w:rsidRDefault="00707F76" w:rsidP="00C945EE">
      <w:pPr>
        <w:pStyle w:val="a9"/>
        <w:rPr>
          <w:sz w:val="18"/>
        </w:rPr>
      </w:pPr>
      <w:r w:rsidRPr="00550DDD">
        <w:rPr>
          <w:rStyle w:val="ab"/>
        </w:rPr>
        <w:footnoteRef/>
      </w:r>
      <w:r w:rsidRPr="00550DDD">
        <w:rPr>
          <w:sz w:val="18"/>
          <w:rtl/>
        </w:rPr>
        <w:t xml:space="preserve"> </w:t>
      </w:r>
      <w:r w:rsidR="00C945EE" w:rsidRPr="00550DDD">
        <w:rPr>
          <w:rFonts w:hint="cs"/>
          <w:sz w:val="18"/>
          <w:rtl/>
        </w:rPr>
        <w:t xml:space="preserve">במדבר כ"א, </w:t>
      </w:r>
      <w:proofErr w:type="spellStart"/>
      <w:r w:rsidR="00C945EE" w:rsidRPr="00550DDD">
        <w:rPr>
          <w:rFonts w:hint="cs"/>
          <w:sz w:val="18"/>
          <w:rtl/>
        </w:rPr>
        <w:t>כ</w:t>
      </w:r>
      <w:r w:rsidRPr="00550DDD">
        <w:rPr>
          <w:rFonts w:hint="cs"/>
          <w:sz w:val="18"/>
          <w:rtl/>
        </w:rPr>
        <w:t>ט</w:t>
      </w:r>
      <w:proofErr w:type="spellEnd"/>
      <w:r w:rsidR="00C945EE" w:rsidRPr="00550DDD">
        <w:rPr>
          <w:rFonts w:hint="cs"/>
          <w:sz w:val="18"/>
          <w:rtl/>
        </w:rPr>
        <w:t>;</w:t>
      </w:r>
      <w:r w:rsidRPr="00550DDD">
        <w:rPr>
          <w:rFonts w:hint="cs"/>
          <w:sz w:val="18"/>
          <w:rtl/>
        </w:rPr>
        <w:t xml:space="preserve"> </w:t>
      </w:r>
      <w:r w:rsidR="00C945EE" w:rsidRPr="00550DDD">
        <w:rPr>
          <w:rFonts w:hint="cs"/>
          <w:sz w:val="18"/>
          <w:rtl/>
        </w:rPr>
        <w:t>מלכים א', י"א, לג; ירמיהו מ"ח, מ</w:t>
      </w:r>
      <w:r w:rsidRPr="00550DDD">
        <w:rPr>
          <w:rFonts w:hint="cs"/>
          <w:sz w:val="18"/>
          <w:rtl/>
        </w:rPr>
        <w:t>ו ועוד.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023" w:rsidRDefault="00863023">
    <w:pPr>
      <w:pStyle w:val="ac"/>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D391A">
      <w:rPr>
        <w:b/>
        <w:bCs/>
        <w:noProof/>
        <w:sz w:val="21"/>
        <w:rtl/>
      </w:rPr>
      <w:t>2</w:t>
    </w:r>
    <w:r>
      <w:rPr>
        <w:b/>
        <w:bCs/>
        <w:sz w:val="21"/>
        <w:rtl/>
      </w:rPr>
      <w:fldChar w:fldCharType="end"/>
    </w:r>
    <w:r>
      <w:rPr>
        <w:b/>
        <w:bCs/>
        <w:sz w:val="21"/>
        <w:rtl/>
      </w:rPr>
      <w:t xml:space="preserve"> -</w:t>
    </w:r>
  </w:p>
  <w:p w:rsidR="00863023" w:rsidRDefault="008630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863023">
      <w:tc>
        <w:tcPr>
          <w:tcW w:w="4927" w:type="dxa"/>
          <w:tcBorders>
            <w:top w:val="nil"/>
            <w:left w:val="nil"/>
            <w:bottom w:val="double" w:sz="4" w:space="0" w:color="auto"/>
            <w:right w:val="nil"/>
          </w:tcBorders>
        </w:tcPr>
        <w:p w:rsidR="00863023" w:rsidRDefault="00863023">
          <w:pPr>
            <w:pStyle w:val="ac"/>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863023" w:rsidRDefault="00863023">
          <w:pPr>
            <w:pStyle w:val="ac"/>
            <w:tabs>
              <w:tab w:val="clear" w:pos="4153"/>
              <w:tab w:val="clear" w:pos="8306"/>
              <w:tab w:val="center" w:pos="4818"/>
              <w:tab w:val="right" w:pos="8220"/>
            </w:tabs>
            <w:spacing w:after="0"/>
            <w:rPr>
              <w:sz w:val="21"/>
              <w:rtl/>
            </w:rPr>
          </w:pPr>
          <w:r>
            <w:rPr>
              <w:sz w:val="21"/>
              <w:rtl/>
            </w:rPr>
            <w:t>שליד ישיבת הר עציון</w:t>
          </w:r>
        </w:p>
        <w:p w:rsidR="00863023" w:rsidRDefault="00863023">
          <w:pPr>
            <w:pStyle w:val="ac"/>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863023" w:rsidRDefault="00863023">
          <w:pPr>
            <w:pStyle w:val="ac"/>
            <w:tabs>
              <w:tab w:val="clear" w:pos="4153"/>
              <w:tab w:val="clear" w:pos="8306"/>
              <w:tab w:val="right" w:pos="8220"/>
            </w:tabs>
            <w:bidi w:val="0"/>
            <w:spacing w:after="0" w:line="240" w:lineRule="auto"/>
            <w:jc w:val="left"/>
            <w:rPr>
              <w:sz w:val="28"/>
            </w:rPr>
          </w:pPr>
          <w:r>
            <w:rPr>
              <w:b/>
              <w:bCs/>
              <w:sz w:val="28"/>
            </w:rPr>
            <w:t>www.etzion.org.il/vbm</w:t>
          </w:r>
        </w:p>
      </w:tc>
    </w:tr>
  </w:tbl>
  <w:p w:rsidR="00863023" w:rsidRDefault="00863023">
    <w:pPr>
      <w:pStyle w:val="ac"/>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3B67"/>
    <w:multiLevelType w:val="hybridMultilevel"/>
    <w:tmpl w:val="221CCE4A"/>
    <w:lvl w:ilvl="0" w:tplc="B4747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4D4F85"/>
    <w:multiLevelType w:val="hybridMultilevel"/>
    <w:tmpl w:val="393862BE"/>
    <w:lvl w:ilvl="0" w:tplc="ED78B5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EB3341"/>
    <w:multiLevelType w:val="hybridMultilevel"/>
    <w:tmpl w:val="F06AD44C"/>
    <w:lvl w:ilvl="0" w:tplc="B4747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607F4"/>
    <w:multiLevelType w:val="hybridMultilevel"/>
    <w:tmpl w:val="5404964C"/>
    <w:lvl w:ilvl="0" w:tplc="67B0427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16FCE"/>
    <w:rsid w:val="000458BC"/>
    <w:rsid w:val="0005589C"/>
    <w:rsid w:val="00067E9B"/>
    <w:rsid w:val="000827D2"/>
    <w:rsid w:val="000A18FC"/>
    <w:rsid w:val="000C5549"/>
    <w:rsid w:val="000D00CA"/>
    <w:rsid w:val="000E5AFD"/>
    <w:rsid w:val="000F3A8C"/>
    <w:rsid w:val="001032CB"/>
    <w:rsid w:val="00111633"/>
    <w:rsid w:val="00117B74"/>
    <w:rsid w:val="00120403"/>
    <w:rsid w:val="00124BE4"/>
    <w:rsid w:val="00134C7B"/>
    <w:rsid w:val="00143837"/>
    <w:rsid w:val="001502DB"/>
    <w:rsid w:val="001513E2"/>
    <w:rsid w:val="00197D62"/>
    <w:rsid w:val="001A2419"/>
    <w:rsid w:val="001A3EF5"/>
    <w:rsid w:val="001B34F2"/>
    <w:rsid w:val="001C0398"/>
    <w:rsid w:val="001C08DD"/>
    <w:rsid w:val="001F137C"/>
    <w:rsid w:val="002200F1"/>
    <w:rsid w:val="00231486"/>
    <w:rsid w:val="00234036"/>
    <w:rsid w:val="0026536C"/>
    <w:rsid w:val="00272817"/>
    <w:rsid w:val="002756E2"/>
    <w:rsid w:val="00277060"/>
    <w:rsid w:val="0028771E"/>
    <w:rsid w:val="00287A3A"/>
    <w:rsid w:val="00295F20"/>
    <w:rsid w:val="002A32F4"/>
    <w:rsid w:val="002A394A"/>
    <w:rsid w:val="002B2816"/>
    <w:rsid w:val="002D3217"/>
    <w:rsid w:val="00305702"/>
    <w:rsid w:val="00315192"/>
    <w:rsid w:val="003252EC"/>
    <w:rsid w:val="00326C74"/>
    <w:rsid w:val="0033127E"/>
    <w:rsid w:val="0034435B"/>
    <w:rsid w:val="00345D27"/>
    <w:rsid w:val="00360962"/>
    <w:rsid w:val="00380328"/>
    <w:rsid w:val="00397065"/>
    <w:rsid w:val="0039707A"/>
    <w:rsid w:val="003D7721"/>
    <w:rsid w:val="003E768B"/>
    <w:rsid w:val="003F7890"/>
    <w:rsid w:val="00402C36"/>
    <w:rsid w:val="00416F2A"/>
    <w:rsid w:val="00420F26"/>
    <w:rsid w:val="00425BEB"/>
    <w:rsid w:val="004360C9"/>
    <w:rsid w:val="00455395"/>
    <w:rsid w:val="004829C8"/>
    <w:rsid w:val="00496F17"/>
    <w:rsid w:val="004D0239"/>
    <w:rsid w:val="004F3B9F"/>
    <w:rsid w:val="00513513"/>
    <w:rsid w:val="005149C3"/>
    <w:rsid w:val="00516E6C"/>
    <w:rsid w:val="00520FA0"/>
    <w:rsid w:val="00543BFF"/>
    <w:rsid w:val="00544704"/>
    <w:rsid w:val="00550DDD"/>
    <w:rsid w:val="005647CD"/>
    <w:rsid w:val="005921AE"/>
    <w:rsid w:val="005A0244"/>
    <w:rsid w:val="005B76C2"/>
    <w:rsid w:val="005C6C88"/>
    <w:rsid w:val="005E44BA"/>
    <w:rsid w:val="005E51B5"/>
    <w:rsid w:val="005F7985"/>
    <w:rsid w:val="006064E4"/>
    <w:rsid w:val="0061649C"/>
    <w:rsid w:val="00617E24"/>
    <w:rsid w:val="006400C8"/>
    <w:rsid w:val="00683AD6"/>
    <w:rsid w:val="0069000C"/>
    <w:rsid w:val="006915B3"/>
    <w:rsid w:val="006A61F5"/>
    <w:rsid w:val="006B1EF3"/>
    <w:rsid w:val="006B332C"/>
    <w:rsid w:val="006C3DFD"/>
    <w:rsid w:val="006E5896"/>
    <w:rsid w:val="006F7C19"/>
    <w:rsid w:val="0070000E"/>
    <w:rsid w:val="00707A86"/>
    <w:rsid w:val="00707F76"/>
    <w:rsid w:val="007176D1"/>
    <w:rsid w:val="00754DAE"/>
    <w:rsid w:val="0077090A"/>
    <w:rsid w:val="00773F69"/>
    <w:rsid w:val="00777CEF"/>
    <w:rsid w:val="007873C0"/>
    <w:rsid w:val="007A6AB1"/>
    <w:rsid w:val="007B0711"/>
    <w:rsid w:val="007B5488"/>
    <w:rsid w:val="007C46EE"/>
    <w:rsid w:val="007C5FA6"/>
    <w:rsid w:val="007E507C"/>
    <w:rsid w:val="007E7500"/>
    <w:rsid w:val="007F601C"/>
    <w:rsid w:val="00813330"/>
    <w:rsid w:val="00817001"/>
    <w:rsid w:val="0082343E"/>
    <w:rsid w:val="00835345"/>
    <w:rsid w:val="00842EC2"/>
    <w:rsid w:val="0086008D"/>
    <w:rsid w:val="00863023"/>
    <w:rsid w:val="00865437"/>
    <w:rsid w:val="00870EB7"/>
    <w:rsid w:val="00871EF5"/>
    <w:rsid w:val="00875FBB"/>
    <w:rsid w:val="0087729D"/>
    <w:rsid w:val="0088360E"/>
    <w:rsid w:val="0089293E"/>
    <w:rsid w:val="008A55A3"/>
    <w:rsid w:val="008B3A6B"/>
    <w:rsid w:val="008C4A8E"/>
    <w:rsid w:val="008C5B82"/>
    <w:rsid w:val="008D309C"/>
    <w:rsid w:val="008D391A"/>
    <w:rsid w:val="009002A5"/>
    <w:rsid w:val="009120C5"/>
    <w:rsid w:val="00915A47"/>
    <w:rsid w:val="009215D9"/>
    <w:rsid w:val="0093798A"/>
    <w:rsid w:val="00953752"/>
    <w:rsid w:val="009724A7"/>
    <w:rsid w:val="0098126F"/>
    <w:rsid w:val="009A0C81"/>
    <w:rsid w:val="009B70F2"/>
    <w:rsid w:val="009C6505"/>
    <w:rsid w:val="009C6C3A"/>
    <w:rsid w:val="009F1F91"/>
    <w:rsid w:val="009F301F"/>
    <w:rsid w:val="009F32DA"/>
    <w:rsid w:val="00A14F22"/>
    <w:rsid w:val="00A17CC0"/>
    <w:rsid w:val="00A32B71"/>
    <w:rsid w:val="00A33D96"/>
    <w:rsid w:val="00A67BCC"/>
    <w:rsid w:val="00A70FEB"/>
    <w:rsid w:val="00AB2B0A"/>
    <w:rsid w:val="00AC4207"/>
    <w:rsid w:val="00AE1BD0"/>
    <w:rsid w:val="00AE4900"/>
    <w:rsid w:val="00AF6813"/>
    <w:rsid w:val="00B103A1"/>
    <w:rsid w:val="00B10400"/>
    <w:rsid w:val="00B2236F"/>
    <w:rsid w:val="00B243F4"/>
    <w:rsid w:val="00B61029"/>
    <w:rsid w:val="00B61760"/>
    <w:rsid w:val="00B65D5E"/>
    <w:rsid w:val="00B7243D"/>
    <w:rsid w:val="00B7507A"/>
    <w:rsid w:val="00B86A06"/>
    <w:rsid w:val="00BA1BBC"/>
    <w:rsid w:val="00BA1CD1"/>
    <w:rsid w:val="00BB139A"/>
    <w:rsid w:val="00BB5D48"/>
    <w:rsid w:val="00BC7C5F"/>
    <w:rsid w:val="00BD32A3"/>
    <w:rsid w:val="00BD38AD"/>
    <w:rsid w:val="00BE1240"/>
    <w:rsid w:val="00BF0022"/>
    <w:rsid w:val="00C027E6"/>
    <w:rsid w:val="00C113B4"/>
    <w:rsid w:val="00C25383"/>
    <w:rsid w:val="00C416DD"/>
    <w:rsid w:val="00C77827"/>
    <w:rsid w:val="00C876C7"/>
    <w:rsid w:val="00C945EE"/>
    <w:rsid w:val="00CA3B41"/>
    <w:rsid w:val="00CB11E4"/>
    <w:rsid w:val="00CB73CC"/>
    <w:rsid w:val="00CC65E6"/>
    <w:rsid w:val="00CC778C"/>
    <w:rsid w:val="00CF363C"/>
    <w:rsid w:val="00D01D8C"/>
    <w:rsid w:val="00D03BFC"/>
    <w:rsid w:val="00D606D4"/>
    <w:rsid w:val="00D70DEE"/>
    <w:rsid w:val="00D73C9D"/>
    <w:rsid w:val="00DB0EBF"/>
    <w:rsid w:val="00DB4158"/>
    <w:rsid w:val="00DC24EA"/>
    <w:rsid w:val="00E1117A"/>
    <w:rsid w:val="00E43529"/>
    <w:rsid w:val="00E526E4"/>
    <w:rsid w:val="00E66D5D"/>
    <w:rsid w:val="00E82DA9"/>
    <w:rsid w:val="00E843C6"/>
    <w:rsid w:val="00EA205A"/>
    <w:rsid w:val="00EA261D"/>
    <w:rsid w:val="00EA3490"/>
    <w:rsid w:val="00EB5473"/>
    <w:rsid w:val="00EC1C5B"/>
    <w:rsid w:val="00EC4407"/>
    <w:rsid w:val="00ED4AE0"/>
    <w:rsid w:val="00F07C46"/>
    <w:rsid w:val="00F178AB"/>
    <w:rsid w:val="00F325DB"/>
    <w:rsid w:val="00F76507"/>
    <w:rsid w:val="00F868DF"/>
    <w:rsid w:val="00F870EE"/>
    <w:rsid w:val="00F95556"/>
    <w:rsid w:val="00F9705F"/>
    <w:rsid w:val="00FA5581"/>
    <w:rsid w:val="00FA6FEC"/>
    <w:rsid w:val="00FD4D3C"/>
    <w:rsid w:val="00FF479F"/>
    <w:rsid w:val="00FF5EF1"/>
    <w:rsid w:val="00FF72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E7742-C233-404A-BEA1-BDB1E183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D96"/>
    <w:pPr>
      <w:autoSpaceDE w:val="0"/>
      <w:autoSpaceDN w:val="0"/>
      <w:bidi/>
      <w:spacing w:after="120" w:line="280" w:lineRule="exact"/>
      <w:jc w:val="both"/>
    </w:pPr>
    <w:rPr>
      <w:rFonts w:ascii="Times New Roman" w:hAnsi="Times New Roman" w:cs="Narkisim"/>
      <w:sz w:val="20"/>
    </w:rPr>
  </w:style>
  <w:style w:type="paragraph" w:styleId="1">
    <w:name w:val="heading 1"/>
    <w:basedOn w:val="a"/>
    <w:next w:val="a"/>
    <w:link w:val="10"/>
    <w:autoRedefine/>
    <w:uiPriority w:val="99"/>
    <w:qFormat/>
    <w:rsid w:val="009120C5"/>
    <w:pPr>
      <w:keepNext/>
      <w:keepLines/>
      <w:spacing w:before="240" w:after="160" w:line="360" w:lineRule="auto"/>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305702"/>
    <w:pPr>
      <w:keepNext/>
      <w:keepLines/>
      <w:autoSpaceDE/>
      <w:autoSpaceDN/>
      <w:spacing w:before="160" w:after="80" w:line="360" w:lineRule="auto"/>
      <w:jc w:val="center"/>
      <w:outlineLvl w:val="1"/>
    </w:pPr>
    <w:rPr>
      <w:rFonts w:asciiTheme="minorBidi" w:eastAsiaTheme="majorEastAsia" w:hAnsiTheme="minorBidi" w:cstheme="minorBidi"/>
      <w:bCs/>
      <w:sz w:val="26"/>
      <w:szCs w:val="26"/>
    </w:rPr>
  </w:style>
  <w:style w:type="paragraph" w:styleId="4">
    <w:name w:val="heading 4"/>
    <w:basedOn w:val="a"/>
    <w:next w:val="a"/>
    <w:link w:val="40"/>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5">
    <w:name w:val="heading 5"/>
    <w:aliases w:val="מקור"/>
    <w:basedOn w:val="a"/>
    <w:next w:val="a"/>
    <w:link w:val="50"/>
    <w:autoRedefine/>
    <w:uiPriority w:val="99"/>
    <w:qFormat/>
    <w:rsid w:val="00305702"/>
    <w:pPr>
      <w:spacing w:before="200" w:after="80" w:line="360" w:lineRule="auto"/>
      <w:jc w:val="right"/>
      <w:outlineLvl w:val="4"/>
    </w:pPr>
    <w:rPr>
      <w:rFonts w:ascii="Narkisim" w:hAnsi="Narkisim"/>
      <w:szCs w:val="20"/>
    </w:rPr>
  </w:style>
  <w:style w:type="paragraph" w:styleId="7">
    <w:name w:val="heading 7"/>
    <w:basedOn w:val="a"/>
    <w:next w:val="a"/>
    <w:link w:val="70"/>
    <w:autoRedefine/>
    <w:uiPriority w:val="9"/>
    <w:unhideWhenUsed/>
    <w:qFormat/>
    <w:rsid w:val="004360C9"/>
    <w:pPr>
      <w:keepNext/>
      <w:keepLines/>
      <w:spacing w:before="160" w:line="360" w:lineRule="auto"/>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autoRedefine/>
    <w:uiPriority w:val="34"/>
    <w:qFormat/>
    <w:rsid w:val="003252EC"/>
    <w:pPr>
      <w:autoSpaceDE/>
      <w:autoSpaceDN/>
      <w:spacing w:line="360" w:lineRule="auto"/>
      <w:ind w:left="794"/>
    </w:pPr>
    <w:rPr>
      <w:rFonts w:asciiTheme="minorHAnsi" w:hAnsiTheme="minorHAnsi"/>
      <w:sz w:val="22"/>
      <w:szCs w:val="24"/>
    </w:rPr>
  </w:style>
  <w:style w:type="paragraph" w:styleId="a5">
    <w:name w:val="Quote"/>
    <w:basedOn w:val="a"/>
    <w:link w:val="a6"/>
    <w:autoRedefine/>
    <w:qFormat/>
    <w:rsid w:val="00BB139A"/>
    <w:pPr>
      <w:tabs>
        <w:tab w:val="right" w:pos="4620"/>
      </w:tabs>
      <w:spacing w:before="200" w:line="360" w:lineRule="auto"/>
      <w:ind w:left="567"/>
    </w:pPr>
    <w:rPr>
      <w:rFonts w:asciiTheme="minorHAnsi" w:hAnsiTheme="minorHAnsi"/>
      <w:sz w:val="22"/>
    </w:rPr>
  </w:style>
  <w:style w:type="character" w:customStyle="1" w:styleId="a6">
    <w:name w:val="ציטוט תו"/>
    <w:link w:val="a5"/>
    <w:rsid w:val="00BB139A"/>
    <w:rPr>
      <w:rFonts w:cs="Narkisim"/>
    </w:rPr>
  </w:style>
  <w:style w:type="paragraph" w:styleId="a7">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305702"/>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8">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305702"/>
    <w:rPr>
      <w:rFonts w:ascii="Narkisim" w:hAnsi="Narkisim" w:cs="Narkisim"/>
      <w:sz w:val="20"/>
      <w:szCs w:val="20"/>
    </w:rPr>
  </w:style>
  <w:style w:type="character" w:customStyle="1" w:styleId="40">
    <w:name w:val="כותרת 4 תו"/>
    <w:link w:val="4"/>
    <w:uiPriority w:val="99"/>
    <w:rsid w:val="009120C5"/>
    <w:rPr>
      <w:rFonts w:asciiTheme="minorBidi" w:hAnsiTheme="minorBidi"/>
      <w:b/>
      <w:bCs/>
      <w:sz w:val="24"/>
      <w:szCs w:val="26"/>
    </w:rPr>
  </w:style>
  <w:style w:type="paragraph" w:styleId="a9">
    <w:name w:val="footnote text"/>
    <w:aliases w:val="הערת שוליים,הערה"/>
    <w:basedOn w:val="a"/>
    <w:link w:val="aa"/>
    <w:uiPriority w:val="99"/>
    <w:qFormat/>
    <w:rsid w:val="005F7985"/>
    <w:pPr>
      <w:spacing w:line="220" w:lineRule="exact"/>
      <w:ind w:left="284" w:hanging="284"/>
    </w:pPr>
    <w:rPr>
      <w:position w:val="6"/>
      <w:szCs w:val="18"/>
    </w:rPr>
  </w:style>
  <w:style w:type="character" w:customStyle="1" w:styleId="aa">
    <w:name w:val="טקסט הערת שוליים תו"/>
    <w:aliases w:val="הערת שוליים תו,הערה תו"/>
    <w:basedOn w:val="a0"/>
    <w:link w:val="a9"/>
    <w:uiPriority w:val="99"/>
    <w:rsid w:val="005F7985"/>
    <w:rPr>
      <w:rFonts w:ascii="Times New Roman" w:hAnsi="Times New Roman" w:cs="Narkisim"/>
      <w:position w:val="6"/>
      <w:sz w:val="20"/>
      <w:szCs w:val="18"/>
    </w:rPr>
  </w:style>
  <w:style w:type="character" w:styleId="ab">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c">
    <w:name w:val="header"/>
    <w:basedOn w:val="a"/>
    <w:link w:val="ad"/>
    <w:uiPriority w:val="99"/>
    <w:rsid w:val="005F7985"/>
    <w:pPr>
      <w:tabs>
        <w:tab w:val="center" w:pos="4153"/>
        <w:tab w:val="right" w:pos="8306"/>
      </w:tabs>
      <w:spacing w:line="360" w:lineRule="auto"/>
    </w:pPr>
    <w:rPr>
      <w:szCs w:val="24"/>
    </w:rPr>
  </w:style>
  <w:style w:type="character" w:customStyle="1" w:styleId="ad">
    <w:name w:val="כותרת עליונה תו"/>
    <w:basedOn w:val="a0"/>
    <w:link w:val="ac"/>
    <w:uiPriority w:val="99"/>
    <w:rsid w:val="005F7985"/>
    <w:rPr>
      <w:rFonts w:ascii="Times New Roman" w:hAnsi="Times New Roman" w:cs="Narkisim"/>
      <w:sz w:val="20"/>
      <w:szCs w:val="24"/>
    </w:rPr>
  </w:style>
  <w:style w:type="paragraph" w:customStyle="1" w:styleId="ae">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f">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0">
    <w:name w:val="כות"/>
    <w:basedOn w:val="a"/>
    <w:uiPriority w:val="99"/>
    <w:rsid w:val="00B103A1"/>
    <w:pPr>
      <w:keepNext/>
      <w:widowControl w:val="0"/>
      <w:spacing w:before="360" w:after="240" w:line="240" w:lineRule="auto"/>
      <w:jc w:val="center"/>
    </w:pPr>
    <w:rPr>
      <w:b/>
      <w:bCs/>
      <w:sz w:val="36"/>
      <w:szCs w:val="36"/>
    </w:rPr>
  </w:style>
  <w:style w:type="paragraph" w:customStyle="1" w:styleId="e7">
    <w:name w:val="לוגו תנe7תון"/>
    <w:basedOn w:val="a"/>
    <w:uiPriority w:val="99"/>
    <w:rsid w:val="00B103A1"/>
    <w:pPr>
      <w:widowControl w:val="0"/>
      <w:tabs>
        <w:tab w:val="right" w:pos="3895"/>
      </w:tabs>
      <w:spacing w:after="0" w:line="240" w:lineRule="auto"/>
      <w:jc w:val="center"/>
    </w:pPr>
    <w:rPr>
      <w:rFonts w:ascii="Arial" w:hAnsi="Arial"/>
      <w:b/>
      <w:bCs/>
      <w:noProof/>
      <w:sz w:val="16"/>
      <w:szCs w:val="16"/>
    </w:rPr>
  </w:style>
  <w:style w:type="paragraph" w:customStyle="1" w:styleId="af1">
    <w:name w:val="מחבר"/>
    <w:basedOn w:val="a"/>
    <w:uiPriority w:val="99"/>
    <w:rsid w:val="00B103A1"/>
    <w:pPr>
      <w:keepNext/>
      <w:widowControl w:val="0"/>
      <w:spacing w:before="240" w:after="0" w:line="240" w:lineRule="auto"/>
      <w:jc w:val="left"/>
    </w:pPr>
    <w:rPr>
      <w:b/>
      <w:bCs/>
      <w:sz w:val="26"/>
      <w:szCs w:val="26"/>
    </w:rPr>
  </w:style>
  <w:style w:type="character" w:customStyle="1" w:styleId="HebrewChar">
    <w:name w:val="Hebrew_Char"/>
    <w:uiPriority w:val="99"/>
    <w:rsid w:val="00DC24EA"/>
  </w:style>
  <w:style w:type="paragraph" w:customStyle="1" w:styleId="af2">
    <w:name w:val="כותרת"/>
    <w:basedOn w:val="a"/>
    <w:uiPriority w:val="99"/>
    <w:rsid w:val="00FA5581"/>
    <w:pPr>
      <w:keepNext/>
      <w:spacing w:before="120" w:after="240" w:line="240" w:lineRule="auto"/>
      <w:jc w:val="center"/>
      <w:outlineLvl w:val="1"/>
    </w:pPr>
    <w:rPr>
      <w:rFonts w:ascii="Arial" w:hAnsi="Arial" w:cs="Times New Roman"/>
      <w:b/>
      <w:bCs/>
      <w:sz w:val="44"/>
      <w:szCs w:val="44"/>
    </w:rPr>
  </w:style>
  <w:style w:type="paragraph" w:customStyle="1" w:styleId="21">
    <w:name w:val="כותרת2"/>
    <w:basedOn w:val="af2"/>
    <w:uiPriority w:val="99"/>
    <w:rsid w:val="00FA5581"/>
    <w:pPr>
      <w:spacing w:after="60"/>
    </w:pPr>
    <w:rPr>
      <w:sz w:val="26"/>
      <w:szCs w:val="28"/>
    </w:rPr>
  </w:style>
  <w:style w:type="paragraph" w:customStyle="1" w:styleId="af3">
    <w:name w:val="גוש"/>
    <w:basedOn w:val="a3"/>
    <w:link w:val="af4"/>
    <w:autoRedefine/>
    <w:qFormat/>
    <w:rsid w:val="00124BE4"/>
    <w:pPr>
      <w:jc w:val="right"/>
    </w:pPr>
    <w:rPr>
      <w:szCs w:val="20"/>
    </w:rPr>
  </w:style>
  <w:style w:type="character" w:customStyle="1" w:styleId="a4">
    <w:name w:val="פיסקת רשימה תו"/>
    <w:basedOn w:val="a0"/>
    <w:link w:val="a3"/>
    <w:uiPriority w:val="34"/>
    <w:rsid w:val="003252EC"/>
    <w:rPr>
      <w:rFonts w:cs="Narkisim"/>
      <w:szCs w:val="24"/>
    </w:rPr>
  </w:style>
  <w:style w:type="character" w:customStyle="1" w:styleId="af4">
    <w:name w:val="גוש תו"/>
    <w:basedOn w:val="a4"/>
    <w:link w:val="af3"/>
    <w:rsid w:val="00124BE4"/>
    <w:rPr>
      <w:rFonts w:cs="Narkisim"/>
      <w:szCs w:val="20"/>
    </w:rPr>
  </w:style>
  <w:style w:type="paragraph" w:customStyle="1" w:styleId="Quote1">
    <w:name w:val="Quote1"/>
    <w:basedOn w:val="a"/>
    <w:rsid w:val="00C113B4"/>
    <w:pPr>
      <w:autoSpaceDE/>
      <w:autoSpaceDN/>
      <w:spacing w:after="50" w:line="240" w:lineRule="atLeast"/>
      <w:ind w:left="227"/>
    </w:pPr>
    <w:rPr>
      <w:rFonts w:ascii="Tahoma" w:hAnsi="Tahoma" w:cs="Tahoma"/>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788</Words>
  <Characters>3943</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4</cp:revision>
  <dcterms:created xsi:type="dcterms:W3CDTF">2017-07-05T08:32:00Z</dcterms:created>
  <dcterms:modified xsi:type="dcterms:W3CDTF">2017-07-06T18:00:00Z</dcterms:modified>
</cp:coreProperties>
</file>