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23E" w:rsidRPr="00004104" w:rsidRDefault="00004104" w:rsidP="00004104">
      <w:pPr>
        <w:pStyle w:val="2"/>
        <w:spacing w:line="276" w:lineRule="auto"/>
        <w:rPr>
          <w:sz w:val="22"/>
          <w:szCs w:val="22"/>
          <w:rtl/>
        </w:rPr>
      </w:pPr>
      <w:r w:rsidRPr="00004104">
        <w:rPr>
          <w:rFonts w:hint="cs"/>
          <w:sz w:val="22"/>
          <w:szCs w:val="22"/>
          <w:rtl/>
        </w:rPr>
        <w:t xml:space="preserve">הרב אהרן </w:t>
      </w:r>
      <w:proofErr w:type="spellStart"/>
      <w:r w:rsidRPr="00004104">
        <w:rPr>
          <w:rFonts w:hint="cs"/>
          <w:sz w:val="22"/>
          <w:szCs w:val="22"/>
          <w:rtl/>
        </w:rPr>
        <w:t>ליכטשנטיין</w:t>
      </w:r>
      <w:proofErr w:type="spellEnd"/>
      <w:r w:rsidRPr="00004104">
        <w:rPr>
          <w:rFonts w:hint="cs"/>
          <w:sz w:val="22"/>
          <w:szCs w:val="22"/>
          <w:rtl/>
        </w:rPr>
        <w:t xml:space="preserve"> זצ"ל</w:t>
      </w:r>
    </w:p>
    <w:p w:rsidR="00004104" w:rsidRPr="00004104" w:rsidRDefault="00004104" w:rsidP="00004104">
      <w:pPr>
        <w:pStyle w:val="2"/>
        <w:spacing w:line="276" w:lineRule="auto"/>
        <w:rPr>
          <w:rFonts w:hint="cs"/>
          <w:sz w:val="22"/>
          <w:szCs w:val="22"/>
          <w:rtl/>
        </w:rPr>
      </w:pPr>
      <w:r w:rsidRPr="00004104">
        <w:rPr>
          <w:rFonts w:hint="cs"/>
          <w:sz w:val="22"/>
          <w:szCs w:val="22"/>
          <w:rtl/>
        </w:rPr>
        <w:t>שיחה לפרשת פנחס</w:t>
      </w:r>
    </w:p>
    <w:p w:rsidR="00442A0E" w:rsidRDefault="00004104" w:rsidP="00004104">
      <w:pPr>
        <w:pStyle w:val="1"/>
        <w:rPr>
          <w:rtl/>
        </w:rPr>
      </w:pPr>
      <w:r>
        <w:rPr>
          <w:rFonts w:hint="cs"/>
          <w:rtl/>
        </w:rPr>
        <w:t>זכייה בכתר</w:t>
      </w:r>
      <w:r w:rsidR="00442A0E">
        <w:rPr>
          <w:rStyle w:val="ab"/>
          <w:rFonts w:eastAsiaTheme="majorEastAsia"/>
          <w:rtl/>
        </w:rPr>
        <w:footnoteReference w:customMarkFollows="1" w:id="1"/>
        <w:t>*</w:t>
      </w:r>
      <w:r w:rsidR="00442A0E">
        <w:rPr>
          <w:rtl/>
        </w:rPr>
        <w:t xml:space="preserve"> </w:t>
      </w:r>
    </w:p>
    <w:p w:rsidR="00004104" w:rsidRDefault="00442A0E" w:rsidP="00004104">
      <w:pPr>
        <w:pStyle w:val="a5"/>
        <w:rPr>
          <w:rtl/>
        </w:rPr>
      </w:pPr>
      <w:r w:rsidRPr="00004104">
        <w:rPr>
          <w:rtl/>
        </w:rPr>
        <w:t>"</w:t>
      </w:r>
      <w:r w:rsidR="00004104" w:rsidRPr="00004104">
        <w:rPr>
          <w:rtl/>
        </w:rPr>
        <w:t xml:space="preserve">וַיְדַבֵּר ה' אֶל מֹשֶׁה </w:t>
      </w:r>
      <w:proofErr w:type="spellStart"/>
      <w:r w:rsidR="00004104" w:rsidRPr="00004104">
        <w:rPr>
          <w:rtl/>
        </w:rPr>
        <w:t>לֵּאמֹר</w:t>
      </w:r>
      <w:proofErr w:type="spellEnd"/>
      <w:r w:rsidR="00004104" w:rsidRPr="00004104">
        <w:rPr>
          <w:rtl/>
        </w:rPr>
        <w:t xml:space="preserve">: </w:t>
      </w:r>
      <w:proofErr w:type="spellStart"/>
      <w:r w:rsidR="00004104" w:rsidRPr="00004104">
        <w:rPr>
          <w:rtl/>
        </w:rPr>
        <w:t>פִּינְחָס</w:t>
      </w:r>
      <w:proofErr w:type="spellEnd"/>
      <w:r w:rsidR="00004104" w:rsidRPr="00004104">
        <w:rPr>
          <w:rtl/>
        </w:rPr>
        <w:t xml:space="preserve"> בֶּן אֶלְעָזָר בֶּן אַהֲרֹן הַכֹּהֵן הֵשִׁיב אֶת חֲמָתִי מֵעַל בְּנֵי יִשְׂרָאֵל בְּקַנְאוֹ אֶת קִנְאָתִי בְּתוֹכָם וְלֹא </w:t>
      </w:r>
      <w:proofErr w:type="spellStart"/>
      <w:r w:rsidR="00004104" w:rsidRPr="00004104">
        <w:rPr>
          <w:rtl/>
        </w:rPr>
        <w:t>כִלִּיתִי</w:t>
      </w:r>
      <w:proofErr w:type="spellEnd"/>
      <w:r w:rsidR="00004104" w:rsidRPr="00004104">
        <w:rPr>
          <w:rtl/>
        </w:rPr>
        <w:t xml:space="preserve"> אֶת </w:t>
      </w:r>
      <w:r w:rsidR="00004104">
        <w:rPr>
          <w:rtl/>
        </w:rPr>
        <w:t>בְּנֵי יִשְׂרָאֵל בְּקִנְאָתִי</w:t>
      </w:r>
      <w:r w:rsidR="00004104">
        <w:rPr>
          <w:rFonts w:hint="cs"/>
          <w:rtl/>
        </w:rPr>
        <w:t>.</w:t>
      </w:r>
      <w:r>
        <w:rPr>
          <w:rtl/>
        </w:rPr>
        <w:t>"</w:t>
      </w:r>
      <w:r>
        <w:rPr>
          <w:rtl/>
        </w:rPr>
        <w:tab/>
        <w:t xml:space="preserve">  </w:t>
      </w:r>
    </w:p>
    <w:p w:rsidR="00442A0E" w:rsidRDefault="00442A0E" w:rsidP="00004104">
      <w:pPr>
        <w:pStyle w:val="5"/>
        <w:rPr>
          <w:rtl/>
        </w:rPr>
      </w:pPr>
      <w:r>
        <w:rPr>
          <w:rtl/>
        </w:rPr>
        <w:t>(</w:t>
      </w:r>
      <w:r w:rsidR="00004104">
        <w:rPr>
          <w:rFonts w:hint="cs"/>
          <w:rtl/>
        </w:rPr>
        <w:t xml:space="preserve">במדבר </w:t>
      </w:r>
      <w:r w:rsidR="00004104">
        <w:rPr>
          <w:rtl/>
        </w:rPr>
        <w:t>כ"ה, י-יא)</w:t>
      </w:r>
    </w:p>
    <w:p w:rsidR="00442A0E" w:rsidRDefault="00442A0E" w:rsidP="00442A0E">
      <w:pPr>
        <w:rPr>
          <w:rtl/>
        </w:rPr>
      </w:pPr>
      <w:r>
        <w:rPr>
          <w:rtl/>
        </w:rPr>
        <w:t>מדוע היה צורך לציין את שושלת היוחסין של פנחס עד סבו? רש"י נדרש לשאלה זו, וה</w:t>
      </w:r>
      <w:r w:rsidR="002A2B1D">
        <w:rPr>
          <w:rtl/>
        </w:rPr>
        <w:t>ביא את דברי הגמרא בסנהדרין</w:t>
      </w:r>
      <w:r w:rsidR="002A2B1D">
        <w:rPr>
          <w:rFonts w:hint="cs"/>
          <w:rtl/>
        </w:rPr>
        <w:t>:</w:t>
      </w:r>
      <w:r w:rsidR="002A2B1D">
        <w:rPr>
          <w:rtl/>
        </w:rPr>
        <w:t xml:space="preserve"> </w:t>
      </w:r>
      <w:r>
        <w:rPr>
          <w:rtl/>
        </w:rPr>
        <w:t xml:space="preserve"> </w:t>
      </w:r>
    </w:p>
    <w:p w:rsidR="00442A0E" w:rsidRDefault="00442A0E" w:rsidP="002A2B1D">
      <w:pPr>
        <w:pStyle w:val="a5"/>
        <w:rPr>
          <w:rtl/>
        </w:rPr>
      </w:pPr>
      <w:r>
        <w:rPr>
          <w:rtl/>
        </w:rPr>
        <w:t xml:space="preserve">"לפי שהיו השבטים מבזים אותו: הראיתם בן </w:t>
      </w:r>
      <w:proofErr w:type="spellStart"/>
      <w:r>
        <w:rPr>
          <w:rtl/>
        </w:rPr>
        <w:t>פוטי</w:t>
      </w:r>
      <w:proofErr w:type="spellEnd"/>
      <w:r>
        <w:rPr>
          <w:rtl/>
        </w:rPr>
        <w:t xml:space="preserve"> זה, שפיטם אבי אמו עגלים לעבודה זרה, והרג נשיא שבט מישראל! לפיכך בא הכתוב ויחסו אחר אהרן".</w:t>
      </w:r>
    </w:p>
    <w:p w:rsidR="002A2B1D" w:rsidRDefault="002A2B1D" w:rsidP="002A2B1D">
      <w:pPr>
        <w:pStyle w:val="5"/>
        <w:rPr>
          <w:rtl/>
        </w:rPr>
      </w:pPr>
      <w:r>
        <w:rPr>
          <w:rFonts w:hint="cs"/>
          <w:rtl/>
        </w:rPr>
        <w:t xml:space="preserve">(בבלי סנהדרין </w:t>
      </w:r>
      <w:proofErr w:type="spellStart"/>
      <w:r>
        <w:rPr>
          <w:rFonts w:hint="cs"/>
          <w:rtl/>
        </w:rPr>
        <w:t>פב</w:t>
      </w:r>
      <w:proofErr w:type="spellEnd"/>
      <w:r>
        <w:rPr>
          <w:rFonts w:hint="cs"/>
          <w:rtl/>
        </w:rPr>
        <w:t xml:space="preserve"> ע"ב)</w:t>
      </w:r>
    </w:p>
    <w:p w:rsidR="00442A0E" w:rsidRDefault="00442A0E" w:rsidP="00442A0E">
      <w:pPr>
        <w:rPr>
          <w:rtl/>
        </w:rPr>
      </w:pPr>
      <w:r>
        <w:rPr>
          <w:rtl/>
        </w:rPr>
        <w:t xml:space="preserve">ניתן לנמק את הצורך בהבאת שושלת היוחסין של פנחס גם באופן אחר, לאור </w:t>
      </w:r>
      <w:proofErr w:type="spellStart"/>
      <w:r>
        <w:rPr>
          <w:rtl/>
        </w:rPr>
        <w:t>אופ</w:t>
      </w:r>
      <w:r w:rsidR="002A2B1D">
        <w:rPr>
          <w:rFonts w:hint="cs"/>
          <w:rtl/>
        </w:rPr>
        <w:t>י</w:t>
      </w:r>
      <w:r>
        <w:rPr>
          <w:rtl/>
        </w:rPr>
        <w:t>ה</w:t>
      </w:r>
      <w:proofErr w:type="spellEnd"/>
      <w:r>
        <w:rPr>
          <w:rtl/>
        </w:rPr>
        <w:t xml:space="preserve"> המיוחד של כהונת פנחס. התורה מתארת את הברית של הקב"ה עם פנחס כ"ברית </w:t>
      </w:r>
      <w:proofErr w:type="spellStart"/>
      <w:r>
        <w:rPr>
          <w:rtl/>
        </w:rPr>
        <w:t>כהֻנַּת</w:t>
      </w:r>
      <w:proofErr w:type="spellEnd"/>
      <w:r>
        <w:rPr>
          <w:rtl/>
        </w:rPr>
        <w:t xml:space="preserve"> עולם" </w:t>
      </w:r>
      <w:r w:rsidRPr="002A2B1D">
        <w:rPr>
          <w:sz w:val="18"/>
          <w:szCs w:val="18"/>
          <w:rtl/>
        </w:rPr>
        <w:t xml:space="preserve">(פסוק </w:t>
      </w:r>
      <w:proofErr w:type="spellStart"/>
      <w:r w:rsidRPr="002A2B1D">
        <w:rPr>
          <w:sz w:val="18"/>
          <w:szCs w:val="18"/>
          <w:rtl/>
        </w:rPr>
        <w:t>יג</w:t>
      </w:r>
      <w:proofErr w:type="spellEnd"/>
      <w:r w:rsidRPr="002A2B1D">
        <w:rPr>
          <w:sz w:val="18"/>
          <w:szCs w:val="18"/>
          <w:rtl/>
        </w:rPr>
        <w:t>)</w:t>
      </w:r>
      <w:r>
        <w:rPr>
          <w:rtl/>
        </w:rPr>
        <w:t xml:space="preserve">, אולם תוכנה של ברית זו אינו ברור. לדברי הספרי </w:t>
      </w:r>
      <w:r w:rsidRPr="002A2B1D">
        <w:rPr>
          <w:sz w:val="18"/>
          <w:szCs w:val="18"/>
          <w:rtl/>
        </w:rPr>
        <w:t>(קל"א)</w:t>
      </w:r>
      <w:r>
        <w:rPr>
          <w:rtl/>
        </w:rPr>
        <w:t xml:space="preserve">, הקב"ה הבטיח לפנחס כי צאצאים רבים שלו ישמשו </w:t>
      </w:r>
      <w:proofErr w:type="spellStart"/>
      <w:r>
        <w:rPr>
          <w:rtl/>
        </w:rPr>
        <w:t>ככהני</w:t>
      </w:r>
      <w:r w:rsidR="002A2B1D">
        <w:rPr>
          <w:rtl/>
        </w:rPr>
        <w:t>ם</w:t>
      </w:r>
      <w:proofErr w:type="spellEnd"/>
      <w:r w:rsidR="002A2B1D">
        <w:rPr>
          <w:rtl/>
        </w:rPr>
        <w:t xml:space="preserve"> גדולים. רש"י, לעומת זאת, מבאר</w:t>
      </w:r>
      <w:r>
        <w:rPr>
          <w:rtl/>
        </w:rPr>
        <w:t xml:space="preserve"> שעצם כהונתו של פנחס אינה מובנת מאליה, ולכן היה צורך להבטיח לו שיהיה כהן:</w:t>
      </w:r>
    </w:p>
    <w:p w:rsidR="00442A0E" w:rsidRDefault="00442A0E" w:rsidP="00442A0E">
      <w:pPr>
        <w:pStyle w:val="a5"/>
        <w:rPr>
          <w:rtl/>
        </w:rPr>
      </w:pPr>
      <w:r>
        <w:rPr>
          <w:rtl/>
        </w:rPr>
        <w:t xml:space="preserve">"שאע"פ שכבר נִתנה כהונה לזרעו של אהרן, לא נִתנה אלא לאהרן, ולבניו שנמשחו עמו, ולתולדותיהם שיולידו אחר המשחתן, אבל </w:t>
      </w:r>
      <w:proofErr w:type="spellStart"/>
      <w:r>
        <w:rPr>
          <w:rtl/>
        </w:rPr>
        <w:t>פינחס</w:t>
      </w:r>
      <w:proofErr w:type="spellEnd"/>
      <w:r>
        <w:rPr>
          <w:rtl/>
        </w:rPr>
        <w:t>, שנולד קודם לכן ולא נמשח, לא בא לכלל כהונה עד כאן. וכן שנינו בזבחים (</w:t>
      </w:r>
      <w:proofErr w:type="spellStart"/>
      <w:r>
        <w:rPr>
          <w:rtl/>
        </w:rPr>
        <w:t>קא</w:t>
      </w:r>
      <w:proofErr w:type="spellEnd"/>
      <w:r>
        <w:rPr>
          <w:rtl/>
        </w:rPr>
        <w:t xml:space="preserve">:): לא </w:t>
      </w:r>
      <w:proofErr w:type="spellStart"/>
      <w:r>
        <w:rPr>
          <w:rtl/>
        </w:rPr>
        <w:t>נתכהן</w:t>
      </w:r>
      <w:proofErr w:type="spellEnd"/>
      <w:r>
        <w:rPr>
          <w:rtl/>
        </w:rPr>
        <w:t xml:space="preserve"> </w:t>
      </w:r>
      <w:proofErr w:type="spellStart"/>
      <w:r>
        <w:rPr>
          <w:rtl/>
        </w:rPr>
        <w:t>פינחס</w:t>
      </w:r>
      <w:proofErr w:type="spellEnd"/>
      <w:r>
        <w:rPr>
          <w:rtl/>
        </w:rPr>
        <w:t xml:space="preserve"> עד שהרגו לזמרי".</w:t>
      </w:r>
    </w:p>
    <w:p w:rsidR="00442A0E" w:rsidRDefault="002A2B1D" w:rsidP="00442A0E">
      <w:pPr>
        <w:rPr>
          <w:rtl/>
        </w:rPr>
      </w:pPr>
      <w:r>
        <w:rPr>
          <w:rtl/>
        </w:rPr>
        <w:t>למעשה, בגמרא בזבחים</w:t>
      </w:r>
      <w:r w:rsidR="00442A0E">
        <w:rPr>
          <w:rtl/>
        </w:rPr>
        <w:t xml:space="preserve"> </w:t>
      </w:r>
      <w:r>
        <w:rPr>
          <w:rFonts w:hint="cs"/>
          <w:rtl/>
        </w:rPr>
        <w:t xml:space="preserve">שם </w:t>
      </w:r>
      <w:r w:rsidR="00442A0E">
        <w:rPr>
          <w:rtl/>
        </w:rPr>
        <w:t xml:space="preserve">נחלקו אמוראים, האם פנחס זכה בכהונה כאשר הרג את זמרי, או כאשר שם שלום בין השבטים, אולם כולם מסכימים לרעיון המרכזי, שפנחס לא שימש בכהונה מצד ייחוסו, אלא היה צריך לפעול כדי לזכות בכהונה. </w:t>
      </w:r>
    </w:p>
    <w:p w:rsidR="00442A0E" w:rsidRDefault="00442A0E" w:rsidP="007C286B">
      <w:pPr>
        <w:rPr>
          <w:rtl/>
        </w:rPr>
      </w:pPr>
      <w:r>
        <w:rPr>
          <w:rtl/>
        </w:rPr>
        <w:t xml:space="preserve">כיוון שפנחס נעשה כהן באופן חריג ושונה משאר </w:t>
      </w:r>
      <w:proofErr w:type="spellStart"/>
      <w:r>
        <w:rPr>
          <w:rtl/>
        </w:rPr>
        <w:t>הכהנים</w:t>
      </w:r>
      <w:proofErr w:type="spellEnd"/>
      <w:r>
        <w:rPr>
          <w:rtl/>
        </w:rPr>
        <w:t xml:space="preserve">, אפשר היה לחשוב שגם תפקידו </w:t>
      </w:r>
      <w:r w:rsidR="007C286B">
        <w:rPr>
          <w:rtl/>
        </w:rPr>
        <w:t xml:space="preserve">ומעמדו ככהן יהיו שונים מאחרים. </w:t>
      </w:r>
      <w:r>
        <w:rPr>
          <w:rtl/>
        </w:rPr>
        <w:t>כך ניתן להבין מדוע נזקקה התורה לפרט את ייחוסו של פנחס עד סבו: התורה ראתה צ</w:t>
      </w:r>
      <w:r w:rsidR="007C286B">
        <w:rPr>
          <w:rtl/>
        </w:rPr>
        <w:t xml:space="preserve">ורך להשוות את </w:t>
      </w:r>
      <w:r w:rsidR="007C286B">
        <w:rPr>
          <w:rtl/>
        </w:rPr>
        <w:t>פנחס לאלעזר ואהרן כדי להדגיש</w:t>
      </w:r>
      <w:r>
        <w:rPr>
          <w:rtl/>
        </w:rPr>
        <w:t xml:space="preserve"> שחרף הנסיבות המיוחדות של מינוי פנחס לכהן, בסופו של דבר מעמדו ככהן היה זהה לזה של אבותיו. הפסוק "</w:t>
      </w:r>
      <w:proofErr w:type="spellStart"/>
      <w:r w:rsidR="007C286B" w:rsidRPr="00004104">
        <w:rPr>
          <w:rtl/>
        </w:rPr>
        <w:t>פִּינְחָס</w:t>
      </w:r>
      <w:proofErr w:type="spellEnd"/>
      <w:r w:rsidR="007C286B" w:rsidRPr="00004104">
        <w:rPr>
          <w:rtl/>
        </w:rPr>
        <w:t xml:space="preserve"> בֶּן </w:t>
      </w:r>
      <w:r w:rsidR="007C286B" w:rsidRPr="007C286B">
        <w:rPr>
          <w:sz w:val="22"/>
          <w:rtl/>
        </w:rPr>
        <w:t>אֶלְעָזָר בֶּן אַהֲרֹן הַכֹּהֵן</w:t>
      </w:r>
      <w:r>
        <w:rPr>
          <w:rtl/>
        </w:rPr>
        <w:t xml:space="preserve">" מלמדנו, א"כ, כי </w:t>
      </w:r>
      <w:proofErr w:type="spellStart"/>
      <w:r>
        <w:rPr>
          <w:rtl/>
        </w:rPr>
        <w:t>פינחס</w:t>
      </w:r>
      <w:proofErr w:type="spellEnd"/>
      <w:r>
        <w:rPr>
          <w:rtl/>
        </w:rPr>
        <w:t xml:space="preserve"> הכהן מקביל לאהרן הכהן.</w:t>
      </w:r>
    </w:p>
    <w:p w:rsidR="00442A0E" w:rsidRDefault="00442A0E" w:rsidP="00442A0E">
      <w:pPr>
        <w:rPr>
          <w:rtl/>
        </w:rPr>
      </w:pPr>
      <w:r>
        <w:rPr>
          <w:rtl/>
        </w:rPr>
        <w:t>לדברים אלו, הנוגעים לכתר כהונה, יכולה להיות משמעות גם בנוגע לכתר אחר, כתר תורה. הרמב"ם בהלכות תלמוד תורה כותב:</w:t>
      </w:r>
    </w:p>
    <w:p w:rsidR="007C286B" w:rsidRDefault="00442A0E" w:rsidP="007C286B">
      <w:pPr>
        <w:pStyle w:val="a5"/>
        <w:rPr>
          <w:rtl/>
        </w:rPr>
      </w:pPr>
      <w:r>
        <w:rPr>
          <w:rtl/>
        </w:rPr>
        <w:t xml:space="preserve">"בשלשה כתרים </w:t>
      </w:r>
      <w:proofErr w:type="spellStart"/>
      <w:r>
        <w:rPr>
          <w:rtl/>
        </w:rPr>
        <w:t>נכתרו</w:t>
      </w:r>
      <w:proofErr w:type="spellEnd"/>
      <w:r>
        <w:rPr>
          <w:rtl/>
        </w:rPr>
        <w:t xml:space="preserve"> ישראל: כתר תורה, וכתר כהונה וכתר מלכות. כתר כהונה זכה בו אהרן, שנאמר '</w:t>
      </w:r>
      <w:proofErr w:type="spellStart"/>
      <w:r>
        <w:rPr>
          <w:rtl/>
        </w:rPr>
        <w:t>והיתה</w:t>
      </w:r>
      <w:proofErr w:type="spellEnd"/>
      <w:r>
        <w:rPr>
          <w:rtl/>
        </w:rPr>
        <w:t xml:space="preserve"> לו ולזרעו אחריו ברית </w:t>
      </w:r>
      <w:proofErr w:type="spellStart"/>
      <w:r>
        <w:rPr>
          <w:rtl/>
        </w:rPr>
        <w:t>כהֻנת</w:t>
      </w:r>
      <w:proofErr w:type="spellEnd"/>
      <w:r>
        <w:rPr>
          <w:rtl/>
        </w:rPr>
        <w:t xml:space="preserve"> עולם'. כתר מלכות זכה בו דוד, שנאמר 'זרעו לעולם יהיה, וכסאו כשמש נגדי'. כתר תורה הרי מונח ועומד ומוכן לכל ישראל, שנאמר 'תורה </w:t>
      </w:r>
      <w:proofErr w:type="spellStart"/>
      <w:r>
        <w:rPr>
          <w:rtl/>
        </w:rPr>
        <w:t>צוה</w:t>
      </w:r>
      <w:proofErr w:type="spellEnd"/>
      <w:r>
        <w:rPr>
          <w:rtl/>
        </w:rPr>
        <w:t xml:space="preserve"> לנו משה מורשה קהלת יעקב', כל מי שירצה יבא </w:t>
      </w:r>
      <w:proofErr w:type="spellStart"/>
      <w:r>
        <w:rPr>
          <w:rtl/>
        </w:rPr>
        <w:t>ויטול</w:t>
      </w:r>
      <w:proofErr w:type="spellEnd"/>
      <w:r>
        <w:rPr>
          <w:rtl/>
        </w:rPr>
        <w:t>"</w:t>
      </w:r>
      <w:r w:rsidR="007C286B">
        <w:rPr>
          <w:rFonts w:hint="cs"/>
          <w:rtl/>
        </w:rPr>
        <w:t>.</w:t>
      </w:r>
    </w:p>
    <w:p w:rsidR="007C286B" w:rsidRDefault="007C286B" w:rsidP="007C286B">
      <w:pPr>
        <w:pStyle w:val="5"/>
        <w:rPr>
          <w:rtl/>
        </w:rPr>
      </w:pPr>
      <w:r>
        <w:rPr>
          <w:rFonts w:hint="cs"/>
          <w:rtl/>
        </w:rPr>
        <w:t>(רמב"ם הלכות תלמוד תורה ג', א)</w:t>
      </w:r>
    </w:p>
    <w:p w:rsidR="00442A0E" w:rsidRDefault="00442A0E" w:rsidP="007C286B">
      <w:pPr>
        <w:rPr>
          <w:rtl/>
        </w:rPr>
      </w:pPr>
      <w:r>
        <w:rPr>
          <w:rtl/>
        </w:rPr>
        <w:t xml:space="preserve">התורה, כמו כהונתו של </w:t>
      </w:r>
      <w:proofErr w:type="spellStart"/>
      <w:r>
        <w:rPr>
          <w:rtl/>
        </w:rPr>
        <w:t>פינחס</w:t>
      </w:r>
      <w:proofErr w:type="spellEnd"/>
      <w:r>
        <w:rPr>
          <w:rtl/>
        </w:rPr>
        <w:t>, אינה עוברת בירושה. מצד אחד היא נתונה לכל מי שרוצה, ומצד שני יש לעמול כדי לקנותה. ברם, ביכולת</w:t>
      </w:r>
      <w:r w:rsidR="007C286B">
        <w:rPr>
          <w:rFonts w:hint="cs"/>
          <w:rtl/>
        </w:rPr>
        <w:t>ו</w:t>
      </w:r>
      <w:r>
        <w:rPr>
          <w:rtl/>
        </w:rPr>
        <w:t xml:space="preserve"> המבורכת של כל יהודי לזכות בתורה טמונה גם סכנה. אדם עלול לחשוב, בדומה למה שניתן היה לחשוב על </w:t>
      </w:r>
      <w:proofErr w:type="spellStart"/>
      <w:r>
        <w:rPr>
          <w:rtl/>
        </w:rPr>
        <w:t>פ</w:t>
      </w:r>
      <w:r w:rsidR="007C286B">
        <w:rPr>
          <w:rFonts w:hint="cs"/>
          <w:rtl/>
        </w:rPr>
        <w:t>י</w:t>
      </w:r>
      <w:r>
        <w:rPr>
          <w:rtl/>
        </w:rPr>
        <w:t>נחס</w:t>
      </w:r>
      <w:proofErr w:type="spellEnd"/>
      <w:r>
        <w:rPr>
          <w:rtl/>
        </w:rPr>
        <w:t xml:space="preserve">, שכשם שהוא יכול לזכות בכתר תורה, כך הוא יכול לשלוט על תכניו של כתר זה, שהתורה שבידיו שונה מן התורה </w:t>
      </w:r>
      <w:proofErr w:type="spellStart"/>
      <w:r>
        <w:rPr>
          <w:rtl/>
        </w:rPr>
        <w:t>שהיתה</w:t>
      </w:r>
      <w:proofErr w:type="spellEnd"/>
      <w:r>
        <w:rPr>
          <w:rtl/>
        </w:rPr>
        <w:t xml:space="preserve"> בידי אבותיו.</w:t>
      </w:r>
    </w:p>
    <w:p w:rsidR="00442A0E" w:rsidRDefault="00442A0E" w:rsidP="00442A0E">
      <w:pPr>
        <w:rPr>
          <w:rtl/>
        </w:rPr>
      </w:pPr>
      <w:r>
        <w:rPr>
          <w:rtl/>
        </w:rPr>
        <w:t>החידוש בלימוד התורה הוא חשוב ורצוי. מעיינות התורה אינם אמורים להיות מים עומדים, כי אם זורמים ומלאי חיים. שאלת מקום החידוש בלימוד התורה שנויה במחלוקת מתמשכת, אך כולם מודים כי החידו</w:t>
      </w:r>
      <w:r w:rsidR="006B3E4C">
        <w:rPr>
          <w:rtl/>
        </w:rPr>
        <w:t>ש תופס מקום כלשהו בעולם התורה. עם כל ז</w:t>
      </w:r>
      <w:r w:rsidR="006B3E4C">
        <w:rPr>
          <w:rFonts w:hint="cs"/>
          <w:rtl/>
        </w:rPr>
        <w:t>את</w:t>
      </w:r>
      <w:r>
        <w:rPr>
          <w:rtl/>
        </w:rPr>
        <w:t>, הלימוד צריך להתאפיין ברצון לדבוק במסורת ובתורה שנמסרה לנו בהר סיני, ולא במגמה ליצור תורה חדשה.</w:t>
      </w:r>
    </w:p>
    <w:p w:rsidR="00442A0E" w:rsidRDefault="00442A0E" w:rsidP="00442A0E">
      <w:pPr>
        <w:pStyle w:val="a9"/>
        <w:rPr>
          <w:sz w:val="16"/>
          <w:rtl/>
        </w:rPr>
      </w:pPr>
    </w:p>
    <w:tbl>
      <w:tblPr>
        <w:bidiVisual/>
        <w:tblW w:w="0" w:type="auto"/>
        <w:jc w:val="center"/>
        <w:tblLayout w:type="fixed"/>
        <w:tblLook w:val="0000" w:firstRow="0" w:lastRow="0" w:firstColumn="0" w:lastColumn="0" w:noHBand="0" w:noVBand="0"/>
      </w:tblPr>
      <w:tblGrid>
        <w:gridCol w:w="283"/>
        <w:gridCol w:w="4111"/>
        <w:gridCol w:w="284"/>
      </w:tblGrid>
      <w:tr w:rsidR="00442A0E" w:rsidRPr="00724F66" w:rsidTr="000331A2">
        <w:tblPrEx>
          <w:tblCellMar>
            <w:top w:w="0" w:type="dxa"/>
            <w:bottom w:w="0" w:type="dxa"/>
          </w:tblCellMar>
        </w:tblPrEx>
        <w:trPr>
          <w:jc w:val="center"/>
        </w:trPr>
        <w:tc>
          <w:tcPr>
            <w:tcW w:w="283" w:type="dxa"/>
            <w:tcBorders>
              <w:top w:val="nil"/>
              <w:left w:val="nil"/>
              <w:bottom w:val="nil"/>
              <w:right w:val="nil"/>
            </w:tcBorders>
          </w:tcPr>
          <w:p w:rsidR="00442A0E" w:rsidRDefault="00442A0E" w:rsidP="000331A2">
            <w:pPr>
              <w:pStyle w:val="af"/>
              <w:rPr>
                <w:rtl/>
              </w:rPr>
            </w:pPr>
            <w:r>
              <w:rPr>
                <w:rtl/>
              </w:rPr>
              <w:t>*</w:t>
            </w:r>
          </w:p>
        </w:tc>
        <w:tc>
          <w:tcPr>
            <w:tcW w:w="4111" w:type="dxa"/>
            <w:tcBorders>
              <w:top w:val="nil"/>
              <w:left w:val="nil"/>
              <w:bottom w:val="nil"/>
              <w:right w:val="nil"/>
            </w:tcBorders>
          </w:tcPr>
          <w:p w:rsidR="00442A0E" w:rsidRDefault="00442A0E" w:rsidP="000331A2">
            <w:pPr>
              <w:pStyle w:val="af"/>
              <w:rPr>
                <w:rtl/>
              </w:rPr>
            </w:pPr>
            <w:r>
              <w:rPr>
                <w:rtl/>
              </w:rPr>
              <w:t>**********************************************************</w:t>
            </w:r>
          </w:p>
        </w:tc>
        <w:tc>
          <w:tcPr>
            <w:tcW w:w="284" w:type="dxa"/>
            <w:tcBorders>
              <w:top w:val="nil"/>
              <w:left w:val="nil"/>
              <w:bottom w:val="nil"/>
              <w:right w:val="nil"/>
            </w:tcBorders>
          </w:tcPr>
          <w:p w:rsidR="00442A0E" w:rsidRDefault="00442A0E" w:rsidP="000331A2">
            <w:pPr>
              <w:pStyle w:val="af"/>
              <w:rPr>
                <w:rtl/>
              </w:rPr>
            </w:pPr>
            <w:r>
              <w:rPr>
                <w:rtl/>
              </w:rPr>
              <w:t>*</w:t>
            </w:r>
          </w:p>
        </w:tc>
      </w:tr>
      <w:tr w:rsidR="00442A0E" w:rsidRPr="00724F66" w:rsidTr="000331A2">
        <w:tblPrEx>
          <w:tblCellMar>
            <w:top w:w="0" w:type="dxa"/>
            <w:bottom w:w="0" w:type="dxa"/>
          </w:tblCellMar>
        </w:tblPrEx>
        <w:trPr>
          <w:jc w:val="center"/>
        </w:trPr>
        <w:tc>
          <w:tcPr>
            <w:tcW w:w="283" w:type="dxa"/>
            <w:tcBorders>
              <w:top w:val="nil"/>
              <w:left w:val="nil"/>
              <w:bottom w:val="nil"/>
              <w:right w:val="nil"/>
            </w:tcBorders>
          </w:tcPr>
          <w:p w:rsidR="00442A0E" w:rsidRDefault="00442A0E" w:rsidP="000331A2">
            <w:pPr>
              <w:pStyle w:val="af"/>
              <w:rPr>
                <w:rtl/>
              </w:rPr>
            </w:pPr>
            <w:r>
              <w:rPr>
                <w:rtl/>
              </w:rPr>
              <w:t>* * * * * * * * * *</w:t>
            </w:r>
          </w:p>
        </w:tc>
        <w:tc>
          <w:tcPr>
            <w:tcW w:w="4111" w:type="dxa"/>
            <w:tcBorders>
              <w:top w:val="nil"/>
              <w:left w:val="nil"/>
              <w:bottom w:val="nil"/>
              <w:right w:val="nil"/>
            </w:tcBorders>
          </w:tcPr>
          <w:p w:rsidR="00442A0E" w:rsidRDefault="00442A0E" w:rsidP="000331A2">
            <w:pPr>
              <w:pStyle w:val="af"/>
              <w:rPr>
                <w:rtl/>
              </w:rPr>
            </w:pPr>
            <w:r>
              <w:rPr>
                <w:rtl/>
              </w:rPr>
              <w:t>כל הזכוי</w:t>
            </w:r>
            <w:r w:rsidR="006B3E4C">
              <w:rPr>
                <w:rtl/>
              </w:rPr>
              <w:t>ות שמורות לישיבת הר עציון</w:t>
            </w:r>
            <w:r w:rsidR="006B3E4C">
              <w:rPr>
                <w:rFonts w:hint="cs"/>
                <w:rtl/>
              </w:rPr>
              <w:t xml:space="preserve"> ולרב אהרן ליכטנשטיין זצ"ל</w:t>
            </w:r>
          </w:p>
          <w:p w:rsidR="00442A0E" w:rsidRDefault="006B3E4C" w:rsidP="000331A2">
            <w:pPr>
              <w:pStyle w:val="af"/>
              <w:rPr>
                <w:rFonts w:ascii="Times New Roman" w:hAnsi="Times New Roman"/>
                <w:rtl/>
              </w:rPr>
            </w:pPr>
            <w:r>
              <w:rPr>
                <w:rtl/>
              </w:rPr>
              <w:t xml:space="preserve">עורך: </w:t>
            </w:r>
            <w:r>
              <w:rPr>
                <w:rFonts w:hint="cs"/>
                <w:rtl/>
              </w:rPr>
              <w:t>אלישע אורון, תשע"ז</w:t>
            </w:r>
          </w:p>
          <w:p w:rsidR="00442A0E" w:rsidRDefault="00442A0E" w:rsidP="000331A2">
            <w:pPr>
              <w:pStyle w:val="af"/>
              <w:rPr>
                <w:rtl/>
              </w:rPr>
            </w:pPr>
            <w:r>
              <w:rPr>
                <w:rtl/>
              </w:rPr>
              <w:t>*******************************************************</w:t>
            </w:r>
          </w:p>
          <w:p w:rsidR="00442A0E" w:rsidRDefault="00442A0E" w:rsidP="000331A2">
            <w:pPr>
              <w:pStyle w:val="af"/>
              <w:rPr>
                <w:rtl/>
              </w:rPr>
            </w:pPr>
          </w:p>
          <w:p w:rsidR="00442A0E" w:rsidRDefault="00442A0E" w:rsidP="000331A2">
            <w:pPr>
              <w:pStyle w:val="af"/>
              <w:rPr>
                <w:rtl/>
              </w:rPr>
            </w:pPr>
            <w:r>
              <w:rPr>
                <w:rtl/>
              </w:rPr>
              <w:t>בית המדרש הוירטואלי שליד ישיבת הר עציון</w:t>
            </w:r>
          </w:p>
          <w:p w:rsidR="00442A0E" w:rsidRDefault="00442A0E" w:rsidP="000331A2">
            <w:pPr>
              <w:pStyle w:val="af"/>
              <w:rPr>
                <w:rFonts w:ascii="Times New Roman" w:hAnsi="Times New Roman"/>
                <w:rtl/>
              </w:rPr>
            </w:pPr>
            <w:r>
              <w:rPr>
                <w:rtl/>
              </w:rPr>
              <w:t>האתר בעברית:</w:t>
            </w:r>
            <w:r>
              <w:rPr>
                <w:rtl/>
              </w:rPr>
              <w:tab/>
            </w:r>
            <w:hyperlink r:id="rId7" w:history="1">
              <w:r>
                <w:rPr>
                  <w:rStyle w:val="Hyperlink"/>
                </w:rPr>
                <w:t>http://www.etzion.org.il/vbm</w:t>
              </w:r>
            </w:hyperlink>
          </w:p>
          <w:p w:rsidR="00442A0E" w:rsidRDefault="00442A0E" w:rsidP="000331A2">
            <w:pPr>
              <w:pStyle w:val="af"/>
              <w:rPr>
                <w:rFonts w:ascii="Times New Roman" w:hAnsi="Times New Roman"/>
                <w:rtl/>
              </w:rPr>
            </w:pPr>
            <w:r>
              <w:rPr>
                <w:rtl/>
              </w:rPr>
              <w:t>האתר באנגלית:</w:t>
            </w:r>
            <w:r>
              <w:rPr>
                <w:rtl/>
              </w:rPr>
              <w:tab/>
            </w:r>
            <w:hyperlink r:id="rId8" w:history="1">
              <w:r>
                <w:rPr>
                  <w:rStyle w:val="Hyperlink"/>
                </w:rPr>
                <w:t>http://www.vbm-torah.org</w:t>
              </w:r>
            </w:hyperlink>
          </w:p>
          <w:p w:rsidR="00442A0E" w:rsidRDefault="00442A0E" w:rsidP="000331A2">
            <w:pPr>
              <w:pStyle w:val="af"/>
              <w:rPr>
                <w:rFonts w:hint="cs"/>
                <w:rtl/>
              </w:rPr>
            </w:pPr>
          </w:p>
          <w:p w:rsidR="00442A0E" w:rsidRDefault="00442A0E" w:rsidP="000331A2">
            <w:pPr>
              <w:pStyle w:val="af"/>
              <w:rPr>
                <w:rFonts w:ascii="Times New Roman" w:hAnsi="Times New Roman"/>
                <w:rtl/>
              </w:rPr>
            </w:pPr>
            <w:r>
              <w:rPr>
                <w:rtl/>
              </w:rPr>
              <w:t xml:space="preserve">משרדי בית המדרש הוירטואלי: 02-9937300 שלוחה 5 </w:t>
            </w:r>
          </w:p>
          <w:p w:rsidR="00442A0E" w:rsidRDefault="00442A0E" w:rsidP="000331A2">
            <w:pPr>
              <w:pStyle w:val="af"/>
              <w:rPr>
                <w:rtl/>
              </w:rPr>
            </w:pPr>
            <w:r>
              <w:rPr>
                <w:rtl/>
              </w:rPr>
              <w:t xml:space="preserve">דואל: </w:t>
            </w:r>
            <w:hyperlink r:id="rId9" w:history="1">
              <w:r>
                <w:rPr>
                  <w:rStyle w:val="Hyperlink"/>
                </w:rPr>
                <w:t>office@etzion.org.il</w:t>
              </w:r>
            </w:hyperlink>
          </w:p>
        </w:tc>
        <w:tc>
          <w:tcPr>
            <w:tcW w:w="284" w:type="dxa"/>
            <w:tcBorders>
              <w:top w:val="nil"/>
              <w:left w:val="nil"/>
              <w:bottom w:val="nil"/>
              <w:right w:val="nil"/>
            </w:tcBorders>
          </w:tcPr>
          <w:p w:rsidR="00442A0E" w:rsidRDefault="00442A0E" w:rsidP="000331A2">
            <w:pPr>
              <w:pStyle w:val="af"/>
              <w:rPr>
                <w:rtl/>
              </w:rPr>
            </w:pPr>
            <w:r>
              <w:rPr>
                <w:rtl/>
              </w:rPr>
              <w:t xml:space="preserve">* * * * * * * * * * </w:t>
            </w:r>
          </w:p>
        </w:tc>
      </w:tr>
      <w:tr w:rsidR="00442A0E" w:rsidRPr="00724F66" w:rsidTr="000331A2">
        <w:tblPrEx>
          <w:tblCellMar>
            <w:top w:w="0" w:type="dxa"/>
            <w:bottom w:w="0" w:type="dxa"/>
          </w:tblCellMar>
        </w:tblPrEx>
        <w:trPr>
          <w:jc w:val="center"/>
        </w:trPr>
        <w:tc>
          <w:tcPr>
            <w:tcW w:w="283" w:type="dxa"/>
            <w:tcBorders>
              <w:top w:val="nil"/>
              <w:left w:val="nil"/>
              <w:bottom w:val="nil"/>
              <w:right w:val="nil"/>
            </w:tcBorders>
          </w:tcPr>
          <w:p w:rsidR="00442A0E" w:rsidRDefault="00442A0E" w:rsidP="000331A2">
            <w:pPr>
              <w:pStyle w:val="af"/>
              <w:rPr>
                <w:rtl/>
              </w:rPr>
            </w:pPr>
            <w:r>
              <w:rPr>
                <w:rtl/>
              </w:rPr>
              <w:t>*</w:t>
            </w:r>
          </w:p>
        </w:tc>
        <w:tc>
          <w:tcPr>
            <w:tcW w:w="4111" w:type="dxa"/>
            <w:tcBorders>
              <w:top w:val="nil"/>
              <w:left w:val="nil"/>
              <w:bottom w:val="nil"/>
              <w:right w:val="nil"/>
            </w:tcBorders>
          </w:tcPr>
          <w:p w:rsidR="00442A0E" w:rsidRDefault="00442A0E" w:rsidP="000331A2">
            <w:pPr>
              <w:pStyle w:val="af"/>
              <w:rPr>
                <w:rtl/>
              </w:rPr>
            </w:pPr>
            <w:r>
              <w:rPr>
                <w:rtl/>
              </w:rPr>
              <w:t>**********************************************************</w:t>
            </w:r>
          </w:p>
        </w:tc>
        <w:tc>
          <w:tcPr>
            <w:tcW w:w="284" w:type="dxa"/>
            <w:tcBorders>
              <w:top w:val="nil"/>
              <w:left w:val="nil"/>
              <w:bottom w:val="nil"/>
              <w:right w:val="nil"/>
            </w:tcBorders>
          </w:tcPr>
          <w:p w:rsidR="00442A0E" w:rsidRDefault="00442A0E" w:rsidP="000331A2">
            <w:pPr>
              <w:pStyle w:val="af"/>
              <w:rPr>
                <w:rtl/>
              </w:rPr>
            </w:pPr>
            <w:r>
              <w:rPr>
                <w:rtl/>
              </w:rPr>
              <w:t>*</w:t>
            </w:r>
          </w:p>
        </w:tc>
      </w:tr>
    </w:tbl>
    <w:p w:rsidR="00CC65E6" w:rsidRPr="00442A0E" w:rsidRDefault="00CC65E6" w:rsidP="00442A0E">
      <w:pPr>
        <w:rPr>
          <w:szCs w:val="20"/>
          <w:rtl/>
        </w:rPr>
      </w:pPr>
    </w:p>
    <w:sectPr w:rsidR="00CC65E6" w:rsidRPr="00442A0E" w:rsidSect="005F7985">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C0C" w:rsidRDefault="000A3C0C" w:rsidP="005F7985">
      <w:pPr>
        <w:spacing w:after="0" w:line="240" w:lineRule="auto"/>
      </w:pPr>
      <w:r>
        <w:separator/>
      </w:r>
    </w:p>
  </w:endnote>
  <w:endnote w:type="continuationSeparator" w:id="0">
    <w:p w:rsidR="000A3C0C" w:rsidRDefault="000A3C0C"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C0C" w:rsidRDefault="000A3C0C" w:rsidP="005F7985">
      <w:pPr>
        <w:spacing w:after="0" w:line="240" w:lineRule="auto"/>
      </w:pPr>
      <w:r>
        <w:separator/>
      </w:r>
    </w:p>
  </w:footnote>
  <w:footnote w:type="continuationSeparator" w:id="0">
    <w:p w:rsidR="000A3C0C" w:rsidRDefault="000A3C0C" w:rsidP="005F7985">
      <w:pPr>
        <w:spacing w:after="0" w:line="240" w:lineRule="auto"/>
      </w:pPr>
      <w:r>
        <w:continuationSeparator/>
      </w:r>
    </w:p>
  </w:footnote>
  <w:footnote w:id="1">
    <w:p w:rsidR="00442A0E" w:rsidRDefault="00442A0E" w:rsidP="00442A0E">
      <w:pPr>
        <w:pStyle w:val="a9"/>
        <w:ind w:left="0" w:right="227"/>
      </w:pPr>
      <w:bookmarkStart w:id="0" w:name="_GoBack"/>
      <w:r>
        <w:rPr>
          <w:rStyle w:val="ab"/>
        </w:rPr>
        <w:t>*</w:t>
      </w:r>
      <w:r>
        <w:t xml:space="preserve"> </w:t>
      </w:r>
      <w:r>
        <w:rPr>
          <w:sz w:val="16"/>
          <w:rtl/>
        </w:rPr>
        <w:t xml:space="preserve"> השיחה הועברה בסעודה השלישית של שבת פרשת פנחס</w:t>
      </w:r>
      <w:r w:rsidR="006B3E4C">
        <w:rPr>
          <w:sz w:val="16"/>
          <w:rtl/>
        </w:rPr>
        <w:t xml:space="preserve"> תשנ"ז, </w:t>
      </w:r>
      <w:r>
        <w:rPr>
          <w:sz w:val="16"/>
          <w:rtl/>
        </w:rPr>
        <w:t>סוכמה ע"י ארי מרמלשטיין</w:t>
      </w:r>
      <w:r w:rsidR="006B3E4C">
        <w:rPr>
          <w:rFonts w:hint="cs"/>
          <w:sz w:val="16"/>
          <w:rtl/>
        </w:rPr>
        <w:t xml:space="preserve"> ונערכה ע"י אלישע אורון</w:t>
      </w:r>
      <w:r>
        <w:rPr>
          <w:sz w:val="16"/>
          <w:rtl/>
        </w:rPr>
        <w:t xml:space="preserve">. </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23" w:rsidRDefault="00863023">
    <w:pPr>
      <w:pStyle w:val="ac"/>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7C286B">
      <w:rPr>
        <w:b/>
        <w:bCs/>
        <w:noProof/>
        <w:sz w:val="21"/>
        <w:rtl/>
      </w:rPr>
      <w:t>2</w:t>
    </w:r>
    <w:r>
      <w:rPr>
        <w:b/>
        <w:bCs/>
        <w:sz w:val="21"/>
        <w:rtl/>
      </w:rPr>
      <w:fldChar w:fldCharType="end"/>
    </w:r>
    <w:r>
      <w:rPr>
        <w:b/>
        <w:bCs/>
        <w:sz w:val="21"/>
        <w:rtl/>
      </w:rPr>
      <w:t xml:space="preserve"> -</w:t>
    </w:r>
  </w:p>
  <w:p w:rsidR="00863023" w:rsidRDefault="008630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863023">
      <w:tc>
        <w:tcPr>
          <w:tcW w:w="4927" w:type="dxa"/>
          <w:tcBorders>
            <w:top w:val="nil"/>
            <w:left w:val="nil"/>
            <w:bottom w:val="double" w:sz="4" w:space="0" w:color="auto"/>
            <w:right w:val="nil"/>
          </w:tcBorders>
        </w:tcPr>
        <w:p w:rsidR="00863023" w:rsidRDefault="00863023">
          <w:pPr>
            <w:pStyle w:val="ac"/>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863023" w:rsidRDefault="00863023">
          <w:pPr>
            <w:pStyle w:val="ac"/>
            <w:tabs>
              <w:tab w:val="clear" w:pos="4153"/>
              <w:tab w:val="clear" w:pos="8306"/>
              <w:tab w:val="center" w:pos="4818"/>
              <w:tab w:val="right" w:pos="8220"/>
            </w:tabs>
            <w:spacing w:after="0"/>
            <w:rPr>
              <w:sz w:val="21"/>
              <w:rtl/>
            </w:rPr>
          </w:pPr>
          <w:r>
            <w:rPr>
              <w:sz w:val="21"/>
              <w:rtl/>
            </w:rPr>
            <w:t>שליד ישיבת הר עציון</w:t>
          </w:r>
        </w:p>
        <w:p w:rsidR="00863023" w:rsidRDefault="00863023">
          <w:pPr>
            <w:pStyle w:val="ac"/>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863023" w:rsidRDefault="00863023">
          <w:pPr>
            <w:pStyle w:val="ac"/>
            <w:tabs>
              <w:tab w:val="clear" w:pos="4153"/>
              <w:tab w:val="clear" w:pos="8306"/>
              <w:tab w:val="right" w:pos="8220"/>
            </w:tabs>
            <w:bidi w:val="0"/>
            <w:spacing w:after="0" w:line="240" w:lineRule="auto"/>
            <w:jc w:val="left"/>
            <w:rPr>
              <w:sz w:val="28"/>
            </w:rPr>
          </w:pPr>
          <w:r>
            <w:rPr>
              <w:b/>
              <w:bCs/>
              <w:sz w:val="28"/>
            </w:rPr>
            <w:t>www.etzion.org.il/vbm</w:t>
          </w:r>
        </w:p>
      </w:tc>
    </w:tr>
  </w:tbl>
  <w:p w:rsidR="00863023" w:rsidRDefault="00863023">
    <w:pPr>
      <w:pStyle w:val="ac"/>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3B67"/>
    <w:multiLevelType w:val="hybridMultilevel"/>
    <w:tmpl w:val="221CCE4A"/>
    <w:lvl w:ilvl="0" w:tplc="B474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D4F85"/>
    <w:multiLevelType w:val="hybridMultilevel"/>
    <w:tmpl w:val="393862BE"/>
    <w:lvl w:ilvl="0" w:tplc="ED78B5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B3341"/>
    <w:multiLevelType w:val="hybridMultilevel"/>
    <w:tmpl w:val="F06AD44C"/>
    <w:lvl w:ilvl="0" w:tplc="B474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607F4"/>
    <w:multiLevelType w:val="hybridMultilevel"/>
    <w:tmpl w:val="5404964C"/>
    <w:lvl w:ilvl="0" w:tplc="67B0427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4104"/>
    <w:rsid w:val="00016FCE"/>
    <w:rsid w:val="000458BC"/>
    <w:rsid w:val="0005589C"/>
    <w:rsid w:val="00067E9B"/>
    <w:rsid w:val="000827D2"/>
    <w:rsid w:val="000A18FC"/>
    <w:rsid w:val="000A3C0C"/>
    <w:rsid w:val="000C5549"/>
    <w:rsid w:val="000D00CA"/>
    <w:rsid w:val="000E5AFD"/>
    <w:rsid w:val="000F3A8C"/>
    <w:rsid w:val="001032CB"/>
    <w:rsid w:val="00111633"/>
    <w:rsid w:val="00117B74"/>
    <w:rsid w:val="00120403"/>
    <w:rsid w:val="00124BE4"/>
    <w:rsid w:val="00134C7B"/>
    <w:rsid w:val="00143837"/>
    <w:rsid w:val="001502DB"/>
    <w:rsid w:val="001513E2"/>
    <w:rsid w:val="00197D62"/>
    <w:rsid w:val="001A2419"/>
    <w:rsid w:val="001A3EF5"/>
    <w:rsid w:val="001B34F2"/>
    <w:rsid w:val="001C0398"/>
    <w:rsid w:val="001C08DD"/>
    <w:rsid w:val="001F137C"/>
    <w:rsid w:val="002200F1"/>
    <w:rsid w:val="00231486"/>
    <w:rsid w:val="00234036"/>
    <w:rsid w:val="0026536C"/>
    <w:rsid w:val="00272817"/>
    <w:rsid w:val="002756E2"/>
    <w:rsid w:val="00277060"/>
    <w:rsid w:val="0028771E"/>
    <w:rsid w:val="00287A3A"/>
    <w:rsid w:val="00295F20"/>
    <w:rsid w:val="002A2B1D"/>
    <w:rsid w:val="002A32F4"/>
    <w:rsid w:val="002A394A"/>
    <w:rsid w:val="002B2816"/>
    <w:rsid w:val="002D3217"/>
    <w:rsid w:val="00305702"/>
    <w:rsid w:val="00315192"/>
    <w:rsid w:val="003252EC"/>
    <w:rsid w:val="00326C74"/>
    <w:rsid w:val="0033127E"/>
    <w:rsid w:val="0034435B"/>
    <w:rsid w:val="00345D27"/>
    <w:rsid w:val="00360962"/>
    <w:rsid w:val="00380328"/>
    <w:rsid w:val="00397065"/>
    <w:rsid w:val="0039707A"/>
    <w:rsid w:val="003D7721"/>
    <w:rsid w:val="003E768B"/>
    <w:rsid w:val="003F7890"/>
    <w:rsid w:val="00402C36"/>
    <w:rsid w:val="00416F2A"/>
    <w:rsid w:val="00420F26"/>
    <w:rsid w:val="00425BEB"/>
    <w:rsid w:val="004360C9"/>
    <w:rsid w:val="00442A0E"/>
    <w:rsid w:val="00455395"/>
    <w:rsid w:val="004829C8"/>
    <w:rsid w:val="00496F17"/>
    <w:rsid w:val="004D0239"/>
    <w:rsid w:val="004F3B9F"/>
    <w:rsid w:val="00513513"/>
    <w:rsid w:val="005149C3"/>
    <w:rsid w:val="00516E6C"/>
    <w:rsid w:val="00520FA0"/>
    <w:rsid w:val="00543BFF"/>
    <w:rsid w:val="00544704"/>
    <w:rsid w:val="00550DDD"/>
    <w:rsid w:val="005647CD"/>
    <w:rsid w:val="005921AE"/>
    <w:rsid w:val="005A0244"/>
    <w:rsid w:val="005B76C2"/>
    <w:rsid w:val="005C6C88"/>
    <w:rsid w:val="005E44BA"/>
    <w:rsid w:val="005E47A0"/>
    <w:rsid w:val="005E51B5"/>
    <w:rsid w:val="005F7985"/>
    <w:rsid w:val="006064E4"/>
    <w:rsid w:val="0061649C"/>
    <w:rsid w:val="00617E24"/>
    <w:rsid w:val="006400C8"/>
    <w:rsid w:val="00683AD6"/>
    <w:rsid w:val="0069000C"/>
    <w:rsid w:val="006915B3"/>
    <w:rsid w:val="006A61F5"/>
    <w:rsid w:val="006B1EF3"/>
    <w:rsid w:val="006B332C"/>
    <w:rsid w:val="006B3E4C"/>
    <w:rsid w:val="006C3DFD"/>
    <w:rsid w:val="006E5896"/>
    <w:rsid w:val="006F7C19"/>
    <w:rsid w:val="0070000E"/>
    <w:rsid w:val="00707A86"/>
    <w:rsid w:val="00707F76"/>
    <w:rsid w:val="007176D1"/>
    <w:rsid w:val="00754DAE"/>
    <w:rsid w:val="0077090A"/>
    <w:rsid w:val="00773F69"/>
    <w:rsid w:val="00777CEF"/>
    <w:rsid w:val="007873C0"/>
    <w:rsid w:val="007A6AB1"/>
    <w:rsid w:val="007B0711"/>
    <w:rsid w:val="007B5488"/>
    <w:rsid w:val="007C286B"/>
    <w:rsid w:val="007C46EE"/>
    <w:rsid w:val="007C5FA6"/>
    <w:rsid w:val="007E507C"/>
    <w:rsid w:val="007E7500"/>
    <w:rsid w:val="007F601C"/>
    <w:rsid w:val="00813330"/>
    <w:rsid w:val="00817001"/>
    <w:rsid w:val="0082343E"/>
    <w:rsid w:val="00835345"/>
    <w:rsid w:val="00842EC2"/>
    <w:rsid w:val="0086008D"/>
    <w:rsid w:val="00863023"/>
    <w:rsid w:val="00865437"/>
    <w:rsid w:val="00870EB7"/>
    <w:rsid w:val="00871EF5"/>
    <w:rsid w:val="00875FBB"/>
    <w:rsid w:val="0087729D"/>
    <w:rsid w:val="0088360E"/>
    <w:rsid w:val="0089293E"/>
    <w:rsid w:val="008A55A3"/>
    <w:rsid w:val="008B3A6B"/>
    <w:rsid w:val="008C4A8E"/>
    <w:rsid w:val="008C5B82"/>
    <w:rsid w:val="008D309C"/>
    <w:rsid w:val="008D391A"/>
    <w:rsid w:val="009002A5"/>
    <w:rsid w:val="009120C5"/>
    <w:rsid w:val="00915A47"/>
    <w:rsid w:val="009215D9"/>
    <w:rsid w:val="0093798A"/>
    <w:rsid w:val="00953752"/>
    <w:rsid w:val="009724A7"/>
    <w:rsid w:val="0098126F"/>
    <w:rsid w:val="009A0C81"/>
    <w:rsid w:val="009B70F2"/>
    <w:rsid w:val="009C6505"/>
    <w:rsid w:val="009C6C3A"/>
    <w:rsid w:val="009F1F91"/>
    <w:rsid w:val="009F301F"/>
    <w:rsid w:val="009F32DA"/>
    <w:rsid w:val="00A14F22"/>
    <w:rsid w:val="00A17CC0"/>
    <w:rsid w:val="00A32B71"/>
    <w:rsid w:val="00A33D96"/>
    <w:rsid w:val="00A67BCC"/>
    <w:rsid w:val="00A70FEB"/>
    <w:rsid w:val="00AB2B0A"/>
    <w:rsid w:val="00AC4207"/>
    <w:rsid w:val="00AE1BD0"/>
    <w:rsid w:val="00AE4900"/>
    <w:rsid w:val="00AF6813"/>
    <w:rsid w:val="00B103A1"/>
    <w:rsid w:val="00B10400"/>
    <w:rsid w:val="00B2236F"/>
    <w:rsid w:val="00B243F4"/>
    <w:rsid w:val="00B61029"/>
    <w:rsid w:val="00B61760"/>
    <w:rsid w:val="00B65D5E"/>
    <w:rsid w:val="00B7243D"/>
    <w:rsid w:val="00B7507A"/>
    <w:rsid w:val="00B86A06"/>
    <w:rsid w:val="00BA1BBC"/>
    <w:rsid w:val="00BA1CD1"/>
    <w:rsid w:val="00BB139A"/>
    <w:rsid w:val="00BB5D48"/>
    <w:rsid w:val="00BC7C5F"/>
    <w:rsid w:val="00BD32A3"/>
    <w:rsid w:val="00BD38AD"/>
    <w:rsid w:val="00BE1240"/>
    <w:rsid w:val="00BF0022"/>
    <w:rsid w:val="00C027E6"/>
    <w:rsid w:val="00C113B4"/>
    <w:rsid w:val="00C25383"/>
    <w:rsid w:val="00C416DD"/>
    <w:rsid w:val="00C77827"/>
    <w:rsid w:val="00C876C7"/>
    <w:rsid w:val="00C945EE"/>
    <w:rsid w:val="00CA3B41"/>
    <w:rsid w:val="00CB11E4"/>
    <w:rsid w:val="00CB73CC"/>
    <w:rsid w:val="00CC65E6"/>
    <w:rsid w:val="00CC778C"/>
    <w:rsid w:val="00CF363C"/>
    <w:rsid w:val="00D01D8C"/>
    <w:rsid w:val="00D03BFC"/>
    <w:rsid w:val="00D606D4"/>
    <w:rsid w:val="00D70DEE"/>
    <w:rsid w:val="00D73C9D"/>
    <w:rsid w:val="00DB0EBF"/>
    <w:rsid w:val="00DB4158"/>
    <w:rsid w:val="00DC24EA"/>
    <w:rsid w:val="00E43529"/>
    <w:rsid w:val="00E526E4"/>
    <w:rsid w:val="00E66D5D"/>
    <w:rsid w:val="00E82DA9"/>
    <w:rsid w:val="00E843C6"/>
    <w:rsid w:val="00EA205A"/>
    <w:rsid w:val="00EA261D"/>
    <w:rsid w:val="00EA3490"/>
    <w:rsid w:val="00EB5473"/>
    <w:rsid w:val="00EC1C5B"/>
    <w:rsid w:val="00EC4407"/>
    <w:rsid w:val="00ED4AE0"/>
    <w:rsid w:val="00F07C46"/>
    <w:rsid w:val="00F1023E"/>
    <w:rsid w:val="00F178AB"/>
    <w:rsid w:val="00F325DB"/>
    <w:rsid w:val="00F76507"/>
    <w:rsid w:val="00F868DF"/>
    <w:rsid w:val="00F870EE"/>
    <w:rsid w:val="00F95556"/>
    <w:rsid w:val="00F9705F"/>
    <w:rsid w:val="00FA5581"/>
    <w:rsid w:val="00FA6FEC"/>
    <w:rsid w:val="00FD4D3C"/>
    <w:rsid w:val="00FF479F"/>
    <w:rsid w:val="00FF5EF1"/>
    <w:rsid w:val="00FF72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E7742-C233-404A-BEA1-BDB1E183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D96"/>
    <w:pPr>
      <w:autoSpaceDE w:val="0"/>
      <w:autoSpaceDN w:val="0"/>
      <w:bidi/>
      <w:spacing w:after="120" w:line="280" w:lineRule="exact"/>
      <w:jc w:val="both"/>
    </w:pPr>
    <w:rPr>
      <w:rFonts w:ascii="Times New Roman" w:hAnsi="Times New Roman" w:cs="Narkisim"/>
      <w:sz w:val="20"/>
    </w:rPr>
  </w:style>
  <w:style w:type="paragraph" w:styleId="1">
    <w:name w:val="heading 1"/>
    <w:basedOn w:val="a"/>
    <w:next w:val="a"/>
    <w:link w:val="10"/>
    <w:autoRedefine/>
    <w:uiPriority w:val="99"/>
    <w:qFormat/>
    <w:rsid w:val="009120C5"/>
    <w:pPr>
      <w:keepNext/>
      <w:keepLines/>
      <w:spacing w:before="240" w:after="160" w:line="360" w:lineRule="auto"/>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004104"/>
    <w:pPr>
      <w:keepNext/>
      <w:keepLines/>
      <w:autoSpaceDE/>
      <w:autoSpaceDN/>
      <w:spacing w:before="160" w:after="80" w:line="360" w:lineRule="auto"/>
      <w:jc w:val="left"/>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305702"/>
    <w:pPr>
      <w:spacing w:before="200" w:after="80" w:line="360" w:lineRule="auto"/>
      <w:jc w:val="right"/>
      <w:outlineLvl w:val="4"/>
    </w:pPr>
    <w:rPr>
      <w:rFonts w:ascii="Narkisim" w:hAnsi="Narkisim"/>
      <w:szCs w:val="20"/>
    </w:rPr>
  </w:style>
  <w:style w:type="paragraph" w:styleId="7">
    <w:name w:val="heading 7"/>
    <w:basedOn w:val="a"/>
    <w:next w:val="a"/>
    <w:link w:val="70"/>
    <w:autoRedefine/>
    <w:uiPriority w:val="9"/>
    <w:unhideWhenUsed/>
    <w:qFormat/>
    <w:rsid w:val="004360C9"/>
    <w:pPr>
      <w:keepNext/>
      <w:keepLines/>
      <w:spacing w:before="160" w:line="360" w:lineRule="auto"/>
      <w:jc w:val="center"/>
      <w:outlineLvl w:val="6"/>
    </w:pPr>
    <w:rPr>
      <w:rFonts w:asciiTheme="majorHAnsi" w:eastAsiaTheme="majorEastAsia" w:hAnsiTheme="majorHAnsi"/>
      <w:bCs/>
      <w:i/>
      <w:szCs w:val="2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autoRedefine/>
    <w:uiPriority w:val="34"/>
    <w:qFormat/>
    <w:rsid w:val="003252EC"/>
    <w:pPr>
      <w:autoSpaceDE/>
      <w:autoSpaceDN/>
      <w:spacing w:line="360" w:lineRule="auto"/>
      <w:ind w:left="794"/>
    </w:pPr>
    <w:rPr>
      <w:rFonts w:asciiTheme="minorHAnsi" w:hAnsiTheme="minorHAnsi"/>
      <w:sz w:val="22"/>
      <w:szCs w:val="24"/>
    </w:rPr>
  </w:style>
  <w:style w:type="paragraph" w:styleId="a5">
    <w:name w:val="Quote"/>
    <w:basedOn w:val="a"/>
    <w:link w:val="a6"/>
    <w:autoRedefine/>
    <w:uiPriority w:val="99"/>
    <w:qFormat/>
    <w:rsid w:val="00BB139A"/>
    <w:pPr>
      <w:tabs>
        <w:tab w:val="right" w:pos="4620"/>
      </w:tabs>
      <w:spacing w:before="200" w:line="360" w:lineRule="auto"/>
      <w:ind w:left="567"/>
    </w:pPr>
    <w:rPr>
      <w:rFonts w:asciiTheme="minorHAnsi" w:hAnsiTheme="minorHAnsi"/>
      <w:sz w:val="22"/>
    </w:rPr>
  </w:style>
  <w:style w:type="character" w:customStyle="1" w:styleId="a6">
    <w:name w:val="ציטוט תו"/>
    <w:link w:val="a5"/>
    <w:uiPriority w:val="29"/>
    <w:rsid w:val="00BB139A"/>
    <w:rPr>
      <w:rFonts w:cs="Narkisim"/>
    </w:rPr>
  </w:style>
  <w:style w:type="paragraph" w:styleId="a7">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004104"/>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8">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305702"/>
    <w:rPr>
      <w:rFonts w:ascii="Narkisim" w:hAnsi="Narkisim" w:cs="Narkisim"/>
      <w:sz w:val="20"/>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9">
    <w:name w:val="footnote text"/>
    <w:aliases w:val="הערת שוליים,הערה"/>
    <w:basedOn w:val="a"/>
    <w:link w:val="aa"/>
    <w:uiPriority w:val="99"/>
    <w:qFormat/>
    <w:rsid w:val="005F7985"/>
    <w:pPr>
      <w:spacing w:line="220" w:lineRule="exact"/>
      <w:ind w:left="284" w:hanging="284"/>
    </w:pPr>
    <w:rPr>
      <w:position w:val="6"/>
      <w:szCs w:val="18"/>
    </w:rPr>
  </w:style>
  <w:style w:type="character" w:customStyle="1" w:styleId="aa">
    <w:name w:val="טקסט הערת שוליים תו"/>
    <w:aliases w:val="הערת שוליים תו,הערה תו"/>
    <w:basedOn w:val="a0"/>
    <w:link w:val="a9"/>
    <w:uiPriority w:val="99"/>
    <w:rsid w:val="005F7985"/>
    <w:rPr>
      <w:rFonts w:ascii="Times New Roman" w:hAnsi="Times New Roman" w:cs="Narkisim"/>
      <w:position w:val="6"/>
      <w:sz w:val="20"/>
      <w:szCs w:val="18"/>
    </w:rPr>
  </w:style>
  <w:style w:type="character" w:styleId="ab">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c">
    <w:name w:val="header"/>
    <w:basedOn w:val="a"/>
    <w:link w:val="ad"/>
    <w:uiPriority w:val="99"/>
    <w:rsid w:val="005F7985"/>
    <w:pPr>
      <w:tabs>
        <w:tab w:val="center" w:pos="4153"/>
        <w:tab w:val="right" w:pos="8306"/>
      </w:tabs>
      <w:spacing w:line="360" w:lineRule="auto"/>
    </w:pPr>
    <w:rPr>
      <w:szCs w:val="24"/>
    </w:rPr>
  </w:style>
  <w:style w:type="character" w:customStyle="1" w:styleId="ad">
    <w:name w:val="כותרת עליונה תו"/>
    <w:basedOn w:val="a0"/>
    <w:link w:val="ac"/>
    <w:uiPriority w:val="99"/>
    <w:rsid w:val="005F7985"/>
    <w:rPr>
      <w:rFonts w:ascii="Times New Roman" w:hAnsi="Times New Roman" w:cs="Narkisim"/>
      <w:sz w:val="20"/>
      <w:szCs w:val="24"/>
    </w:rPr>
  </w:style>
  <w:style w:type="paragraph" w:customStyle="1" w:styleId="ae">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f">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0">
    <w:name w:val="כות"/>
    <w:basedOn w:val="a"/>
    <w:uiPriority w:val="99"/>
    <w:rsid w:val="00B103A1"/>
    <w:pPr>
      <w:keepNext/>
      <w:widowControl w:val="0"/>
      <w:spacing w:before="360" w:after="240" w:line="240" w:lineRule="auto"/>
      <w:jc w:val="center"/>
    </w:pPr>
    <w:rPr>
      <w:b/>
      <w:bCs/>
      <w:sz w:val="36"/>
      <w:szCs w:val="36"/>
    </w:rPr>
  </w:style>
  <w:style w:type="paragraph" w:customStyle="1" w:styleId="e7">
    <w:name w:val="לוגו תנe7תון"/>
    <w:basedOn w:val="a"/>
    <w:uiPriority w:val="99"/>
    <w:rsid w:val="00B103A1"/>
    <w:pPr>
      <w:widowControl w:val="0"/>
      <w:tabs>
        <w:tab w:val="right" w:pos="3895"/>
      </w:tabs>
      <w:spacing w:after="0" w:line="240" w:lineRule="auto"/>
      <w:jc w:val="center"/>
    </w:pPr>
    <w:rPr>
      <w:rFonts w:ascii="Arial" w:hAnsi="Arial"/>
      <w:b/>
      <w:bCs/>
      <w:noProof/>
      <w:sz w:val="16"/>
      <w:szCs w:val="16"/>
    </w:rPr>
  </w:style>
  <w:style w:type="paragraph" w:customStyle="1" w:styleId="af1">
    <w:name w:val="מחבר"/>
    <w:basedOn w:val="a"/>
    <w:uiPriority w:val="99"/>
    <w:rsid w:val="00B103A1"/>
    <w:pPr>
      <w:keepNext/>
      <w:widowControl w:val="0"/>
      <w:spacing w:before="240" w:after="0" w:line="240" w:lineRule="auto"/>
      <w:jc w:val="left"/>
    </w:pPr>
    <w:rPr>
      <w:b/>
      <w:bCs/>
      <w:sz w:val="26"/>
      <w:szCs w:val="26"/>
    </w:rPr>
  </w:style>
  <w:style w:type="character" w:customStyle="1" w:styleId="HebrewChar">
    <w:name w:val="Hebrew_Char"/>
    <w:uiPriority w:val="99"/>
    <w:rsid w:val="00DC24EA"/>
  </w:style>
  <w:style w:type="paragraph" w:customStyle="1" w:styleId="af2">
    <w:name w:val="כותרת"/>
    <w:basedOn w:val="a"/>
    <w:uiPriority w:val="99"/>
    <w:rsid w:val="00FA5581"/>
    <w:pPr>
      <w:keepNext/>
      <w:spacing w:before="120" w:after="240" w:line="240" w:lineRule="auto"/>
      <w:jc w:val="center"/>
      <w:outlineLvl w:val="1"/>
    </w:pPr>
    <w:rPr>
      <w:rFonts w:ascii="Arial" w:hAnsi="Arial" w:cs="Times New Roman"/>
      <w:b/>
      <w:bCs/>
      <w:sz w:val="44"/>
      <w:szCs w:val="44"/>
    </w:rPr>
  </w:style>
  <w:style w:type="paragraph" w:customStyle="1" w:styleId="21">
    <w:name w:val="כותרת2"/>
    <w:basedOn w:val="af2"/>
    <w:uiPriority w:val="99"/>
    <w:rsid w:val="00FA5581"/>
    <w:pPr>
      <w:spacing w:after="60"/>
    </w:pPr>
    <w:rPr>
      <w:sz w:val="26"/>
      <w:szCs w:val="28"/>
    </w:rPr>
  </w:style>
  <w:style w:type="paragraph" w:customStyle="1" w:styleId="af3">
    <w:name w:val="גוש"/>
    <w:basedOn w:val="a3"/>
    <w:link w:val="af4"/>
    <w:autoRedefine/>
    <w:qFormat/>
    <w:rsid w:val="00124BE4"/>
    <w:pPr>
      <w:jc w:val="right"/>
    </w:pPr>
    <w:rPr>
      <w:szCs w:val="20"/>
    </w:rPr>
  </w:style>
  <w:style w:type="character" w:customStyle="1" w:styleId="a4">
    <w:name w:val="פיסקת רשימה תו"/>
    <w:basedOn w:val="a0"/>
    <w:link w:val="a3"/>
    <w:uiPriority w:val="34"/>
    <w:rsid w:val="003252EC"/>
    <w:rPr>
      <w:rFonts w:cs="Narkisim"/>
      <w:szCs w:val="24"/>
    </w:rPr>
  </w:style>
  <w:style w:type="character" w:customStyle="1" w:styleId="af4">
    <w:name w:val="גוש תו"/>
    <w:basedOn w:val="a4"/>
    <w:link w:val="af3"/>
    <w:rsid w:val="00124BE4"/>
    <w:rPr>
      <w:rFonts w:cs="Narkisim"/>
      <w:szCs w:val="20"/>
    </w:rPr>
  </w:style>
  <w:style w:type="paragraph" w:customStyle="1" w:styleId="Quote1">
    <w:name w:val="Quote1"/>
    <w:basedOn w:val="a"/>
    <w:rsid w:val="00C113B4"/>
    <w:pPr>
      <w:autoSpaceDE/>
      <w:autoSpaceDN/>
      <w:spacing w:after="50" w:line="240" w:lineRule="atLeast"/>
      <w:ind w:left="227"/>
    </w:pPr>
    <w:rPr>
      <w:rFonts w:ascii="Tahoma" w:hAnsi="Tahoma" w:cs="Tahoma"/>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583</Words>
  <Characters>2919</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4</cp:revision>
  <dcterms:created xsi:type="dcterms:W3CDTF">2017-07-12T06:48:00Z</dcterms:created>
  <dcterms:modified xsi:type="dcterms:W3CDTF">2017-07-13T09:43:00Z</dcterms:modified>
</cp:coreProperties>
</file>