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bookmarkStart w:id="0" w:name="_GoBack"/>
      <w:bookmarkEnd w:id="0"/>
      <w:r>
        <w:rPr>
          <w:rFonts w:hint="cs"/>
          <w:rtl/>
        </w:rPr>
        <w:t xml:space="preserve">פרופ' </w:t>
      </w:r>
      <w:r w:rsidR="00BC5418">
        <w:rPr>
          <w:rFonts w:hint="cs"/>
          <w:rtl/>
        </w:rPr>
        <w:t>יונתן גרוסמן</w:t>
      </w:r>
    </w:p>
    <w:p w14:paraId="063007BD" w14:textId="77777777" w:rsidR="009D5639" w:rsidRPr="00C1023C" w:rsidRDefault="009D5639" w:rsidP="00BC5418">
      <w:pPr>
        <w:pStyle w:val="a8"/>
        <w:contextualSpacing/>
        <w:rPr>
          <w:rtl/>
        </w:rPr>
      </w:pPr>
    </w:p>
    <w:p w14:paraId="1E7660BB" w14:textId="6152499E" w:rsidR="00BD0D01" w:rsidRDefault="00BF213D" w:rsidP="00FD1479">
      <w:pPr>
        <w:pStyle w:val="1"/>
        <w:contextualSpacing/>
        <w:rPr>
          <w:rtl/>
        </w:rPr>
      </w:pPr>
      <w:r>
        <w:rPr>
          <w:rFonts w:hint="cs"/>
          <w:rtl/>
        </w:rPr>
        <w:t>38 אשם וגזל גבוה</w:t>
      </w:r>
    </w:p>
    <w:p w14:paraId="41D6E121" w14:textId="77777777" w:rsidR="00437A07" w:rsidRDefault="00437A07" w:rsidP="00FD1479">
      <w:pPr>
        <w:rPr>
          <w:rtl/>
        </w:rPr>
      </w:pPr>
    </w:p>
    <w:p w14:paraId="49AED084" w14:textId="143107C1" w:rsidR="00B571D5" w:rsidRDefault="00BF213D" w:rsidP="00B571D5">
      <w:pPr>
        <w:rPr>
          <w:rtl/>
        </w:rPr>
      </w:pPr>
      <w:r>
        <w:rPr>
          <w:rFonts w:hint="cs"/>
          <w:rtl/>
        </w:rPr>
        <w:t xml:space="preserve">ראינו בשיעורנו הקודם את הצעתו של רמב"ן </w:t>
      </w:r>
      <w:r w:rsidR="00B571D5">
        <w:rPr>
          <w:rFonts w:hint="cs"/>
          <w:rtl/>
        </w:rPr>
        <w:t>שה</w:t>
      </w:r>
      <w:r>
        <w:rPr>
          <w:rFonts w:hint="cs"/>
          <w:rtl/>
        </w:rPr>
        <w:t xml:space="preserve">חומרא היתירה של עבירות האשם </w:t>
      </w:r>
      <w:r w:rsidR="00B571D5">
        <w:rPr>
          <w:rFonts w:hint="cs"/>
          <w:rtl/>
        </w:rPr>
        <w:t xml:space="preserve">היא </w:t>
      </w:r>
      <w:r>
        <w:rPr>
          <w:rFonts w:hint="cs"/>
          <w:rtl/>
        </w:rPr>
        <w:t>הביאור לחיוב</w:t>
      </w:r>
      <w:r w:rsidR="00B571D5">
        <w:rPr>
          <w:rFonts w:hint="cs"/>
          <w:rtl/>
        </w:rPr>
        <w:t xml:space="preserve"> עליהן</w:t>
      </w:r>
      <w:r>
        <w:rPr>
          <w:rFonts w:hint="cs"/>
          <w:rtl/>
        </w:rPr>
        <w:t xml:space="preserve"> בקורבן זה דווקא, וכבר הערתי שעל פי מכנה משותף זה </w:t>
      </w:r>
      <w:r w:rsidR="00B571D5">
        <w:rPr>
          <w:rFonts w:hint="cs"/>
          <w:rtl/>
        </w:rPr>
        <w:t xml:space="preserve">אפשר </w:t>
      </w:r>
      <w:r>
        <w:rPr>
          <w:rFonts w:hint="cs"/>
          <w:rtl/>
        </w:rPr>
        <w:t xml:space="preserve">היה </w:t>
      </w:r>
      <w:r w:rsidR="00B571D5">
        <w:rPr>
          <w:rFonts w:hint="cs"/>
          <w:rtl/>
        </w:rPr>
        <w:t xml:space="preserve">לכאורה </w:t>
      </w:r>
      <w:r>
        <w:rPr>
          <w:rFonts w:hint="cs"/>
          <w:rtl/>
        </w:rPr>
        <w:t xml:space="preserve">לכלול מקרים נוספים. בדברים הבאים </w:t>
      </w:r>
      <w:r w:rsidR="00B571D5">
        <w:rPr>
          <w:rFonts w:hint="cs"/>
          <w:rtl/>
        </w:rPr>
        <w:t>א</w:t>
      </w:r>
      <w:r>
        <w:rPr>
          <w:rFonts w:hint="cs"/>
          <w:rtl/>
        </w:rPr>
        <w:t xml:space="preserve">בקש להציע </w:t>
      </w:r>
      <w:r w:rsidR="00B571D5">
        <w:rPr>
          <w:rFonts w:hint="cs"/>
          <w:rtl/>
        </w:rPr>
        <w:t>חלופה</w:t>
      </w:r>
      <w:r>
        <w:rPr>
          <w:rFonts w:hint="cs"/>
          <w:rtl/>
        </w:rPr>
        <w:t>, שאת יסודותיה ניתן למצוא במאמר קצר וחשוב שכתב הרב ברוך קהת, ואשר פורסם בדף קשר של ישיבת הר עציון לפני שנים רבות.</w:t>
      </w:r>
      <w:r>
        <w:rPr>
          <w:rStyle w:val="a5"/>
          <w:rFonts w:ascii="David" w:hAnsi="David"/>
          <w:sz w:val="24"/>
          <w:rtl/>
        </w:rPr>
        <w:footnoteReference w:id="1"/>
      </w:r>
      <w:r>
        <w:rPr>
          <w:rFonts w:hint="cs"/>
          <w:rtl/>
        </w:rPr>
        <w:t xml:space="preserve"> </w:t>
      </w:r>
    </w:p>
    <w:p w14:paraId="3234243B" w14:textId="52823B3B" w:rsidR="00BF213D" w:rsidRDefault="00BF213D" w:rsidP="00B571D5">
      <w:pPr>
        <w:rPr>
          <w:rtl/>
        </w:rPr>
      </w:pPr>
      <w:r>
        <w:rPr>
          <w:rFonts w:hint="cs"/>
          <w:rtl/>
        </w:rPr>
        <w:t>נפתח את דיוננו בביטוי המיוחד שפורץ כאן לראשונה בעולם הק</w:t>
      </w:r>
      <w:r w:rsidR="00B571D5">
        <w:rPr>
          <w:rFonts w:hint="cs"/>
          <w:rtl/>
        </w:rPr>
        <w:t>ו</w:t>
      </w:r>
      <w:r>
        <w:rPr>
          <w:rFonts w:hint="cs"/>
          <w:rtl/>
        </w:rPr>
        <w:t>רבנות: "</w:t>
      </w:r>
      <w:r>
        <w:rPr>
          <w:rtl/>
        </w:rPr>
        <w:t>בערכך</w:t>
      </w:r>
      <w:r>
        <w:rPr>
          <w:rFonts w:hint="cs"/>
          <w:rtl/>
        </w:rPr>
        <w:t>"</w:t>
      </w:r>
      <w:r w:rsidRPr="00A71099">
        <w:rPr>
          <w:rFonts w:hint="cs"/>
          <w:rtl/>
        </w:rPr>
        <w:t>.</w:t>
      </w:r>
      <w:r w:rsidRPr="00A71099">
        <w:rPr>
          <w:rtl/>
        </w:rPr>
        <w:t xml:space="preserve"> </w:t>
      </w:r>
      <w:r>
        <w:rPr>
          <w:rFonts w:hint="cs"/>
          <w:rtl/>
        </w:rPr>
        <w:t>משום מה, דווקא בקורבן אשם התורה מתמקדת בנתון הכספי: יש להביא בהמה שיש לה ערך ממוני מסוים. אומנם גם בחטאת הסולת נאמר שיש להביא "עשירית האיפה" אך נדמה ששם אין מדובר בהתמקדות כלכלית אלא בכמות, ואילו בקורבנות בהמה טרם שמענו שמחירה של הבהמה רלוונטי לעולם הקורבנות בכלל.</w:t>
      </w:r>
    </w:p>
    <w:p w14:paraId="0A0C7590" w14:textId="52E182BD" w:rsidR="00B571D5" w:rsidRDefault="00BF213D" w:rsidP="00B571D5">
      <w:pPr>
        <w:rPr>
          <w:rtl/>
        </w:rPr>
      </w:pPr>
      <w:r>
        <w:rPr>
          <w:rFonts w:hint="cs"/>
          <w:rtl/>
        </w:rPr>
        <w:t xml:space="preserve">ייתכן שהצדק עם אותם חוקרים שטענו </w:t>
      </w:r>
      <w:r w:rsidR="00B571D5">
        <w:rPr>
          <w:rFonts w:hint="cs"/>
          <w:rtl/>
        </w:rPr>
        <w:t xml:space="preserve">כי </w:t>
      </w:r>
      <w:r>
        <w:rPr>
          <w:rFonts w:hint="cs"/>
          <w:rtl/>
        </w:rPr>
        <w:t xml:space="preserve">בפשט משמעות "בערכך" היא שעל האדם להביא קורבן </w:t>
      </w:r>
      <w:r w:rsidR="00B571D5">
        <w:rPr>
          <w:rFonts w:hint="cs"/>
          <w:rtl/>
        </w:rPr>
        <w:t xml:space="preserve">אשר </w:t>
      </w:r>
      <w:r>
        <w:rPr>
          <w:rFonts w:hint="cs"/>
          <w:rtl/>
        </w:rPr>
        <w:t xml:space="preserve">מחירו </w:t>
      </w:r>
      <w:r w:rsidR="00B571D5">
        <w:rPr>
          <w:rFonts w:hint="cs"/>
          <w:rtl/>
        </w:rPr>
        <w:t xml:space="preserve">זהה </w:t>
      </w:r>
      <w:r>
        <w:rPr>
          <w:rFonts w:hint="cs"/>
          <w:rtl/>
        </w:rPr>
        <w:t>ל</w:t>
      </w:r>
      <w:r w:rsidR="00B571D5">
        <w:rPr>
          <w:rFonts w:hint="cs"/>
          <w:rtl/>
        </w:rPr>
        <w:t>סכום המעילה</w:t>
      </w:r>
      <w:r>
        <w:rPr>
          <w:rFonts w:hint="cs"/>
          <w:rtl/>
        </w:rPr>
        <w:t>.</w:t>
      </w:r>
      <w:r>
        <w:rPr>
          <w:rStyle w:val="a5"/>
          <w:rFonts w:ascii="David" w:hAnsi="David"/>
          <w:sz w:val="24"/>
          <w:rtl/>
        </w:rPr>
        <w:footnoteReference w:id="2"/>
      </w:r>
      <w:r>
        <w:rPr>
          <w:rFonts w:hint="cs"/>
          <w:rtl/>
        </w:rPr>
        <w:t xml:space="preserve"> גם אם יטען הטוען שקשה להניח שאדם יוכל למצוא תמיד איל בערך המדויק של מעילתו,</w:t>
      </w:r>
      <w:r>
        <w:rPr>
          <w:rStyle w:val="a5"/>
          <w:rFonts w:ascii="David" w:hAnsi="David"/>
          <w:sz w:val="24"/>
          <w:rtl/>
        </w:rPr>
        <w:footnoteReference w:id="3"/>
      </w:r>
      <w:r>
        <w:rPr>
          <w:rFonts w:hint="cs"/>
          <w:rtl/>
        </w:rPr>
        <w:t xml:space="preserve"> ייתכן שהדרישה היא כללית יותר: אם מדובר במעילה בסכום גבוה </w:t>
      </w:r>
      <w:r>
        <w:rPr>
          <w:rtl/>
        </w:rPr>
        <w:t>–</w:t>
      </w:r>
      <w:r>
        <w:rPr>
          <w:rFonts w:hint="cs"/>
          <w:rtl/>
        </w:rPr>
        <w:t xml:space="preserve"> ראוי להביא איל יקר, ואם מעל בסכום מועט, </w:t>
      </w:r>
      <w:r w:rsidR="00B571D5">
        <w:rPr>
          <w:rFonts w:hint="cs"/>
          <w:rtl/>
        </w:rPr>
        <w:t xml:space="preserve">יוכל </w:t>
      </w:r>
      <w:r>
        <w:rPr>
          <w:rFonts w:hint="cs"/>
          <w:rtl/>
        </w:rPr>
        <w:t xml:space="preserve">להסתפק באיל זול (על האפשרות שיש להביא איל בערכו של האדם המקריב, ראו להלן). </w:t>
      </w:r>
    </w:p>
    <w:p w14:paraId="155EC3C7" w14:textId="15EF32EE" w:rsidR="00BF213D" w:rsidRPr="00A71099" w:rsidRDefault="00BF213D" w:rsidP="00B571D5">
      <w:pPr>
        <w:rPr>
          <w:rtl/>
        </w:rPr>
      </w:pPr>
      <w:r>
        <w:rPr>
          <w:rFonts w:hint="cs"/>
          <w:rtl/>
        </w:rPr>
        <w:t xml:space="preserve">קריאה מקורית עוד יותר הציע מילגרום. לדעתו, החוטא כלל לא נדרש להביא איל למשכן אלא עלות כספית של איל, והכוהנים הם שיביאו איל. זו לדעתו משמעות 'בערכך' </w:t>
      </w:r>
      <w:r>
        <w:rPr>
          <w:rtl/>
        </w:rPr>
        <w:t>–</w:t>
      </w:r>
      <w:r>
        <w:rPr>
          <w:rFonts w:hint="cs"/>
          <w:rtl/>
        </w:rPr>
        <w:t xml:space="preserve"> בערך איל לאשם.</w:t>
      </w:r>
      <w:r>
        <w:rPr>
          <w:rStyle w:val="a5"/>
          <w:rFonts w:ascii="David" w:hAnsi="David"/>
          <w:sz w:val="24"/>
          <w:rtl/>
        </w:rPr>
        <w:footnoteReference w:id="4"/>
      </w:r>
      <w:r>
        <w:rPr>
          <w:rFonts w:hint="cs"/>
          <w:rtl/>
        </w:rPr>
        <w:t xml:space="preserve"> עוד ניווכח להלן שיש יתרונות בולטים להצעתו, אולם בפשטי המקראות היא קשה. מהלשון נדמה שהמקריב מביא עמו איל ולא רק כסף: "</w:t>
      </w:r>
      <w:r w:rsidRPr="00A15278">
        <w:rPr>
          <w:rFonts w:hint="cs"/>
          <w:rtl/>
        </w:rPr>
        <w:t>וְהֵבִיא</w:t>
      </w:r>
      <w:r w:rsidRPr="00A15278">
        <w:rPr>
          <w:rtl/>
        </w:rPr>
        <w:t xml:space="preserve"> </w:t>
      </w:r>
      <w:r w:rsidRPr="00A15278">
        <w:rPr>
          <w:rFonts w:hint="cs"/>
          <w:rtl/>
        </w:rPr>
        <w:t>אַיִל</w:t>
      </w:r>
      <w:r w:rsidRPr="00A15278">
        <w:rPr>
          <w:rtl/>
        </w:rPr>
        <w:t xml:space="preserve"> </w:t>
      </w:r>
      <w:r w:rsidRPr="00A15278">
        <w:rPr>
          <w:rFonts w:hint="cs"/>
          <w:rtl/>
        </w:rPr>
        <w:t>תָּמִים</w:t>
      </w:r>
      <w:r w:rsidRPr="00A15278">
        <w:rPr>
          <w:rtl/>
        </w:rPr>
        <w:t xml:space="preserve"> </w:t>
      </w:r>
      <w:r w:rsidRPr="00A15278">
        <w:rPr>
          <w:rFonts w:hint="cs"/>
          <w:rtl/>
        </w:rPr>
        <w:t>מִן</w:t>
      </w:r>
      <w:r w:rsidRPr="00A15278">
        <w:rPr>
          <w:rtl/>
        </w:rPr>
        <w:t xml:space="preserve"> </w:t>
      </w:r>
      <w:r w:rsidRPr="00A15278">
        <w:rPr>
          <w:rFonts w:hint="cs"/>
          <w:rtl/>
        </w:rPr>
        <w:t>הַצֹּאן</w:t>
      </w:r>
      <w:r>
        <w:rPr>
          <w:rFonts w:hint="cs"/>
          <w:rtl/>
        </w:rPr>
        <w:t xml:space="preserve">" </w:t>
      </w:r>
      <w:r w:rsidRPr="00BF213D">
        <w:rPr>
          <w:rFonts w:hint="cs"/>
          <w:sz w:val="20"/>
          <w:szCs w:val="20"/>
          <w:rtl/>
        </w:rPr>
        <w:t xml:space="preserve">(ה', </w:t>
      </w:r>
      <w:r w:rsidRPr="00BF213D">
        <w:rPr>
          <w:rFonts w:hint="cs"/>
          <w:sz w:val="20"/>
          <w:szCs w:val="20"/>
          <w:rtl/>
        </w:rPr>
        <w:lastRenderedPageBreak/>
        <w:t>יח)</w:t>
      </w:r>
      <w:r>
        <w:rPr>
          <w:rFonts w:hint="cs"/>
          <w:rtl/>
        </w:rPr>
        <w:t>. אין בפסוק זה סתירה לשיטת מילגרום, מפני שלדעתו 'האיל' המדובר כאן מתפרש במהשך הפסוק כערך ממוני, אך נדמה לי שהקריאה הפשוטה יותר היא שעליו להביא איל בערך מסוים.</w:t>
      </w:r>
    </w:p>
    <w:p w14:paraId="6F8962AF" w14:textId="77A898E0" w:rsidR="00BF213D" w:rsidRDefault="00BF213D" w:rsidP="006E4C3A">
      <w:pPr>
        <w:rPr>
          <w:rtl/>
        </w:rPr>
      </w:pPr>
      <w:r>
        <w:rPr>
          <w:rFonts w:hint="cs"/>
          <w:rtl/>
        </w:rPr>
        <w:t xml:space="preserve">בין אם נאמץ את קריאת חז"ל, </w:t>
      </w:r>
      <w:r w:rsidR="00B571D5">
        <w:rPr>
          <w:rFonts w:hint="cs"/>
          <w:rtl/>
        </w:rPr>
        <w:t>ש</w:t>
      </w:r>
      <w:r>
        <w:rPr>
          <w:rFonts w:hint="cs"/>
          <w:rtl/>
        </w:rPr>
        <w:t xml:space="preserve">על פיה הפסוק דורש ערך כספי של שני סלעים לאיל, בין אם נאמץ את הצעת החוקרים שיש לזהות ככל הניתן בין ערך האיל לסכום המעילה, ובוודאי אם נאמץ את שיטת מילגרום שהמקריב מביא למשכן ממון בלבד </w:t>
      </w:r>
      <w:r>
        <w:rPr>
          <w:rtl/>
        </w:rPr>
        <w:t>–</w:t>
      </w:r>
      <w:r>
        <w:rPr>
          <w:rFonts w:hint="cs"/>
          <w:rtl/>
        </w:rPr>
        <w:t xml:space="preserve"> לפנינו שילוב של שני תחומים שלרוב נתפסים כנפרדים לחלוטין. השבת הקרן לה' או לחבר הנגזל כבר מהווה פיצוי ממוני, </w:t>
      </w:r>
      <w:r w:rsidR="00B571D5">
        <w:rPr>
          <w:rFonts w:hint="cs"/>
          <w:rtl/>
        </w:rPr>
        <w:t xml:space="preserve">ואפשר </w:t>
      </w:r>
      <w:r>
        <w:rPr>
          <w:rFonts w:hint="cs"/>
          <w:rtl/>
        </w:rPr>
        <w:t xml:space="preserve">היה לצפות שתהליך ההקרבה יתנתק מהשאלה הממונית הקונקרטית ויכפר על עצם האיסור. לפנינו מקרה חריג למדי, </w:t>
      </w:r>
      <w:r w:rsidR="006E4C3A">
        <w:rPr>
          <w:rFonts w:hint="cs"/>
          <w:rtl/>
        </w:rPr>
        <w:t xml:space="preserve">ובו יש לבחור את הבהמה גם לפי שוויה (ולא רק לפי מינהּ וגילהּ), </w:t>
      </w:r>
      <w:r>
        <w:rPr>
          <w:rFonts w:hint="cs"/>
          <w:rtl/>
        </w:rPr>
        <w:t>ואולי אף בהתאמה לפגיעה הממונית שהאדם עשה.</w:t>
      </w:r>
    </w:p>
    <w:p w14:paraId="6492921E" w14:textId="19FDB114" w:rsidR="006E4C3A" w:rsidRDefault="00BF213D" w:rsidP="006E4C3A">
      <w:pPr>
        <w:rPr>
          <w:rtl/>
        </w:rPr>
      </w:pPr>
      <w:r w:rsidRPr="00A71099">
        <w:rPr>
          <w:rFonts w:hint="cs"/>
          <w:rtl/>
        </w:rPr>
        <w:t xml:space="preserve">יסוד </w:t>
      </w:r>
      <w:r>
        <w:rPr>
          <w:rFonts w:hint="cs"/>
          <w:rtl/>
        </w:rPr>
        <w:t>הערך הכספי של הבהמה מלמד הרבה על אופיו של ק</w:t>
      </w:r>
      <w:r w:rsidR="006E4C3A">
        <w:rPr>
          <w:rFonts w:hint="cs"/>
          <w:rtl/>
        </w:rPr>
        <w:t>ו</w:t>
      </w:r>
      <w:r>
        <w:rPr>
          <w:rFonts w:hint="cs"/>
          <w:rtl/>
        </w:rPr>
        <w:t xml:space="preserve">רבן האשם, </w:t>
      </w:r>
      <w:r w:rsidR="006E4C3A">
        <w:rPr>
          <w:rFonts w:hint="cs"/>
          <w:rtl/>
        </w:rPr>
        <w:t>ה</w:t>
      </w:r>
      <w:r>
        <w:rPr>
          <w:rFonts w:hint="cs"/>
          <w:rtl/>
        </w:rPr>
        <w:t>קשור מהותית לחטא המעילה והגזלה, ולהחזרת דבר שניטל ללא רשות. מאחר שגם במקרה גזלת החבר התורה פותחת ומגדירה זאת (משום מה) כמעילה בה': "</w:t>
      </w:r>
      <w:r w:rsidRPr="004762B4">
        <w:rPr>
          <w:rFonts w:hint="cs"/>
          <w:rtl/>
        </w:rPr>
        <w:t>נֶפֶשׁ</w:t>
      </w:r>
      <w:r w:rsidRPr="004762B4">
        <w:rPr>
          <w:rtl/>
        </w:rPr>
        <w:t xml:space="preserve"> </w:t>
      </w:r>
      <w:r w:rsidRPr="004762B4">
        <w:rPr>
          <w:rFonts w:hint="cs"/>
          <w:rtl/>
        </w:rPr>
        <w:t>כִּי</w:t>
      </w:r>
      <w:r w:rsidRPr="004762B4">
        <w:rPr>
          <w:rtl/>
        </w:rPr>
        <w:t xml:space="preserve"> </w:t>
      </w:r>
      <w:r w:rsidRPr="004762B4">
        <w:rPr>
          <w:rFonts w:hint="cs"/>
          <w:rtl/>
        </w:rPr>
        <w:t>תֶחֱטָא</w:t>
      </w:r>
      <w:r w:rsidRPr="004762B4">
        <w:rPr>
          <w:rtl/>
        </w:rPr>
        <w:t xml:space="preserve"> </w:t>
      </w:r>
      <w:r w:rsidRPr="004762B4">
        <w:rPr>
          <w:rFonts w:hint="cs"/>
          <w:rtl/>
        </w:rPr>
        <w:t>וּמָעֲלָה</w:t>
      </w:r>
      <w:r w:rsidRPr="004762B4">
        <w:rPr>
          <w:rtl/>
        </w:rPr>
        <w:t xml:space="preserve"> </w:t>
      </w:r>
      <w:r w:rsidRPr="004762B4">
        <w:rPr>
          <w:rFonts w:hint="cs"/>
          <w:rtl/>
        </w:rPr>
        <w:t>מַעַל</w:t>
      </w:r>
      <w:r w:rsidRPr="004762B4">
        <w:rPr>
          <w:rtl/>
        </w:rPr>
        <w:t xml:space="preserve"> </w:t>
      </w:r>
      <w:r w:rsidRPr="004762B4">
        <w:rPr>
          <w:rFonts w:hint="cs"/>
          <w:rtl/>
        </w:rPr>
        <w:t>בַּ</w:t>
      </w:r>
      <w:r>
        <w:rPr>
          <w:rFonts w:hint="cs"/>
          <w:rtl/>
        </w:rPr>
        <w:t xml:space="preserve">ה'" </w:t>
      </w:r>
      <w:r w:rsidRPr="00BF213D">
        <w:rPr>
          <w:rFonts w:hint="cs"/>
          <w:sz w:val="20"/>
          <w:szCs w:val="20"/>
          <w:rtl/>
        </w:rPr>
        <w:t>(ה', כא)</w:t>
      </w:r>
      <w:r>
        <w:rPr>
          <w:rFonts w:hint="cs"/>
          <w:rtl/>
        </w:rPr>
        <w:t xml:space="preserve">, ניתן להיות מדויקים יותר </w:t>
      </w:r>
      <w:r>
        <w:rPr>
          <w:rtl/>
        </w:rPr>
        <w:t>–</w:t>
      </w:r>
      <w:r>
        <w:rPr>
          <w:rFonts w:hint="cs"/>
          <w:rtl/>
        </w:rPr>
        <w:t xml:space="preserve"> והדבר יוכח בהמשך </w:t>
      </w:r>
      <w:r>
        <w:rPr>
          <w:rtl/>
        </w:rPr>
        <w:t>–</w:t>
      </w:r>
      <w:r>
        <w:rPr>
          <w:rFonts w:hint="cs"/>
          <w:rtl/>
        </w:rPr>
        <w:t xml:space="preserve"> האשם מכפר על גזלת גבוה, על מעילה בה'. דווקא בהמת האשם צריכה להיות בערך כספי מסוים כי קורבן זה קשור בתהליך של 'השבה', של 'פיצוי ערך'. דומה שעיקרון זה מבאר את כל מקרי האשם, ויש בכוחו גם לבאר מדוע בשני מקרים יש להביא כבש ולא איל. </w:t>
      </w:r>
    </w:p>
    <w:p w14:paraId="049BD907" w14:textId="347F0EBA" w:rsidR="00BF213D" w:rsidRDefault="00BF213D" w:rsidP="006E4C3A">
      <w:pPr>
        <w:rPr>
          <w:rtl/>
        </w:rPr>
      </w:pPr>
      <w:r>
        <w:rPr>
          <w:rFonts w:hint="cs"/>
          <w:rtl/>
        </w:rPr>
        <w:t>לפני שנבחן זאת, ברצוני להעיר שדבר זה קשור אולי גם בלשון 'אשם'. כבר הערתי שזו מילה רב-משמעית במקרא, ואחת ההוראות שלה היא 'השבת פיצוי כספי' (במיוחד בשמ"א ו'). מאחר שבחלק ממקרי האשם, לצד הקורבן</w:t>
      </w:r>
      <w:r w:rsidR="006E4C3A">
        <w:rPr>
          <w:rFonts w:hint="cs"/>
          <w:rtl/>
        </w:rPr>
        <w:t>,</w:t>
      </w:r>
      <w:r>
        <w:rPr>
          <w:rFonts w:hint="cs"/>
          <w:rtl/>
        </w:rPr>
        <w:t xml:space="preserve"> יש השבה של דבר מה שנלקח ללא היתר, </w:t>
      </w:r>
      <w:r w:rsidR="006E4C3A">
        <w:rPr>
          <w:rFonts w:hint="cs"/>
          <w:rtl/>
        </w:rPr>
        <w:t xml:space="preserve">סביר </w:t>
      </w:r>
      <w:r>
        <w:rPr>
          <w:rFonts w:hint="cs"/>
          <w:rtl/>
        </w:rPr>
        <w:t xml:space="preserve">לגזור לאור כך גם את שם הקורבן </w:t>
      </w:r>
      <w:r>
        <w:rPr>
          <w:rtl/>
        </w:rPr>
        <w:t>–</w:t>
      </w:r>
      <w:r>
        <w:rPr>
          <w:rFonts w:hint="cs"/>
          <w:rtl/>
        </w:rPr>
        <w:t xml:space="preserve"> הקורבן המובא עם השבת גזל (במקרי מסוימים). </w:t>
      </w:r>
    </w:p>
    <w:p w14:paraId="69E181FC" w14:textId="7C1F592F" w:rsidR="00BF213D" w:rsidRDefault="00BF213D" w:rsidP="006E4C3A">
      <w:pPr>
        <w:rPr>
          <w:rtl/>
        </w:rPr>
      </w:pPr>
      <w:r>
        <w:rPr>
          <w:rFonts w:hint="cs"/>
          <w:rtl/>
        </w:rPr>
        <w:t xml:space="preserve">אכן, עדיין </w:t>
      </w:r>
      <w:r w:rsidR="006E4C3A">
        <w:rPr>
          <w:rFonts w:hint="cs"/>
          <w:rtl/>
        </w:rPr>
        <w:t xml:space="preserve">אפשר </w:t>
      </w:r>
      <w:r>
        <w:rPr>
          <w:rFonts w:hint="cs"/>
          <w:rtl/>
        </w:rPr>
        <w:t>לטעון שמבחינה סמנטית יש לראות בקורבן אשם קורבן שבה על 'אשמה'</w:t>
      </w:r>
      <w:r w:rsidR="006E4C3A">
        <w:rPr>
          <w:rFonts w:hint="cs"/>
          <w:rtl/>
        </w:rPr>
        <w:t>;</w:t>
      </w:r>
      <w:r>
        <w:rPr>
          <w:rFonts w:hint="cs"/>
          <w:rtl/>
        </w:rPr>
        <w:t xml:space="preserve"> לא על החטא הוא בא אלא על האשמה. לעת עתה נותיר את שתי האפשרויות, מה גם ששתיהן מתאימות לאופי הקורבן ולמהותו.</w:t>
      </w:r>
    </w:p>
    <w:p w14:paraId="0B449357" w14:textId="77777777" w:rsidR="00BF213D" w:rsidRPr="00A71099" w:rsidRDefault="00BF213D" w:rsidP="00BF213D">
      <w:pPr>
        <w:rPr>
          <w:rtl/>
        </w:rPr>
      </w:pPr>
      <w:r>
        <w:rPr>
          <w:rFonts w:hint="cs"/>
          <w:rtl/>
        </w:rPr>
        <w:t>נפנה אם כן למקרים עצמם ונבחן כיצד יש בכוח ביאור זה להציע קורת גג משותפת למקרים כולם.</w:t>
      </w:r>
    </w:p>
    <w:p w14:paraId="60D52E92" w14:textId="7BC39B46" w:rsidR="00BF213D" w:rsidRDefault="00BF213D" w:rsidP="007664B8">
      <w:pPr>
        <w:rPr>
          <w:rtl/>
        </w:rPr>
      </w:pPr>
      <w:r>
        <w:rPr>
          <w:rFonts w:hint="cs"/>
          <w:rtl/>
        </w:rPr>
        <w:t xml:space="preserve">אם קורבן האשם בא על גזל גבוה, אין צורך לבאר את המקרה הראשון המוזכר ברשימה אצלנו </w:t>
      </w:r>
      <w:r>
        <w:rPr>
          <w:rtl/>
        </w:rPr>
        <w:t>–</w:t>
      </w:r>
      <w:r>
        <w:rPr>
          <w:rFonts w:hint="cs"/>
          <w:rtl/>
        </w:rPr>
        <w:t xml:space="preserve"> אשם מעילות. מקרה זה הוא </w:t>
      </w:r>
      <w:r w:rsidR="007664B8">
        <w:rPr>
          <w:rFonts w:hint="cs"/>
          <w:rtl/>
        </w:rPr>
        <w:t xml:space="preserve">החטא </w:t>
      </w:r>
      <w:r>
        <w:rPr>
          <w:rFonts w:hint="cs"/>
          <w:rtl/>
        </w:rPr>
        <w:t xml:space="preserve">עצמו, ללא הרחבות וללא נספחים, ולא </w:t>
      </w:r>
      <w:r w:rsidR="007664B8">
        <w:rPr>
          <w:rFonts w:hint="cs"/>
          <w:rtl/>
        </w:rPr>
        <w:t xml:space="preserve">בכדי </w:t>
      </w:r>
      <w:r>
        <w:rPr>
          <w:rFonts w:hint="cs"/>
          <w:rtl/>
        </w:rPr>
        <w:t xml:space="preserve">זהו האירוע הפותח את </w:t>
      </w:r>
      <w:r>
        <w:rPr>
          <w:rFonts w:hint="cs"/>
          <w:rtl/>
        </w:rPr>
        <w:lastRenderedPageBreak/>
        <w:t>הרשימה</w:t>
      </w:r>
      <w:r w:rsidR="007664B8">
        <w:rPr>
          <w:rFonts w:hint="cs"/>
          <w:rtl/>
        </w:rPr>
        <w:t>;</w:t>
      </w:r>
      <w:r>
        <w:rPr>
          <w:rFonts w:hint="cs"/>
          <w:rtl/>
        </w:rPr>
        <w:t xml:space="preserve"> יש בו הצבעה על </w:t>
      </w:r>
      <w:r w:rsidR="007664B8">
        <w:rPr>
          <w:rFonts w:hint="cs"/>
          <w:rtl/>
        </w:rPr>
        <w:t>העיקרון היסודי בקורבנות האשם</w:t>
      </w:r>
      <w:r>
        <w:rPr>
          <w:rFonts w:hint="cs"/>
          <w:rtl/>
        </w:rPr>
        <w:t>.</w:t>
      </w:r>
    </w:p>
    <w:p w14:paraId="6D687931" w14:textId="1A28D5B3" w:rsidR="00BF213D" w:rsidRDefault="00BF213D" w:rsidP="007664B8">
      <w:pPr>
        <w:rPr>
          <w:rtl/>
        </w:rPr>
      </w:pPr>
      <w:r>
        <w:rPr>
          <w:rtl/>
        </w:rPr>
        <w:tab/>
      </w:r>
      <w:r>
        <w:rPr>
          <w:rFonts w:hint="cs"/>
          <w:rtl/>
        </w:rPr>
        <w:t xml:space="preserve">המקרה השני המובא ברשימה שבפרשתנו </w:t>
      </w:r>
      <w:r>
        <w:rPr>
          <w:rtl/>
        </w:rPr>
        <w:t>–</w:t>
      </w:r>
      <w:r>
        <w:rPr>
          <w:rFonts w:hint="cs"/>
          <w:rtl/>
        </w:rPr>
        <w:t xml:space="preserve"> אשם תלוי </w:t>
      </w:r>
      <w:r>
        <w:rPr>
          <w:rtl/>
        </w:rPr>
        <w:t>–</w:t>
      </w:r>
      <w:r>
        <w:rPr>
          <w:rFonts w:hint="cs"/>
          <w:rtl/>
        </w:rPr>
        <w:t xml:space="preserve"> מעניין במיוחד בהקשר הנידון. כפי שכתבתי לעיל, לאחר האשם התלוי משלבת התורה דיבור חדש, ופתיחה (מפתיעה) זו יכולה לרמוז שיש להתייחס אל הרשימה כמחולקת לשתי תת קבוצות, בהתאמה לשני 'הדיבורים': אשם מעילות ותלוי מזה; ואשם גזלות מזה. קריאת אשם תלוי כהמשך אשם מעילות עולה בדברי ר' עקיבא בספרא: "</w:t>
      </w:r>
      <w:r>
        <w:rPr>
          <w:rFonts w:asciiTheme="minorHAnsi" w:hAnsiTheme="minorHAnsi" w:hint="cs"/>
          <w:rtl/>
        </w:rPr>
        <w:t>'</w:t>
      </w:r>
      <w:r w:rsidRPr="00905CCF">
        <w:rPr>
          <w:rFonts w:hint="cs"/>
          <w:rtl/>
        </w:rPr>
        <w:t>ואם</w:t>
      </w:r>
      <w:r>
        <w:rPr>
          <w:rFonts w:hint="cs"/>
          <w:rtl/>
        </w:rPr>
        <w:t xml:space="preserve">' </w:t>
      </w:r>
      <w:r>
        <w:rPr>
          <w:rtl/>
        </w:rPr>
        <w:t>–</w:t>
      </w:r>
      <w:r w:rsidRPr="00905CCF">
        <w:rPr>
          <w:rtl/>
        </w:rPr>
        <w:t xml:space="preserve"> </w:t>
      </w:r>
      <w:r w:rsidRPr="00905CCF">
        <w:rPr>
          <w:rFonts w:hint="cs"/>
          <w:rtl/>
        </w:rPr>
        <w:t>הרי</w:t>
      </w:r>
      <w:r w:rsidRPr="00905CCF">
        <w:rPr>
          <w:rtl/>
        </w:rPr>
        <w:t xml:space="preserve"> </w:t>
      </w:r>
      <w:r w:rsidRPr="00905CCF">
        <w:rPr>
          <w:rFonts w:hint="cs"/>
          <w:rtl/>
        </w:rPr>
        <w:t>מוסיף</w:t>
      </w:r>
      <w:r w:rsidRPr="00905CCF">
        <w:rPr>
          <w:rtl/>
        </w:rPr>
        <w:t xml:space="preserve"> </w:t>
      </w:r>
      <w:r w:rsidRPr="00905CCF">
        <w:rPr>
          <w:rFonts w:hint="cs"/>
          <w:rtl/>
        </w:rPr>
        <w:t>על</w:t>
      </w:r>
      <w:r w:rsidRPr="00905CCF">
        <w:rPr>
          <w:rtl/>
        </w:rPr>
        <w:t xml:space="preserve"> </w:t>
      </w:r>
      <w:r w:rsidRPr="00905CCF">
        <w:rPr>
          <w:rFonts w:hint="cs"/>
          <w:rtl/>
        </w:rPr>
        <w:t>ענין</w:t>
      </w:r>
      <w:r w:rsidRPr="00905CCF">
        <w:rPr>
          <w:rtl/>
        </w:rPr>
        <w:t xml:space="preserve"> </w:t>
      </w:r>
      <w:r w:rsidRPr="00905CCF">
        <w:rPr>
          <w:rFonts w:hint="cs"/>
          <w:rtl/>
        </w:rPr>
        <w:t>ראשון</w:t>
      </w:r>
      <w:r>
        <w:rPr>
          <w:rFonts w:hint="cs"/>
          <w:rtl/>
        </w:rPr>
        <w:t>,</w:t>
      </w:r>
      <w:r w:rsidRPr="00905CCF">
        <w:rPr>
          <w:rtl/>
        </w:rPr>
        <w:t xml:space="preserve"> </w:t>
      </w:r>
      <w:r w:rsidRPr="00905CCF">
        <w:rPr>
          <w:rFonts w:hint="cs"/>
          <w:rtl/>
        </w:rPr>
        <w:t>לומר</w:t>
      </w:r>
      <w:r w:rsidRPr="00905CCF">
        <w:rPr>
          <w:rtl/>
        </w:rPr>
        <w:t xml:space="preserve"> </w:t>
      </w:r>
      <w:r w:rsidRPr="00905CCF">
        <w:rPr>
          <w:rFonts w:hint="cs"/>
          <w:rtl/>
        </w:rPr>
        <w:t>שספק</w:t>
      </w:r>
      <w:r w:rsidRPr="00905CCF">
        <w:rPr>
          <w:rtl/>
        </w:rPr>
        <w:t xml:space="preserve"> </w:t>
      </w:r>
      <w:r w:rsidRPr="00905CCF">
        <w:rPr>
          <w:rFonts w:hint="cs"/>
          <w:rtl/>
        </w:rPr>
        <w:t>מעילות</w:t>
      </w:r>
      <w:r w:rsidRPr="00905CCF">
        <w:rPr>
          <w:rtl/>
        </w:rPr>
        <w:t xml:space="preserve"> </w:t>
      </w:r>
      <w:r w:rsidRPr="00905CCF">
        <w:rPr>
          <w:rFonts w:hint="cs"/>
          <w:rtl/>
        </w:rPr>
        <w:t>באשם</w:t>
      </w:r>
      <w:r w:rsidRPr="00905CCF">
        <w:rPr>
          <w:rtl/>
        </w:rPr>
        <w:t xml:space="preserve"> </w:t>
      </w:r>
      <w:r w:rsidRPr="00905CCF">
        <w:rPr>
          <w:rFonts w:hint="cs"/>
          <w:rtl/>
        </w:rPr>
        <w:t>תלוי</w:t>
      </w:r>
      <w:r>
        <w:rPr>
          <w:rFonts w:hint="cs"/>
          <w:rtl/>
        </w:rPr>
        <w:t>,</w:t>
      </w:r>
      <w:r w:rsidRPr="00905CCF">
        <w:rPr>
          <w:rtl/>
        </w:rPr>
        <w:t xml:space="preserve"> </w:t>
      </w:r>
      <w:r w:rsidRPr="00905CCF">
        <w:rPr>
          <w:rFonts w:hint="cs"/>
          <w:rtl/>
        </w:rPr>
        <w:t>דברי</w:t>
      </w:r>
      <w:r w:rsidRPr="00905CCF">
        <w:rPr>
          <w:rtl/>
        </w:rPr>
        <w:t xml:space="preserve"> </w:t>
      </w:r>
      <w:r>
        <w:rPr>
          <w:rFonts w:hint="cs"/>
          <w:rtl/>
        </w:rPr>
        <w:t xml:space="preserve">ר' עקיבא" </w:t>
      </w:r>
      <w:r w:rsidRPr="00BF213D">
        <w:rPr>
          <w:rFonts w:hint="cs"/>
          <w:sz w:val="20"/>
          <w:szCs w:val="20"/>
          <w:rtl/>
        </w:rPr>
        <w:t>(ספרא, ויקרא, פר' י"ב, א')</w:t>
      </w:r>
      <w:r>
        <w:rPr>
          <w:rFonts w:hint="cs"/>
          <w:rtl/>
        </w:rPr>
        <w:t>. ר' עקיבא דורש את פתיחת הפרשייה של אשם תלוי במילה "ואם". פתיחה זו אכן מזמינה דרשה, מפני שנראה שבפסוק יש שתי פתיחות ששולבו יחדו: "</w:t>
      </w:r>
      <w:r w:rsidRPr="00905CCF">
        <w:rPr>
          <w:rFonts w:hint="cs"/>
          <w:b/>
          <w:bCs/>
          <w:rtl/>
        </w:rPr>
        <w:t>וְאִם</w:t>
      </w:r>
      <w:r w:rsidRPr="00905CCF">
        <w:rPr>
          <w:rtl/>
        </w:rPr>
        <w:t xml:space="preserve"> </w:t>
      </w:r>
      <w:r w:rsidRPr="00905CCF">
        <w:rPr>
          <w:rFonts w:hint="cs"/>
          <w:rtl/>
        </w:rPr>
        <w:t>נֶפֶשׁ</w:t>
      </w:r>
      <w:r w:rsidRPr="00905CCF">
        <w:rPr>
          <w:rtl/>
        </w:rPr>
        <w:t xml:space="preserve"> </w:t>
      </w:r>
      <w:r w:rsidRPr="00905CCF">
        <w:rPr>
          <w:rFonts w:hint="cs"/>
          <w:b/>
          <w:bCs/>
          <w:rtl/>
        </w:rPr>
        <w:t>כִּי</w:t>
      </w:r>
      <w:r w:rsidRPr="00905CCF">
        <w:rPr>
          <w:rtl/>
        </w:rPr>
        <w:t xml:space="preserve"> </w:t>
      </w:r>
      <w:r w:rsidRPr="00905CCF">
        <w:rPr>
          <w:rFonts w:hint="cs"/>
          <w:rtl/>
        </w:rPr>
        <w:t>תֶחֱטָא</w:t>
      </w:r>
      <w:r>
        <w:rPr>
          <w:rFonts w:hint="cs"/>
          <w:rtl/>
        </w:rPr>
        <w:t xml:space="preserve">" </w:t>
      </w:r>
      <w:r w:rsidRPr="00BF213D">
        <w:rPr>
          <w:rFonts w:hint="cs"/>
          <w:sz w:val="20"/>
          <w:szCs w:val="20"/>
          <w:rtl/>
        </w:rPr>
        <w:t>(ה', יז)</w:t>
      </w:r>
      <w:r>
        <w:rPr>
          <w:rFonts w:hint="cs"/>
          <w:rtl/>
        </w:rPr>
        <w:t>. אנו רגילים שבחטיבת הקורבנות באה כל פתיחה בפני עצמה; גם המילה "ואם" נצבת בכותרות פותחות בחטיבה זו (כמו: "</w:t>
      </w:r>
      <w:r w:rsidRPr="00833426">
        <w:rPr>
          <w:rFonts w:hint="cs"/>
          <w:b/>
          <w:bCs/>
          <w:rtl/>
        </w:rPr>
        <w:t>וְאִם</w:t>
      </w:r>
      <w:r w:rsidRPr="00905CCF">
        <w:rPr>
          <w:rtl/>
        </w:rPr>
        <w:t xml:space="preserve"> </w:t>
      </w:r>
      <w:r w:rsidRPr="00905CCF">
        <w:rPr>
          <w:rFonts w:hint="cs"/>
          <w:rtl/>
        </w:rPr>
        <w:t>נֶפֶשׁ</w:t>
      </w:r>
      <w:r w:rsidRPr="00905CCF">
        <w:rPr>
          <w:rtl/>
        </w:rPr>
        <w:t xml:space="preserve"> </w:t>
      </w:r>
      <w:r w:rsidRPr="00905CCF">
        <w:rPr>
          <w:rFonts w:hint="cs"/>
          <w:rtl/>
        </w:rPr>
        <w:t>אַחַת</w:t>
      </w:r>
      <w:r w:rsidRPr="00905CCF">
        <w:rPr>
          <w:rtl/>
        </w:rPr>
        <w:t xml:space="preserve"> </w:t>
      </w:r>
      <w:r w:rsidRPr="00905CCF">
        <w:rPr>
          <w:rFonts w:hint="cs"/>
          <w:rtl/>
        </w:rPr>
        <w:t>תֶּחֱטָא</w:t>
      </w:r>
      <w:r w:rsidRPr="00905CCF">
        <w:rPr>
          <w:rtl/>
        </w:rPr>
        <w:t xml:space="preserve"> </w:t>
      </w:r>
      <w:r w:rsidRPr="00905CCF">
        <w:rPr>
          <w:rFonts w:hint="cs"/>
          <w:rtl/>
        </w:rPr>
        <w:t>בִשְׁגָגָה</w:t>
      </w:r>
      <w:r w:rsidRPr="00905CCF">
        <w:rPr>
          <w:rtl/>
        </w:rPr>
        <w:t xml:space="preserve"> </w:t>
      </w:r>
      <w:r w:rsidRPr="00905CCF">
        <w:rPr>
          <w:rFonts w:hint="cs"/>
          <w:rtl/>
        </w:rPr>
        <w:t>מֵעַם</w:t>
      </w:r>
      <w:r w:rsidRPr="00905CCF">
        <w:rPr>
          <w:rtl/>
        </w:rPr>
        <w:t xml:space="preserve"> </w:t>
      </w:r>
      <w:r w:rsidRPr="00905CCF">
        <w:rPr>
          <w:rFonts w:hint="cs"/>
          <w:rtl/>
        </w:rPr>
        <w:t>הָאָרֶץ</w:t>
      </w:r>
      <w:r>
        <w:rPr>
          <w:rFonts w:hint="cs"/>
          <w:rtl/>
        </w:rPr>
        <w:t xml:space="preserve">" </w:t>
      </w:r>
      <w:r>
        <w:rPr>
          <w:rtl/>
        </w:rPr>
        <w:t>–</w:t>
      </w:r>
      <w:r>
        <w:rPr>
          <w:rFonts w:hint="cs"/>
          <w:rtl/>
        </w:rPr>
        <w:t xml:space="preserve"> ד', כז), כמו גם המילה "כי" (</w:t>
      </w:r>
      <w:r w:rsidR="007664B8">
        <w:rPr>
          <w:rFonts w:hint="cs"/>
          <w:rtl/>
        </w:rPr>
        <w:t xml:space="preserve">כך </w:t>
      </w:r>
      <w:r>
        <w:rPr>
          <w:rFonts w:hint="cs"/>
          <w:rtl/>
        </w:rPr>
        <w:t xml:space="preserve">באשם גזלות הסמוך </w:t>
      </w:r>
      <w:r>
        <w:rPr>
          <w:rtl/>
        </w:rPr>
        <w:t>–</w:t>
      </w:r>
      <w:r>
        <w:rPr>
          <w:rFonts w:hint="cs"/>
          <w:rtl/>
        </w:rPr>
        <w:t xml:space="preserve"> "</w:t>
      </w:r>
      <w:r w:rsidRPr="00905CCF">
        <w:rPr>
          <w:rFonts w:hint="cs"/>
          <w:rtl/>
        </w:rPr>
        <w:t>נֶפֶשׁ</w:t>
      </w:r>
      <w:r w:rsidRPr="00905CCF">
        <w:rPr>
          <w:rtl/>
        </w:rPr>
        <w:t xml:space="preserve"> </w:t>
      </w:r>
      <w:r w:rsidRPr="00833426">
        <w:rPr>
          <w:rFonts w:hint="cs"/>
          <w:b/>
          <w:bCs/>
          <w:rtl/>
        </w:rPr>
        <w:t>כִּי</w:t>
      </w:r>
      <w:r w:rsidRPr="00905CCF">
        <w:rPr>
          <w:rtl/>
        </w:rPr>
        <w:t xml:space="preserve"> </w:t>
      </w:r>
      <w:r w:rsidRPr="00905CCF">
        <w:rPr>
          <w:rFonts w:hint="cs"/>
          <w:rtl/>
        </w:rPr>
        <w:t>תֶחֱטָא</w:t>
      </w:r>
      <w:r w:rsidRPr="00905CCF">
        <w:rPr>
          <w:rtl/>
        </w:rPr>
        <w:t xml:space="preserve"> </w:t>
      </w:r>
      <w:r w:rsidRPr="00905CCF">
        <w:rPr>
          <w:rFonts w:hint="cs"/>
          <w:rtl/>
        </w:rPr>
        <w:t>וּמָעֲלָה</w:t>
      </w:r>
      <w:r w:rsidRPr="00905CCF">
        <w:rPr>
          <w:rtl/>
        </w:rPr>
        <w:t xml:space="preserve"> </w:t>
      </w:r>
      <w:r w:rsidRPr="00905CCF">
        <w:rPr>
          <w:rFonts w:hint="cs"/>
          <w:rtl/>
        </w:rPr>
        <w:t>מַעַל</w:t>
      </w:r>
      <w:r w:rsidRPr="00905CCF">
        <w:rPr>
          <w:rtl/>
        </w:rPr>
        <w:t xml:space="preserve"> </w:t>
      </w:r>
      <w:r>
        <w:rPr>
          <w:rFonts w:hint="cs"/>
          <w:rtl/>
        </w:rPr>
        <w:t xml:space="preserve">בַּה'" </w:t>
      </w:r>
      <w:r>
        <w:rPr>
          <w:rtl/>
        </w:rPr>
        <w:t>–</w:t>
      </w:r>
      <w:r>
        <w:rPr>
          <w:rFonts w:hint="cs"/>
          <w:rtl/>
        </w:rPr>
        <w:t xml:space="preserve"> ה', כא). אולם אצלנו משולבות שתי הפתיחות גם יחד </w:t>
      </w:r>
      <w:r>
        <w:rPr>
          <w:rtl/>
        </w:rPr>
        <w:t>–</w:t>
      </w:r>
      <w:r>
        <w:rPr>
          <w:rFonts w:hint="cs"/>
          <w:rtl/>
        </w:rPr>
        <w:t xml:space="preserve"> "ואם נפש כי</w:t>
      </w:r>
      <w:r w:rsidR="007664B8">
        <w:rPr>
          <w:rFonts w:hint="cs"/>
          <w:rtl/>
        </w:rPr>
        <w:t xml:space="preserve"> תחטא</w:t>
      </w:r>
      <w:r>
        <w:rPr>
          <w:rFonts w:hint="cs"/>
          <w:rtl/>
        </w:rPr>
        <w:t xml:space="preserve">". זהו כנראה הבסיס לדרשה של ר' עקיבא שלמד מכך שאמנם לפנינו מקרה שעומד בפני עצמו ("נפש כי תחטא"), אך יש לקרוא מקרה זה גם כנספח או כהמשך למקרה הקודם ("ואם"). </w:t>
      </w:r>
    </w:p>
    <w:p w14:paraId="5BFE4B0E" w14:textId="6351E0A5" w:rsidR="00BF213D" w:rsidRDefault="00BF213D" w:rsidP="00864C02">
      <w:pPr>
        <w:rPr>
          <w:rtl/>
        </w:rPr>
      </w:pPr>
      <w:r>
        <w:rPr>
          <w:rFonts w:hint="cs"/>
          <w:rtl/>
        </w:rPr>
        <w:t xml:space="preserve">קריאת אשם תלוי על רקע אשם מעילות חשובה ביותר להבנת אופי דין אשם תלוי. כפי שכבר הערתי לעיל, לפי קריאת חז"ל, </w:t>
      </w:r>
      <w:r w:rsidR="00864C02">
        <w:rPr>
          <w:rFonts w:hint="cs"/>
          <w:rtl/>
        </w:rPr>
        <w:t xml:space="preserve">בקורבן האשם אין </w:t>
      </w:r>
      <w:r>
        <w:rPr>
          <w:rFonts w:hint="cs"/>
          <w:rtl/>
        </w:rPr>
        <w:t xml:space="preserve">החוטא מכפר על חטא שאולי חטא בו. אין לקורבן אשם כוח לחטא את הקודש </w:t>
      </w:r>
      <w:r w:rsidR="00864C02">
        <w:rPr>
          <w:rFonts w:hint="cs"/>
          <w:rtl/>
        </w:rPr>
        <w:t>מ</w:t>
      </w:r>
      <w:r>
        <w:rPr>
          <w:rFonts w:hint="cs"/>
          <w:rtl/>
        </w:rPr>
        <w:t xml:space="preserve">החטא. אם יתברר לאחר זמן </w:t>
      </w:r>
      <w:r w:rsidR="00864C02">
        <w:rPr>
          <w:rFonts w:hint="cs"/>
          <w:rtl/>
        </w:rPr>
        <w:t xml:space="preserve">שהאדם </w:t>
      </w:r>
      <w:r>
        <w:rPr>
          <w:rFonts w:hint="cs"/>
          <w:rtl/>
        </w:rPr>
        <w:t>אכן חטא, יהיה עליו להביא חטאת, גם אם בינתיים הקריב אשם. מסתבר שהאשם אינו מכפר על החטא אלא על דבר מה אחר. מהו אותו דבר חמקמק שנוצר במקרה הספק הזה שעליו יש לכפר בק</w:t>
      </w:r>
      <w:r w:rsidR="00864C02">
        <w:rPr>
          <w:rFonts w:hint="cs"/>
          <w:rtl/>
        </w:rPr>
        <w:t>ו</w:t>
      </w:r>
      <w:r>
        <w:rPr>
          <w:rFonts w:hint="cs"/>
          <w:rtl/>
        </w:rPr>
        <w:t>רבן אשם?</w:t>
      </w:r>
    </w:p>
    <w:p w14:paraId="45923479" w14:textId="25732162" w:rsidR="00BF213D" w:rsidRDefault="00BF213D" w:rsidP="00EE1008">
      <w:pPr>
        <w:rPr>
          <w:rtl/>
        </w:rPr>
      </w:pPr>
      <w:r>
        <w:rPr>
          <w:rFonts w:hint="cs"/>
          <w:rtl/>
        </w:rPr>
        <w:t xml:space="preserve">הבסיס להבאת אשם תלוי הוא חשש האדם שהוא חייב חטאת למקדש והוא </w:t>
      </w:r>
      <w:r w:rsidR="00864C02">
        <w:rPr>
          <w:rFonts w:hint="cs"/>
          <w:rtl/>
        </w:rPr>
        <w:t xml:space="preserve">אינו </w:t>
      </w:r>
      <w:r>
        <w:rPr>
          <w:rFonts w:hint="cs"/>
          <w:rtl/>
        </w:rPr>
        <w:t>מביאה</w:t>
      </w:r>
      <w:r w:rsidR="00864C02">
        <w:rPr>
          <w:rFonts w:hint="cs"/>
          <w:rtl/>
        </w:rPr>
        <w:t>ּ</w:t>
      </w:r>
      <w:r>
        <w:rPr>
          <w:rFonts w:hint="cs"/>
          <w:rtl/>
        </w:rPr>
        <w:t xml:space="preserve">. הוא מנוע מלהביא חטאת מפני שהוא אינו בטוח שהוא באמת חטא, אך בהסתפקות זו נוצר 'מצב משפטי' </w:t>
      </w:r>
      <w:r w:rsidR="00864C02">
        <w:rPr>
          <w:rFonts w:hint="cs"/>
          <w:rtl/>
        </w:rPr>
        <w:t>חדש</w:t>
      </w:r>
      <w:r>
        <w:rPr>
          <w:rFonts w:hint="cs"/>
          <w:rtl/>
        </w:rPr>
        <w:t xml:space="preserve"> </w:t>
      </w:r>
      <w:r w:rsidR="00864C02">
        <w:rPr>
          <w:rFonts w:hint="cs"/>
          <w:rtl/>
        </w:rPr>
        <w:t>ה</w:t>
      </w:r>
      <w:r>
        <w:rPr>
          <w:rFonts w:hint="cs"/>
          <w:rtl/>
        </w:rPr>
        <w:t xml:space="preserve">דורש כפרה מכיוון אחר. אם האדם חטא הוא חייב חטאת למקדש, ומאחר שהוא אינו יכול להביא את החטאת במצב הספק שהוא מצוי בו, ייתכן שהוא גוזל את המזבח ואת הקודש מכבשה לחטאת שעליו (אולי) להביא. אני חוזר ומזכיר שלפי חלוקת הדיבורים בפרשייה זו האשם התלוי מובא כנספח של אשם מעילות, ובכך הדברים מתבהרים: החשש הוא שהאדם המסתפק אם חטא </w:t>
      </w:r>
      <w:r w:rsidR="00EE1008">
        <w:rPr>
          <w:rtl/>
        </w:rPr>
        <w:t>–</w:t>
      </w:r>
      <w:r w:rsidR="00EE1008">
        <w:rPr>
          <w:rFonts w:hint="cs"/>
          <w:rtl/>
        </w:rPr>
        <w:t xml:space="preserve"> </w:t>
      </w:r>
      <w:r>
        <w:rPr>
          <w:rFonts w:hint="cs"/>
          <w:rtl/>
        </w:rPr>
        <w:t>מועל בקודש</w:t>
      </w:r>
      <w:r w:rsidR="00EE1008">
        <w:rPr>
          <w:rFonts w:hint="cs"/>
          <w:rtl/>
        </w:rPr>
        <w:t>,</w:t>
      </w:r>
      <w:r>
        <w:rPr>
          <w:rFonts w:hint="cs"/>
          <w:rtl/>
        </w:rPr>
        <w:t xml:space="preserve"> בהשאירו בעדר שלו גם את הכבשה שראויה הייתה להגיע אל הקודש. יושם לב שהאשם התלוי מבוסס על תחושת האשמה של האדם החוטא, וליתר דיוק </w:t>
      </w:r>
      <w:r>
        <w:rPr>
          <w:rtl/>
        </w:rPr>
        <w:t>–</w:t>
      </w:r>
      <w:r>
        <w:rPr>
          <w:rFonts w:hint="cs"/>
          <w:rtl/>
        </w:rPr>
        <w:t xml:space="preserve"> החושש שמא חטא. הכתוב מדגיש בחתימת מקרה זה: "</w:t>
      </w:r>
      <w:r w:rsidRPr="00053491">
        <w:rPr>
          <w:rFonts w:hint="cs"/>
          <w:rtl/>
        </w:rPr>
        <w:t>אָשָׁם</w:t>
      </w:r>
      <w:r w:rsidRPr="00053491">
        <w:rPr>
          <w:rtl/>
        </w:rPr>
        <w:t xml:space="preserve"> </w:t>
      </w:r>
      <w:r w:rsidRPr="00053491">
        <w:rPr>
          <w:rFonts w:hint="cs"/>
          <w:rtl/>
        </w:rPr>
        <w:t>הוּא</w:t>
      </w:r>
      <w:r w:rsidRPr="00053491">
        <w:rPr>
          <w:rtl/>
        </w:rPr>
        <w:t xml:space="preserve"> </w:t>
      </w:r>
      <w:r w:rsidRPr="00053491">
        <w:rPr>
          <w:rFonts w:hint="cs"/>
          <w:rtl/>
        </w:rPr>
        <w:t>אָשֹׁם</w:t>
      </w:r>
      <w:r w:rsidRPr="00053491">
        <w:rPr>
          <w:rtl/>
        </w:rPr>
        <w:t xml:space="preserve"> </w:t>
      </w:r>
      <w:r w:rsidRPr="00053491">
        <w:rPr>
          <w:rFonts w:hint="cs"/>
          <w:rtl/>
        </w:rPr>
        <w:t>אָשַׁם</w:t>
      </w:r>
      <w:r w:rsidRPr="00053491">
        <w:rPr>
          <w:rtl/>
        </w:rPr>
        <w:t xml:space="preserve"> </w:t>
      </w:r>
      <w:r>
        <w:rPr>
          <w:rFonts w:hint="cs"/>
          <w:rtl/>
        </w:rPr>
        <w:t xml:space="preserve">לַה'" </w:t>
      </w:r>
      <w:r w:rsidRPr="00BF213D">
        <w:rPr>
          <w:rFonts w:hint="cs"/>
          <w:sz w:val="20"/>
          <w:szCs w:val="20"/>
          <w:rtl/>
        </w:rPr>
        <w:t>(ה', יט)</w:t>
      </w:r>
      <w:r>
        <w:rPr>
          <w:rFonts w:hint="cs"/>
          <w:rtl/>
        </w:rPr>
        <w:t xml:space="preserve">. בדומה למה שראינו בחטאת עולה ויורד </w:t>
      </w:r>
      <w:r>
        <w:rPr>
          <w:rtl/>
        </w:rPr>
        <w:t>–</w:t>
      </w:r>
      <w:r>
        <w:rPr>
          <w:rFonts w:hint="cs"/>
          <w:rtl/>
        </w:rPr>
        <w:t xml:space="preserve"> שם האדם מחייב עצמו דרך הווידוי </w:t>
      </w:r>
      <w:r>
        <w:rPr>
          <w:rtl/>
        </w:rPr>
        <w:t>–</w:t>
      </w:r>
      <w:r>
        <w:rPr>
          <w:rFonts w:hint="cs"/>
          <w:rtl/>
        </w:rPr>
        <w:t xml:space="preserve"> כך גם באשם התלוי, בסיס הבאתו מוטל על תחושת האדם </w:t>
      </w:r>
      <w:r>
        <w:rPr>
          <w:rFonts w:hint="cs"/>
          <w:rtl/>
        </w:rPr>
        <w:lastRenderedPageBreak/>
        <w:t xml:space="preserve">שהוא </w:t>
      </w:r>
      <w:r w:rsidRPr="00053491">
        <w:rPr>
          <w:rFonts w:hint="cs"/>
          <w:rtl/>
        </w:rPr>
        <w:t>אָשַׁם</w:t>
      </w:r>
      <w:r w:rsidRPr="00053491">
        <w:rPr>
          <w:rtl/>
        </w:rPr>
        <w:t xml:space="preserve"> </w:t>
      </w:r>
      <w:r>
        <w:rPr>
          <w:rFonts w:hint="cs"/>
          <w:rtl/>
        </w:rPr>
        <w:t>לַה', שמוטלת עליו אחריות לפצות את הקודש בק</w:t>
      </w:r>
      <w:r w:rsidR="00F77C65">
        <w:rPr>
          <w:rFonts w:hint="cs"/>
          <w:rtl/>
        </w:rPr>
        <w:t>ו</w:t>
      </w:r>
      <w:r>
        <w:rPr>
          <w:rFonts w:hint="cs"/>
          <w:rtl/>
        </w:rPr>
        <w:t>רבן אשם.</w:t>
      </w:r>
    </w:p>
    <w:p w14:paraId="14F3DE60" w14:textId="647CC8D0" w:rsidR="00BF213D" w:rsidRDefault="00BF213D" w:rsidP="00F77C65">
      <w:pPr>
        <w:rPr>
          <w:rtl/>
        </w:rPr>
      </w:pPr>
      <w:r>
        <w:rPr>
          <w:rFonts w:hint="cs"/>
          <w:rtl/>
        </w:rPr>
        <w:t xml:space="preserve">לאור כך ניתן להבין את הזיקה שחז"ל יצרו בין חטאת </w:t>
      </w:r>
      <w:r w:rsidR="00F77C65">
        <w:rPr>
          <w:rFonts w:hint="cs"/>
          <w:rtl/>
        </w:rPr>
        <w:t>ו</w:t>
      </w:r>
      <w:r>
        <w:rPr>
          <w:rFonts w:hint="cs"/>
          <w:rtl/>
        </w:rPr>
        <w:t xml:space="preserve">בין אשם תלוי. </w:t>
      </w:r>
      <w:r w:rsidR="00F77C65">
        <w:rPr>
          <w:rFonts w:hint="cs"/>
          <w:rtl/>
        </w:rPr>
        <w:t xml:space="preserve">אף </w:t>
      </w:r>
      <w:r>
        <w:rPr>
          <w:rFonts w:hint="cs"/>
          <w:rtl/>
        </w:rPr>
        <w:t>שמדובר בשני ק</w:t>
      </w:r>
      <w:r w:rsidR="00F77C65">
        <w:rPr>
          <w:rFonts w:hint="cs"/>
          <w:rtl/>
        </w:rPr>
        <w:t>ו</w:t>
      </w:r>
      <w:r>
        <w:rPr>
          <w:rFonts w:hint="cs"/>
          <w:rtl/>
        </w:rPr>
        <w:t xml:space="preserve">רבנות שונים, כלל הוא שמי שעבר על לאו שהוא פטור מלהביא עליו חטאת, </w:t>
      </w:r>
      <w:r w:rsidR="00F77C65">
        <w:rPr>
          <w:rFonts w:hint="cs"/>
          <w:rtl/>
        </w:rPr>
        <w:t xml:space="preserve">הרי </w:t>
      </w:r>
      <w:r>
        <w:rPr>
          <w:rFonts w:hint="cs"/>
          <w:rtl/>
        </w:rPr>
        <w:t xml:space="preserve">הוא גם פטור </w:t>
      </w:r>
      <w:r w:rsidR="00F77C65">
        <w:rPr>
          <w:rFonts w:hint="cs"/>
          <w:rtl/>
        </w:rPr>
        <w:t xml:space="preserve">מהבאת </w:t>
      </w:r>
      <w:r>
        <w:rPr>
          <w:rFonts w:hint="cs"/>
          <w:rtl/>
        </w:rPr>
        <w:t xml:space="preserve">אשם תלוי במקרה של ספק </w:t>
      </w:r>
      <w:r w:rsidR="00F77C65">
        <w:rPr>
          <w:rFonts w:hint="cs"/>
          <w:rtl/>
        </w:rPr>
        <w:t>אם עבר על לאו זה</w:t>
      </w:r>
      <w:r>
        <w:rPr>
          <w:rFonts w:hint="cs"/>
          <w:rtl/>
        </w:rPr>
        <w:t xml:space="preserve">. כך למשל המגדף בשוגג פטור מלהביא חטאת, וממילא הוא גם פטור מאשם תלוי </w:t>
      </w:r>
      <w:r w:rsidR="00F77C65">
        <w:rPr>
          <w:rFonts w:hint="cs"/>
          <w:rtl/>
        </w:rPr>
        <w:t xml:space="preserve">אם </w:t>
      </w:r>
      <w:r>
        <w:rPr>
          <w:rFonts w:hint="cs"/>
          <w:rtl/>
        </w:rPr>
        <w:t xml:space="preserve">ספק גידף </w:t>
      </w:r>
      <w:r w:rsidRPr="00BF213D">
        <w:rPr>
          <w:rFonts w:hint="cs"/>
          <w:sz w:val="20"/>
          <w:szCs w:val="20"/>
          <w:rtl/>
        </w:rPr>
        <w:t>(משנה כריתות פ"א מ"ב)</w:t>
      </w:r>
      <w:r>
        <w:rPr>
          <w:rFonts w:hint="cs"/>
          <w:rtl/>
        </w:rPr>
        <w:t xml:space="preserve">. לאור דברינו מסקנה זו ברורה מאליה: כל החיוב באשם תלוי נוצר בשל החשש שיש חוב חטאת שהאדם התחייב בו והוא </w:t>
      </w:r>
      <w:r w:rsidR="00F77C65">
        <w:rPr>
          <w:rFonts w:hint="cs"/>
          <w:rtl/>
        </w:rPr>
        <w:t xml:space="preserve">אינו </w:t>
      </w:r>
      <w:r>
        <w:rPr>
          <w:rFonts w:hint="cs"/>
          <w:rtl/>
        </w:rPr>
        <w:t xml:space="preserve">מביאו </w:t>
      </w:r>
      <w:r w:rsidR="00F77C65">
        <w:rPr>
          <w:rFonts w:hint="cs"/>
          <w:rtl/>
        </w:rPr>
        <w:t>למזבח</w:t>
      </w:r>
      <w:r>
        <w:rPr>
          <w:rFonts w:hint="cs"/>
          <w:rtl/>
        </w:rPr>
        <w:t xml:space="preserve">. אם גם במקרה שוודאי עבר על העבירה החוטא פטור מלהביא חטאת, ברור שגם במקרה של ספק לא יצטרך להביא אשם על ספק גזלת החטאת הזו. </w:t>
      </w:r>
    </w:p>
    <w:p w14:paraId="6AA6C93C" w14:textId="44B1E977" w:rsidR="00BF213D" w:rsidRDefault="00BF213D" w:rsidP="00F77C65">
      <w:pPr>
        <w:rPr>
          <w:rtl/>
        </w:rPr>
      </w:pPr>
      <w:r>
        <w:rPr>
          <w:rFonts w:hint="cs"/>
          <w:rtl/>
        </w:rPr>
        <w:t xml:space="preserve">מעניין שהרמב"ם מנה במניין המצוות שלו את </w:t>
      </w:r>
      <w:r w:rsidR="00F77C65">
        <w:rPr>
          <w:rFonts w:hint="cs"/>
          <w:rtl/>
        </w:rPr>
        <w:t xml:space="preserve">חיוב </w:t>
      </w:r>
      <w:r>
        <w:rPr>
          <w:rFonts w:hint="cs"/>
          <w:rtl/>
        </w:rPr>
        <w:t>האשם כשתי מצוות שונות: מצוה ע' מוקדשת לאשם תלוי ("</w:t>
      </w:r>
      <w:r w:rsidRPr="00CD5194">
        <w:rPr>
          <w:rFonts w:hint="cs"/>
          <w:rtl/>
        </w:rPr>
        <w:t>הוא</w:t>
      </w:r>
      <w:r w:rsidRPr="00CD5194">
        <w:rPr>
          <w:rtl/>
        </w:rPr>
        <w:t xml:space="preserve"> </w:t>
      </w:r>
      <w:r w:rsidRPr="00CD5194">
        <w:rPr>
          <w:rFonts w:hint="cs"/>
          <w:rtl/>
        </w:rPr>
        <w:t>הציווי</w:t>
      </w:r>
      <w:r w:rsidRPr="00CD5194">
        <w:rPr>
          <w:rtl/>
        </w:rPr>
        <w:t xml:space="preserve"> </w:t>
      </w:r>
      <w:r w:rsidRPr="00CD5194">
        <w:rPr>
          <w:rFonts w:hint="cs"/>
          <w:rtl/>
        </w:rPr>
        <w:t>שנצטווינו</w:t>
      </w:r>
      <w:r w:rsidRPr="00CD5194">
        <w:rPr>
          <w:rtl/>
        </w:rPr>
        <w:t xml:space="preserve"> </w:t>
      </w:r>
      <w:r w:rsidRPr="00CD5194">
        <w:rPr>
          <w:rFonts w:hint="cs"/>
          <w:rtl/>
        </w:rPr>
        <w:t>להקריב</w:t>
      </w:r>
      <w:r w:rsidRPr="00CD5194">
        <w:rPr>
          <w:rtl/>
        </w:rPr>
        <w:t xml:space="preserve"> </w:t>
      </w:r>
      <w:r w:rsidRPr="00CD5194">
        <w:rPr>
          <w:rFonts w:hint="cs"/>
          <w:rtl/>
        </w:rPr>
        <w:t>קורבן</w:t>
      </w:r>
      <w:r w:rsidRPr="00CD5194">
        <w:rPr>
          <w:rtl/>
        </w:rPr>
        <w:t xml:space="preserve"> </w:t>
      </w:r>
      <w:r w:rsidRPr="00CD5194">
        <w:rPr>
          <w:rFonts w:hint="cs"/>
          <w:rtl/>
        </w:rPr>
        <w:t>מסוים</w:t>
      </w:r>
      <w:r w:rsidRPr="00CD5194">
        <w:rPr>
          <w:rtl/>
        </w:rPr>
        <w:t xml:space="preserve"> </w:t>
      </w:r>
      <w:r w:rsidRPr="00CD5194">
        <w:rPr>
          <w:rFonts w:hint="cs"/>
          <w:rtl/>
        </w:rPr>
        <w:t>אם</w:t>
      </w:r>
      <w:r w:rsidRPr="00CD5194">
        <w:rPr>
          <w:rtl/>
        </w:rPr>
        <w:t xml:space="preserve"> </w:t>
      </w:r>
      <w:r w:rsidRPr="00CD5194">
        <w:rPr>
          <w:rFonts w:hint="cs"/>
          <w:rtl/>
        </w:rPr>
        <w:t>יש</w:t>
      </w:r>
      <w:r w:rsidRPr="00CD5194">
        <w:rPr>
          <w:rtl/>
        </w:rPr>
        <w:t xml:space="preserve"> </w:t>
      </w:r>
      <w:r w:rsidRPr="00CD5194">
        <w:rPr>
          <w:rFonts w:hint="cs"/>
          <w:rtl/>
        </w:rPr>
        <w:t>לנו</w:t>
      </w:r>
      <w:r w:rsidRPr="00CD5194">
        <w:rPr>
          <w:rtl/>
        </w:rPr>
        <w:t xml:space="preserve"> </w:t>
      </w:r>
      <w:r w:rsidRPr="00CD5194">
        <w:rPr>
          <w:rFonts w:hint="cs"/>
          <w:rtl/>
        </w:rPr>
        <w:t>ספק</w:t>
      </w:r>
      <w:r w:rsidRPr="00CD5194">
        <w:rPr>
          <w:rtl/>
        </w:rPr>
        <w:t xml:space="preserve"> </w:t>
      </w:r>
      <w:r w:rsidRPr="00CD5194">
        <w:rPr>
          <w:rFonts w:hint="cs"/>
          <w:rtl/>
        </w:rPr>
        <w:t>באחת</w:t>
      </w:r>
      <w:r w:rsidRPr="00CD5194">
        <w:rPr>
          <w:rtl/>
        </w:rPr>
        <w:t xml:space="preserve"> </w:t>
      </w:r>
      <w:r w:rsidRPr="00CD5194">
        <w:rPr>
          <w:rFonts w:hint="cs"/>
          <w:rtl/>
        </w:rPr>
        <w:t>מאותן</w:t>
      </w:r>
      <w:r w:rsidRPr="00CD5194">
        <w:rPr>
          <w:rtl/>
        </w:rPr>
        <w:t xml:space="preserve"> </w:t>
      </w:r>
      <w:r w:rsidRPr="00CD5194">
        <w:rPr>
          <w:rFonts w:hint="cs"/>
          <w:rtl/>
        </w:rPr>
        <w:t>העברות</w:t>
      </w:r>
      <w:r w:rsidRPr="00CD5194">
        <w:rPr>
          <w:rtl/>
        </w:rPr>
        <w:t xml:space="preserve"> </w:t>
      </w:r>
      <w:r w:rsidRPr="00CD5194">
        <w:rPr>
          <w:rFonts w:hint="cs"/>
          <w:rtl/>
        </w:rPr>
        <w:t>הגדולות</w:t>
      </w:r>
      <w:r w:rsidRPr="00CD5194">
        <w:rPr>
          <w:rtl/>
        </w:rPr>
        <w:t xml:space="preserve"> </w:t>
      </w:r>
      <w:r w:rsidRPr="00CD5194">
        <w:rPr>
          <w:rFonts w:hint="cs"/>
          <w:rtl/>
        </w:rPr>
        <w:t>שחייבים</w:t>
      </w:r>
      <w:r w:rsidRPr="00CD5194">
        <w:rPr>
          <w:rtl/>
        </w:rPr>
        <w:t xml:space="preserve"> </w:t>
      </w:r>
      <w:r w:rsidRPr="00CD5194">
        <w:rPr>
          <w:rFonts w:hint="cs"/>
          <w:rtl/>
        </w:rPr>
        <w:t>על</w:t>
      </w:r>
      <w:r w:rsidRPr="00CD5194">
        <w:rPr>
          <w:rtl/>
        </w:rPr>
        <w:t xml:space="preserve"> </w:t>
      </w:r>
      <w:r w:rsidRPr="00CD5194">
        <w:rPr>
          <w:rFonts w:hint="cs"/>
          <w:rtl/>
        </w:rPr>
        <w:t>זדונן</w:t>
      </w:r>
      <w:r w:rsidRPr="00CD5194">
        <w:rPr>
          <w:rtl/>
        </w:rPr>
        <w:t xml:space="preserve"> </w:t>
      </w:r>
      <w:r w:rsidRPr="00CD5194">
        <w:rPr>
          <w:rFonts w:hint="cs"/>
          <w:rtl/>
        </w:rPr>
        <w:t>כרת</w:t>
      </w:r>
      <w:r w:rsidRPr="00CD5194">
        <w:rPr>
          <w:rtl/>
        </w:rPr>
        <w:t xml:space="preserve"> </w:t>
      </w:r>
      <w:r w:rsidRPr="00CD5194">
        <w:rPr>
          <w:rFonts w:hint="cs"/>
          <w:rtl/>
        </w:rPr>
        <w:t>ועל</w:t>
      </w:r>
      <w:r w:rsidRPr="00CD5194">
        <w:rPr>
          <w:rtl/>
        </w:rPr>
        <w:t xml:space="preserve"> </w:t>
      </w:r>
      <w:r w:rsidRPr="00CD5194">
        <w:rPr>
          <w:rFonts w:hint="cs"/>
          <w:rtl/>
        </w:rPr>
        <w:t>שגגתן</w:t>
      </w:r>
      <w:r w:rsidRPr="00CD5194">
        <w:rPr>
          <w:rtl/>
        </w:rPr>
        <w:t xml:space="preserve"> </w:t>
      </w:r>
      <w:r w:rsidRPr="00CD5194">
        <w:rPr>
          <w:rFonts w:hint="cs"/>
          <w:rtl/>
        </w:rPr>
        <w:t>חטאת</w:t>
      </w:r>
      <w:r w:rsidRPr="00CD5194">
        <w:rPr>
          <w:rtl/>
        </w:rPr>
        <w:t xml:space="preserve"> </w:t>
      </w:r>
      <w:r w:rsidRPr="00CD5194">
        <w:rPr>
          <w:rFonts w:hint="cs"/>
          <w:rtl/>
        </w:rPr>
        <w:t>קבועה</w:t>
      </w:r>
      <w:r w:rsidRPr="00CD5194">
        <w:rPr>
          <w:rtl/>
        </w:rPr>
        <w:t xml:space="preserve"> </w:t>
      </w:r>
      <w:r>
        <w:rPr>
          <w:rtl/>
        </w:rPr>
        <w:t>–</w:t>
      </w:r>
      <w:r w:rsidRPr="00CD5194">
        <w:rPr>
          <w:rtl/>
        </w:rPr>
        <w:t xml:space="preserve"> </w:t>
      </w:r>
      <w:r w:rsidRPr="00CD5194">
        <w:rPr>
          <w:rFonts w:hint="cs"/>
          <w:rtl/>
        </w:rPr>
        <w:t>קורבן</w:t>
      </w:r>
      <w:r w:rsidRPr="00CD5194">
        <w:rPr>
          <w:rtl/>
        </w:rPr>
        <w:t xml:space="preserve"> </w:t>
      </w:r>
      <w:r w:rsidRPr="00CD5194">
        <w:rPr>
          <w:rFonts w:hint="cs"/>
          <w:rtl/>
        </w:rPr>
        <w:t>זה</w:t>
      </w:r>
      <w:r w:rsidRPr="00CD5194">
        <w:rPr>
          <w:rtl/>
        </w:rPr>
        <w:t xml:space="preserve"> </w:t>
      </w:r>
      <w:r w:rsidRPr="00CD5194">
        <w:rPr>
          <w:rFonts w:hint="cs"/>
          <w:rtl/>
        </w:rPr>
        <w:t>נקרא</w:t>
      </w:r>
      <w:r>
        <w:rPr>
          <w:rFonts w:hint="cs"/>
          <w:rtl/>
        </w:rPr>
        <w:t xml:space="preserve"> 'אשם תלוי'"), ומצווה ע"א מוקדשת לאשם הוודאי ("</w:t>
      </w:r>
      <w:r w:rsidRPr="00CD5194">
        <w:rPr>
          <w:rFonts w:hint="cs"/>
          <w:rtl/>
        </w:rPr>
        <w:t>הציווי</w:t>
      </w:r>
      <w:r w:rsidRPr="00CD5194">
        <w:rPr>
          <w:rtl/>
        </w:rPr>
        <w:t xml:space="preserve"> </w:t>
      </w:r>
      <w:r w:rsidRPr="00CD5194">
        <w:rPr>
          <w:rFonts w:hint="cs"/>
          <w:rtl/>
        </w:rPr>
        <w:t>שנצטווינו</w:t>
      </w:r>
      <w:r w:rsidRPr="00CD5194">
        <w:rPr>
          <w:rtl/>
        </w:rPr>
        <w:t xml:space="preserve"> </w:t>
      </w:r>
      <w:r w:rsidRPr="00CD5194">
        <w:rPr>
          <w:rFonts w:hint="cs"/>
          <w:rtl/>
        </w:rPr>
        <w:t>שכל</w:t>
      </w:r>
      <w:r w:rsidRPr="00CD5194">
        <w:rPr>
          <w:rtl/>
        </w:rPr>
        <w:t xml:space="preserve"> </w:t>
      </w:r>
      <w:r w:rsidRPr="00CD5194">
        <w:rPr>
          <w:rFonts w:hint="cs"/>
          <w:rtl/>
        </w:rPr>
        <w:t>העובר</w:t>
      </w:r>
      <w:r w:rsidRPr="00CD5194">
        <w:rPr>
          <w:rtl/>
        </w:rPr>
        <w:t xml:space="preserve"> </w:t>
      </w:r>
      <w:r w:rsidRPr="00CD5194">
        <w:rPr>
          <w:rFonts w:hint="cs"/>
          <w:rtl/>
        </w:rPr>
        <w:t>עברות</w:t>
      </w:r>
      <w:r w:rsidRPr="00CD5194">
        <w:rPr>
          <w:rtl/>
        </w:rPr>
        <w:t xml:space="preserve"> </w:t>
      </w:r>
      <w:r w:rsidRPr="00CD5194">
        <w:rPr>
          <w:rFonts w:hint="cs"/>
          <w:rtl/>
        </w:rPr>
        <w:t>מסוימות</w:t>
      </w:r>
      <w:r w:rsidRPr="00CD5194">
        <w:rPr>
          <w:rtl/>
        </w:rPr>
        <w:t xml:space="preserve"> </w:t>
      </w:r>
      <w:r w:rsidRPr="00CD5194">
        <w:rPr>
          <w:rFonts w:hint="cs"/>
          <w:rtl/>
        </w:rPr>
        <w:t>יקריב</w:t>
      </w:r>
      <w:r w:rsidRPr="00CD5194">
        <w:rPr>
          <w:rtl/>
        </w:rPr>
        <w:t xml:space="preserve"> </w:t>
      </w:r>
      <w:r w:rsidRPr="00CD5194">
        <w:rPr>
          <w:rFonts w:hint="cs"/>
          <w:rtl/>
        </w:rPr>
        <w:t>קורבן</w:t>
      </w:r>
      <w:r w:rsidRPr="00CD5194">
        <w:rPr>
          <w:rtl/>
        </w:rPr>
        <w:t xml:space="preserve"> </w:t>
      </w:r>
      <w:r w:rsidRPr="00CD5194">
        <w:rPr>
          <w:rFonts w:hint="cs"/>
          <w:rtl/>
        </w:rPr>
        <w:t>אשם</w:t>
      </w:r>
      <w:r w:rsidRPr="00CD5194">
        <w:rPr>
          <w:rtl/>
        </w:rPr>
        <w:t xml:space="preserve"> </w:t>
      </w:r>
      <w:r w:rsidRPr="00CD5194">
        <w:rPr>
          <w:rFonts w:hint="cs"/>
          <w:rtl/>
        </w:rPr>
        <w:t>ויתכפר</w:t>
      </w:r>
      <w:r w:rsidRPr="00CD5194">
        <w:rPr>
          <w:rtl/>
        </w:rPr>
        <w:t xml:space="preserve"> </w:t>
      </w:r>
      <w:r w:rsidRPr="00CD5194">
        <w:rPr>
          <w:rFonts w:hint="cs"/>
          <w:rtl/>
        </w:rPr>
        <w:t>לו</w:t>
      </w:r>
      <w:r>
        <w:rPr>
          <w:rFonts w:hint="cs"/>
          <w:rtl/>
        </w:rPr>
        <w:t xml:space="preserve">, </w:t>
      </w:r>
      <w:r w:rsidRPr="00CD5194">
        <w:rPr>
          <w:rFonts w:hint="cs"/>
          <w:rtl/>
        </w:rPr>
        <w:t>וזהו</w:t>
      </w:r>
      <w:r w:rsidRPr="00CD5194">
        <w:rPr>
          <w:rtl/>
        </w:rPr>
        <w:t xml:space="preserve"> </w:t>
      </w:r>
      <w:r>
        <w:rPr>
          <w:rFonts w:hint="cs"/>
          <w:rtl/>
        </w:rPr>
        <w:t>'</w:t>
      </w:r>
      <w:r w:rsidRPr="00CD5194">
        <w:rPr>
          <w:rFonts w:hint="cs"/>
          <w:rtl/>
        </w:rPr>
        <w:t>אשם</w:t>
      </w:r>
      <w:r w:rsidRPr="00CD5194">
        <w:rPr>
          <w:rtl/>
        </w:rPr>
        <w:t xml:space="preserve"> </w:t>
      </w:r>
      <w:r w:rsidRPr="00CD5194">
        <w:rPr>
          <w:rFonts w:hint="cs"/>
          <w:rtl/>
        </w:rPr>
        <w:t>ודא</w:t>
      </w:r>
      <w:r>
        <w:rPr>
          <w:rFonts w:hint="cs"/>
          <w:rtl/>
        </w:rPr>
        <w:t>י'"). לפי דברינו יש מקום לבחון שוב את ההכרעה למנות את אשם תלוי כמצווה עצמאית. דווקא אשם זה מוצג כנספח של אשם מעילות. בכל ספק חטא יש גם ספק ממוני של חטאת שהוא מעין ספק מעילה. זהו החשש שמוביל אדם לתחושות אשמה שנצבות בבסיס קורבן זה.</w:t>
      </w:r>
    </w:p>
    <w:p w14:paraId="1B830420" w14:textId="2093E2DB" w:rsidR="00BF213D" w:rsidRDefault="00BF213D" w:rsidP="00542CE3">
      <w:pPr>
        <w:rPr>
          <w:rtl/>
        </w:rPr>
      </w:pPr>
      <w:r>
        <w:rPr>
          <w:rFonts w:hint="cs"/>
          <w:rtl/>
        </w:rPr>
        <w:t xml:space="preserve">ניתן לאחוז בכיוון זה גם לפי ההבנה של שד"ל, שאשם תלוי בא </w:t>
      </w:r>
      <w:r w:rsidR="00F77C65">
        <w:rPr>
          <w:rFonts w:hint="cs"/>
          <w:rtl/>
        </w:rPr>
        <w:t xml:space="preserve">כאשר </w:t>
      </w:r>
      <w:r>
        <w:rPr>
          <w:rFonts w:hint="cs"/>
          <w:rtl/>
        </w:rPr>
        <w:t xml:space="preserve">האדם חטא כי הוא לא ידע על האיסור. לפי קריאה זו, ניתן לחייב חטאת רק אדם שידע שהדבר אסור אלא שהוא חטא בשגגה. אך אם הוא כלל לא ידע שהדבר אסור </w:t>
      </w:r>
      <w:r>
        <w:rPr>
          <w:rtl/>
        </w:rPr>
        <w:t>–</w:t>
      </w:r>
      <w:r>
        <w:rPr>
          <w:rFonts w:hint="cs"/>
          <w:rtl/>
        </w:rPr>
        <w:t xml:space="preserve"> לא ניתן לחייבו לחטאת, כי קשה להגדיר את האדם כמי שעשה 'מעשה איסור' (כאמור, זו איננה הקריאה ההלכתית אלא הצעת שד"ל בפשטי מקראות). כלומר, מצד אחד נעשה מעשה אסור שעקרונית מחייב ק</w:t>
      </w:r>
      <w:r w:rsidR="00542CE3">
        <w:rPr>
          <w:rFonts w:hint="cs"/>
          <w:rtl/>
        </w:rPr>
        <w:t>ו</w:t>
      </w:r>
      <w:r>
        <w:rPr>
          <w:rFonts w:hint="cs"/>
          <w:rtl/>
        </w:rPr>
        <w:t xml:space="preserve">רבן כפרה, אך מצד שני לא ניתן לחייב את מי שעשה אותו </w:t>
      </w:r>
      <w:r w:rsidR="00542CE3">
        <w:rPr>
          <w:rFonts w:hint="cs"/>
          <w:rtl/>
        </w:rPr>
        <w:t xml:space="preserve">שהרי </w:t>
      </w:r>
      <w:r>
        <w:rPr>
          <w:rFonts w:hint="cs"/>
          <w:rtl/>
        </w:rPr>
        <w:t>הוא לא ידע שהדבר אסור. לפיכך הוא אומנם פטור מן החטאת, אך עליו להביא אשם תלוי על כך שבשל אי ידיעתו את חוקי התורה הוא אינו מביא ק</w:t>
      </w:r>
      <w:r w:rsidR="00542CE3">
        <w:rPr>
          <w:rFonts w:hint="cs"/>
          <w:rtl/>
        </w:rPr>
        <w:t>ו</w:t>
      </w:r>
      <w:r>
        <w:rPr>
          <w:rFonts w:hint="cs"/>
          <w:rtl/>
        </w:rPr>
        <w:t>רבן חטאת</w:t>
      </w:r>
      <w:r w:rsidR="00542CE3">
        <w:rPr>
          <w:rFonts w:hint="cs"/>
          <w:rtl/>
        </w:rPr>
        <w:t>,</w:t>
      </w:r>
      <w:r>
        <w:rPr>
          <w:rFonts w:hint="cs"/>
          <w:rtl/>
        </w:rPr>
        <w:t xml:space="preserve"> </w:t>
      </w:r>
      <w:r w:rsidR="00542CE3">
        <w:rPr>
          <w:rFonts w:hint="cs"/>
          <w:rtl/>
        </w:rPr>
        <w:t xml:space="preserve">קורבן </w:t>
      </w:r>
      <w:r>
        <w:rPr>
          <w:rFonts w:hint="cs"/>
          <w:rtl/>
        </w:rPr>
        <w:t>שראוי היה להביא על החטא שעשה. גם לפי קריאה זו יש בדבר מעין 'מעילה', מעין החסרת המזבח ק</w:t>
      </w:r>
      <w:r w:rsidR="00542CE3">
        <w:rPr>
          <w:rFonts w:hint="cs"/>
          <w:rtl/>
        </w:rPr>
        <w:t>ו</w:t>
      </w:r>
      <w:r>
        <w:rPr>
          <w:rFonts w:hint="cs"/>
          <w:rtl/>
        </w:rPr>
        <w:t>רבן שהיה אמור להגיע אליו.</w:t>
      </w:r>
    </w:p>
    <w:p w14:paraId="0C4206BC" w14:textId="22D005C9" w:rsidR="00BF213D" w:rsidRDefault="00BF213D" w:rsidP="00542CE3">
      <w:pPr>
        <w:rPr>
          <w:rtl/>
        </w:rPr>
      </w:pPr>
      <w:r>
        <w:rPr>
          <w:rFonts w:hint="cs"/>
          <w:rtl/>
        </w:rPr>
        <w:t xml:space="preserve">המקרה השלישי </w:t>
      </w:r>
      <w:r>
        <w:rPr>
          <w:rtl/>
        </w:rPr>
        <w:t>–</w:t>
      </w:r>
      <w:r>
        <w:rPr>
          <w:rFonts w:hint="cs"/>
          <w:rtl/>
        </w:rPr>
        <w:t xml:space="preserve"> </w:t>
      </w:r>
      <w:r w:rsidRPr="004B5D26">
        <w:rPr>
          <w:rFonts w:hint="cs"/>
          <w:rtl/>
        </w:rPr>
        <w:t>אשם גזלות</w:t>
      </w:r>
      <w:r>
        <w:rPr>
          <w:rFonts w:hint="cs"/>
          <w:rtl/>
        </w:rPr>
        <w:t xml:space="preserve"> </w:t>
      </w:r>
      <w:r>
        <w:rPr>
          <w:rtl/>
        </w:rPr>
        <w:t>–</w:t>
      </w:r>
      <w:r>
        <w:rPr>
          <w:rFonts w:hint="cs"/>
          <w:rtl/>
        </w:rPr>
        <w:t xml:space="preserve"> מחזיר אותנו לשדה הסמנטי הגלוי של גזל ופיצוי ממוני. אולם כפי שהערתי לעיל </w:t>
      </w:r>
      <w:r>
        <w:rPr>
          <w:rtl/>
        </w:rPr>
        <w:t>–</w:t>
      </w:r>
      <w:r>
        <w:rPr>
          <w:rFonts w:hint="cs"/>
          <w:rtl/>
        </w:rPr>
        <w:t xml:space="preserve"> כאן מדובר במעילה בה' דרך גזל </w:t>
      </w:r>
      <w:r>
        <w:rPr>
          <w:rFonts w:hint="cs"/>
          <w:rtl/>
        </w:rPr>
        <w:lastRenderedPageBreak/>
        <w:t>החבר. מדוע? יש לשים לב שלא בכל מקרה של גניבה אדם מתחייב גם בק</w:t>
      </w:r>
      <w:r w:rsidR="00542CE3">
        <w:rPr>
          <w:rFonts w:hint="cs"/>
          <w:rtl/>
        </w:rPr>
        <w:t>ו</w:t>
      </w:r>
      <w:r>
        <w:rPr>
          <w:rFonts w:hint="cs"/>
          <w:rtl/>
        </w:rPr>
        <w:t xml:space="preserve">רבן אשם. סתם גנב ישלם לחברו כפל </w:t>
      </w:r>
      <w:r w:rsidR="00542CE3">
        <w:rPr>
          <w:rFonts w:hint="cs"/>
          <w:rtl/>
        </w:rPr>
        <w:t xml:space="preserve">וייפטר </w:t>
      </w:r>
      <w:r>
        <w:rPr>
          <w:rFonts w:hint="cs"/>
          <w:rtl/>
        </w:rPr>
        <w:t xml:space="preserve">מקורבן. המייחד את מקרי הגזל שלפנינו הוא שהתלוותה אליהם שבועה </w:t>
      </w:r>
      <w:r>
        <w:rPr>
          <w:rtl/>
        </w:rPr>
        <w:t>–</w:t>
      </w:r>
      <w:r>
        <w:rPr>
          <w:rFonts w:hint="cs"/>
          <w:rtl/>
        </w:rPr>
        <w:t xml:space="preserve"> כקריאת חז"ל שהצבענו עליה בדיוננו הקודם. לאידך גיסא, קורבן האשם גם איננו פיצוי על שבועת שקר. במקרה כזה יש להביא חטאת עולה ויורד </w:t>
      </w:r>
      <w:r w:rsidRPr="00BF213D">
        <w:rPr>
          <w:rFonts w:hint="cs"/>
          <w:sz w:val="20"/>
          <w:szCs w:val="20"/>
          <w:rtl/>
        </w:rPr>
        <w:t>(ה', ד)</w:t>
      </w:r>
      <w:r>
        <w:rPr>
          <w:rFonts w:hint="cs"/>
          <w:rtl/>
        </w:rPr>
        <w:t xml:space="preserve">. קרבן האשם מתלווה להחזרת פיצוי ממוני (עם קנס) רק במקרים שבהם השבועה עזרה לאדם לגזול מרעהו. הבעיה כאן היא ניצול השבועה </w:t>
      </w:r>
      <w:r>
        <w:rPr>
          <w:rtl/>
        </w:rPr>
        <w:t>–</w:t>
      </w:r>
      <w:r>
        <w:rPr>
          <w:rFonts w:hint="cs"/>
          <w:rtl/>
        </w:rPr>
        <w:t xml:space="preserve"> ניצול שם ה' </w:t>
      </w:r>
      <w:r>
        <w:rPr>
          <w:rtl/>
        </w:rPr>
        <w:t>–</w:t>
      </w:r>
      <w:r>
        <w:rPr>
          <w:rFonts w:hint="cs"/>
          <w:rtl/>
        </w:rPr>
        <w:t xml:space="preserve"> כדי להשיג ממון במרמה. </w:t>
      </w:r>
      <w:r w:rsidR="00542CE3">
        <w:rPr>
          <w:rFonts w:hint="cs"/>
          <w:rtl/>
        </w:rPr>
        <w:t xml:space="preserve">חוטא </w:t>
      </w:r>
      <w:r>
        <w:rPr>
          <w:rFonts w:hint="cs"/>
          <w:rtl/>
        </w:rPr>
        <w:t xml:space="preserve">זה </w:t>
      </w:r>
      <w:r w:rsidR="00542CE3">
        <w:rPr>
          <w:rFonts w:hint="cs"/>
          <w:rtl/>
        </w:rPr>
        <w:t>"</w:t>
      </w:r>
      <w:r>
        <w:rPr>
          <w:rFonts w:hint="cs"/>
          <w:rtl/>
        </w:rPr>
        <w:t>גנב</w:t>
      </w:r>
      <w:r w:rsidR="00542CE3">
        <w:rPr>
          <w:rFonts w:hint="cs"/>
          <w:rtl/>
        </w:rPr>
        <w:t>"</w:t>
      </w:r>
      <w:r>
        <w:rPr>
          <w:rFonts w:hint="cs"/>
          <w:rtl/>
        </w:rPr>
        <w:t xml:space="preserve"> גם את שמו של ה' כדי להגדיל את נכסיו ורכושו. את הקרן והחומש עליו להשיב לאדם שמעל בו, ואת ק</w:t>
      </w:r>
      <w:r w:rsidR="00542CE3">
        <w:rPr>
          <w:rFonts w:hint="cs"/>
          <w:rtl/>
        </w:rPr>
        <w:t>ו</w:t>
      </w:r>
      <w:r>
        <w:rPr>
          <w:rFonts w:hint="cs"/>
          <w:rtl/>
        </w:rPr>
        <w:t>רבן האשם עליו להשיב לה' על כך ש</w:t>
      </w:r>
      <w:r w:rsidR="00542CE3">
        <w:rPr>
          <w:rFonts w:hint="cs"/>
          <w:rtl/>
        </w:rPr>
        <w:t>"</w:t>
      </w:r>
      <w:r>
        <w:rPr>
          <w:rFonts w:hint="cs"/>
          <w:rtl/>
        </w:rPr>
        <w:t>גנב</w:t>
      </w:r>
      <w:r w:rsidR="00542CE3">
        <w:rPr>
          <w:rFonts w:hint="cs"/>
          <w:rtl/>
        </w:rPr>
        <w:t>"</w:t>
      </w:r>
      <w:r>
        <w:rPr>
          <w:rFonts w:hint="cs"/>
          <w:rtl/>
        </w:rPr>
        <w:t xml:space="preserve"> את שמו בכדי לגנוב מאדם אחר. לצד המעילה בחבר יש כאן, כאמור, גם מעילה בה': "</w:t>
      </w:r>
      <w:r w:rsidRPr="00B478F5">
        <w:rPr>
          <w:rFonts w:hint="cs"/>
          <w:rtl/>
        </w:rPr>
        <w:t>נֶפֶשׁ</w:t>
      </w:r>
      <w:r w:rsidRPr="00B478F5">
        <w:rPr>
          <w:rtl/>
        </w:rPr>
        <w:t xml:space="preserve"> </w:t>
      </w:r>
      <w:r w:rsidRPr="00B478F5">
        <w:rPr>
          <w:rFonts w:hint="cs"/>
          <w:rtl/>
        </w:rPr>
        <w:t>כִּי</w:t>
      </w:r>
      <w:r w:rsidRPr="00B478F5">
        <w:rPr>
          <w:rtl/>
        </w:rPr>
        <w:t xml:space="preserve"> </w:t>
      </w:r>
      <w:r w:rsidRPr="00B478F5">
        <w:rPr>
          <w:rFonts w:hint="cs"/>
          <w:rtl/>
        </w:rPr>
        <w:t>תֶחֱטָא</w:t>
      </w:r>
      <w:r w:rsidRPr="00B478F5">
        <w:rPr>
          <w:rtl/>
        </w:rPr>
        <w:t xml:space="preserve"> </w:t>
      </w:r>
      <w:r w:rsidRPr="00B478F5">
        <w:rPr>
          <w:rFonts w:hint="cs"/>
          <w:rtl/>
        </w:rPr>
        <w:t>וּמָעֲלָה</w:t>
      </w:r>
      <w:r w:rsidRPr="00B478F5">
        <w:rPr>
          <w:rtl/>
        </w:rPr>
        <w:t xml:space="preserve"> </w:t>
      </w:r>
      <w:r w:rsidRPr="00B478F5">
        <w:rPr>
          <w:rFonts w:hint="cs"/>
          <w:rtl/>
        </w:rPr>
        <w:t>מַעַל</w:t>
      </w:r>
      <w:r w:rsidRPr="00B478F5">
        <w:rPr>
          <w:rtl/>
        </w:rPr>
        <w:t xml:space="preserve"> </w:t>
      </w:r>
      <w:r w:rsidRPr="00B478F5">
        <w:rPr>
          <w:rFonts w:hint="cs"/>
          <w:rtl/>
        </w:rPr>
        <w:t>בַּ</w:t>
      </w:r>
      <w:r>
        <w:rPr>
          <w:rFonts w:hint="cs"/>
          <w:rtl/>
        </w:rPr>
        <w:t xml:space="preserve">ה' </w:t>
      </w:r>
      <w:r w:rsidRPr="00B478F5">
        <w:rPr>
          <w:rFonts w:hint="cs"/>
          <w:rtl/>
        </w:rPr>
        <w:t>וְכִחֵשׁ</w:t>
      </w:r>
      <w:r w:rsidRPr="00B478F5">
        <w:rPr>
          <w:rtl/>
        </w:rPr>
        <w:t xml:space="preserve"> </w:t>
      </w:r>
      <w:r w:rsidRPr="00B478F5">
        <w:rPr>
          <w:rFonts w:hint="cs"/>
          <w:rtl/>
        </w:rPr>
        <w:t>בַּעֲמִיתוֹ</w:t>
      </w:r>
      <w:r>
        <w:rPr>
          <w:rFonts w:hint="cs"/>
          <w:rtl/>
        </w:rPr>
        <w:t xml:space="preserve">" </w:t>
      </w:r>
      <w:r w:rsidRPr="00BF213D">
        <w:rPr>
          <w:rFonts w:hint="cs"/>
          <w:sz w:val="20"/>
          <w:szCs w:val="20"/>
          <w:rtl/>
        </w:rPr>
        <w:t>(ה', כא)</w:t>
      </w:r>
      <w:r>
        <w:rPr>
          <w:rFonts w:hint="cs"/>
          <w:rtl/>
        </w:rPr>
        <w:t>.</w:t>
      </w:r>
    </w:p>
    <w:p w14:paraId="5C091C3B" w14:textId="4F27C7D2" w:rsidR="00BF213D" w:rsidRDefault="00BF213D" w:rsidP="00542CE3">
      <w:pPr>
        <w:rPr>
          <w:rtl/>
        </w:rPr>
      </w:pPr>
      <w:r>
        <w:rPr>
          <w:rtl/>
        </w:rPr>
        <w:tab/>
      </w:r>
      <w:r>
        <w:rPr>
          <w:rFonts w:hint="cs"/>
          <w:rtl/>
        </w:rPr>
        <w:t xml:space="preserve">אלו הם שלושת האשמות המוזכרים בפרשתנו, וכולם קשורים בגזל גבוה </w:t>
      </w:r>
      <w:r>
        <w:rPr>
          <w:rtl/>
        </w:rPr>
        <w:t>–</w:t>
      </w:r>
      <w:r>
        <w:rPr>
          <w:rFonts w:hint="cs"/>
          <w:rtl/>
        </w:rPr>
        <w:t xml:space="preserve"> בין אם ממשי, בין אם מסופק ובין אם מופשט. ניכרת הזיקה בין האשם הפותח </w:t>
      </w:r>
      <w:r>
        <w:rPr>
          <w:rtl/>
        </w:rPr>
        <w:t>–</w:t>
      </w:r>
      <w:r>
        <w:rPr>
          <w:rFonts w:hint="cs"/>
          <w:rtl/>
        </w:rPr>
        <w:t xml:space="preserve"> אשם מעילות, לאשם הסוגר </w:t>
      </w:r>
      <w:r>
        <w:rPr>
          <w:rtl/>
        </w:rPr>
        <w:t>–</w:t>
      </w:r>
      <w:r>
        <w:rPr>
          <w:rFonts w:hint="cs"/>
          <w:rtl/>
        </w:rPr>
        <w:t xml:space="preserve"> אשם גזלות: </w:t>
      </w:r>
      <w:r w:rsidR="00542CE3">
        <w:rPr>
          <w:rFonts w:hint="cs"/>
          <w:rtl/>
        </w:rPr>
        <w:t xml:space="preserve">בשניהם </w:t>
      </w:r>
      <w:r>
        <w:rPr>
          <w:rFonts w:hint="cs"/>
          <w:rtl/>
        </w:rPr>
        <w:t xml:space="preserve">מוזכרת המעילה בה'; בשניהם יש צד ממוני זהה: </w:t>
      </w:r>
      <w:r w:rsidR="00542CE3">
        <w:rPr>
          <w:rFonts w:hint="cs"/>
          <w:rtl/>
        </w:rPr>
        <w:t xml:space="preserve">השבת </w:t>
      </w:r>
      <w:r>
        <w:rPr>
          <w:rFonts w:hint="cs"/>
          <w:rtl/>
        </w:rPr>
        <w:t xml:space="preserve">קרן + חומש </w:t>
      </w:r>
      <w:r w:rsidR="00542CE3">
        <w:rPr>
          <w:rFonts w:hint="cs"/>
          <w:rtl/>
        </w:rPr>
        <w:t>ל</w:t>
      </w:r>
      <w:r>
        <w:rPr>
          <w:rFonts w:hint="cs"/>
          <w:rtl/>
        </w:rPr>
        <w:t xml:space="preserve">נפגע; </w:t>
      </w:r>
      <w:r w:rsidR="00542CE3">
        <w:rPr>
          <w:rFonts w:hint="cs"/>
          <w:rtl/>
        </w:rPr>
        <w:t xml:space="preserve">ובשניהם </w:t>
      </w:r>
      <w:r>
        <w:rPr>
          <w:rFonts w:hint="cs"/>
          <w:rtl/>
        </w:rPr>
        <w:t xml:space="preserve">לצד התשובה הממונית יש להביא גם איל לאשם. בין שני המקרים האלו מצוי האשם התלוי, שמהווה מעין נספח לאשם מעילות </w:t>
      </w:r>
      <w:r>
        <w:rPr>
          <w:rtl/>
        </w:rPr>
        <w:t>–</w:t>
      </w:r>
      <w:r>
        <w:rPr>
          <w:rFonts w:hint="cs"/>
          <w:rtl/>
        </w:rPr>
        <w:t xml:space="preserve"> אדם שספק מועל בקודש </w:t>
      </w:r>
      <w:r w:rsidR="00542CE3">
        <w:rPr>
          <w:rFonts w:hint="cs"/>
          <w:rtl/>
        </w:rPr>
        <w:t xml:space="preserve">ואינו </w:t>
      </w:r>
      <w:r>
        <w:rPr>
          <w:rFonts w:hint="cs"/>
          <w:rtl/>
        </w:rPr>
        <w:t xml:space="preserve">מביא </w:t>
      </w:r>
      <w:r w:rsidR="00542CE3">
        <w:rPr>
          <w:rFonts w:hint="cs"/>
          <w:rtl/>
        </w:rPr>
        <w:t>את ה</w:t>
      </w:r>
      <w:r>
        <w:rPr>
          <w:rFonts w:hint="cs"/>
          <w:rtl/>
        </w:rPr>
        <w:t xml:space="preserve">כבשה </w:t>
      </w:r>
      <w:r w:rsidR="00542CE3">
        <w:rPr>
          <w:rFonts w:hint="cs"/>
          <w:rtl/>
        </w:rPr>
        <w:t>ה</w:t>
      </w:r>
      <w:r>
        <w:rPr>
          <w:rFonts w:hint="cs"/>
          <w:rtl/>
        </w:rPr>
        <w:t>ראויה לו, מכפר על כך באיל אשם.</w:t>
      </w:r>
    </w:p>
    <w:p w14:paraId="7F5CCE10" w14:textId="648CFDA4" w:rsidR="001E5152" w:rsidRPr="00FD1479" w:rsidRDefault="00BF213D" w:rsidP="00BF213D">
      <w:pPr>
        <w:rPr>
          <w:rtl/>
        </w:rPr>
      </w:pPr>
      <w:r>
        <w:rPr>
          <w:rtl/>
        </w:rPr>
        <w:tab/>
      </w:r>
      <w:r>
        <w:rPr>
          <w:rFonts w:hint="cs"/>
          <w:rtl/>
        </w:rPr>
        <w:t>כפי שנראה בשיעור הבא, גם שלושת המקרים הכתובים מחוץ לגבולות פרשתנו קשורים לגזל גבוה, גם אם שם הדבר אינו ברור כמו במקרים המנויים בפירוש בפרשתנו.</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2AA2B" w14:textId="77777777" w:rsidR="00200412" w:rsidRDefault="00200412" w:rsidP="00405665">
      <w:r>
        <w:separator/>
      </w:r>
    </w:p>
  </w:endnote>
  <w:endnote w:type="continuationSeparator" w:id="0">
    <w:p w14:paraId="4C69ECC0" w14:textId="77777777" w:rsidR="00200412" w:rsidRDefault="0020041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D1A59" w14:textId="77777777" w:rsidR="00200412" w:rsidRDefault="00200412" w:rsidP="00405665">
      <w:r>
        <w:separator/>
      </w:r>
    </w:p>
  </w:footnote>
  <w:footnote w:type="continuationSeparator" w:id="0">
    <w:p w14:paraId="6E4F42AD" w14:textId="77777777" w:rsidR="00200412" w:rsidRDefault="00200412" w:rsidP="00405665">
      <w:r>
        <w:continuationSeparator/>
      </w:r>
    </w:p>
  </w:footnote>
  <w:footnote w:id="1">
    <w:p w14:paraId="0FEB603C" w14:textId="3E691E64" w:rsidR="00BF213D" w:rsidRPr="00BF213D" w:rsidRDefault="00BF213D" w:rsidP="00BF213D">
      <w:pPr>
        <w:pStyle w:val="a3"/>
        <w:rPr>
          <w:rtl/>
        </w:rPr>
      </w:pPr>
      <w:r w:rsidRPr="00BF213D">
        <w:rPr>
          <w:rStyle w:val="a5"/>
          <w:rFonts w:eastAsia="Narkisim"/>
        </w:rPr>
        <w:footnoteRef/>
      </w:r>
      <w:r w:rsidRPr="00BF213D">
        <w:rPr>
          <w:rtl/>
        </w:rPr>
        <w:t xml:space="preserve"> </w:t>
      </w:r>
      <w:r>
        <w:rPr>
          <w:rtl/>
        </w:rPr>
        <w:tab/>
      </w:r>
      <w:r w:rsidRPr="00BF213D">
        <w:rPr>
          <w:rFonts w:hint="cs"/>
          <w:rtl/>
        </w:rPr>
        <w:t xml:space="preserve">הרב ב' קהת (קץ), "קורבן האשם", </w:t>
      </w:r>
      <w:r w:rsidRPr="00BF213D">
        <w:rPr>
          <w:rFonts w:hint="cs"/>
          <w:b/>
          <w:bCs/>
          <w:rtl/>
        </w:rPr>
        <w:t>דף קשר</w:t>
      </w:r>
      <w:r w:rsidRPr="00BF213D">
        <w:rPr>
          <w:rFonts w:hint="cs"/>
          <w:rtl/>
        </w:rPr>
        <w:t xml:space="preserve"> 328 (תשנ"ב), עמ' 2</w:t>
      </w:r>
      <w:r w:rsidRPr="00BF213D">
        <w:rPr>
          <w:rtl/>
        </w:rPr>
        <w:softHyphen/>
      </w:r>
      <w:r w:rsidRPr="00BF213D">
        <w:rPr>
          <w:rFonts w:hint="cs"/>
          <w:rtl/>
        </w:rPr>
        <w:t>-3. הרעיון מובא למעלה באופן מעט שונה מהצעתו.</w:t>
      </w:r>
    </w:p>
  </w:footnote>
  <w:footnote w:id="2">
    <w:p w14:paraId="53D7A79A" w14:textId="33CC5F58" w:rsidR="00BF213D" w:rsidRPr="00BF213D" w:rsidRDefault="00BF213D" w:rsidP="00BF213D">
      <w:pPr>
        <w:pStyle w:val="a3"/>
        <w:bidi w:val="0"/>
        <w:rPr>
          <w:rtl/>
        </w:rPr>
      </w:pPr>
      <w:r w:rsidRPr="00BF213D">
        <w:rPr>
          <w:rStyle w:val="a5"/>
          <w:rFonts w:eastAsia="Narkisim"/>
        </w:rPr>
        <w:footnoteRef/>
      </w:r>
      <w:r w:rsidRPr="00BF213D">
        <w:rPr>
          <w:rtl/>
        </w:rPr>
        <w:t xml:space="preserve"> </w:t>
      </w:r>
      <w:r>
        <w:tab/>
      </w:r>
      <w:r w:rsidRPr="00BF213D">
        <w:t xml:space="preserve">B. S. Jackson, </w:t>
      </w:r>
      <w:r w:rsidRPr="00BF213D">
        <w:rPr>
          <w:i/>
          <w:iCs/>
        </w:rPr>
        <w:t>Theft in Early Jewish Law</w:t>
      </w:r>
      <w:r w:rsidRPr="00BF213D">
        <w:t xml:space="preserve">, Oxford 1972, p. 272; M. Fishbane, "Biblical Colophons, Textual Criticism and Legal Analogies", </w:t>
      </w:r>
      <w:r w:rsidRPr="00BF213D">
        <w:rPr>
          <w:i/>
          <w:iCs/>
        </w:rPr>
        <w:t>CBQ</w:t>
      </w:r>
      <w:r w:rsidRPr="00BF213D">
        <w:t xml:space="preserve"> 42 (1980), pp. 250-251.</w:t>
      </w:r>
    </w:p>
  </w:footnote>
  <w:footnote w:id="3">
    <w:p w14:paraId="13459591" w14:textId="42727D13" w:rsidR="00BF213D" w:rsidRPr="00BF213D" w:rsidRDefault="00BF213D" w:rsidP="00BF213D">
      <w:pPr>
        <w:pStyle w:val="a3"/>
      </w:pPr>
      <w:r w:rsidRPr="00BF213D">
        <w:rPr>
          <w:rStyle w:val="a5"/>
          <w:rFonts w:eastAsia="Narkisim"/>
        </w:rPr>
        <w:footnoteRef/>
      </w:r>
      <w:r w:rsidRPr="00BF213D">
        <w:rPr>
          <w:rtl/>
        </w:rPr>
        <w:t xml:space="preserve"> </w:t>
      </w:r>
      <w:r>
        <w:rPr>
          <w:rtl/>
        </w:rPr>
        <w:tab/>
      </w:r>
      <w:r w:rsidRPr="00BF213D">
        <w:rPr>
          <w:rFonts w:hint="cs"/>
          <w:rtl/>
        </w:rPr>
        <w:t xml:space="preserve">בשל טענה זו דחה מילגרום את ההצעה הנזכרת למעלה </w:t>
      </w:r>
      <w:r w:rsidRPr="00BF213D">
        <w:rPr>
          <w:rFonts w:hint="cs"/>
          <w:sz w:val="16"/>
          <w:szCs w:val="16"/>
          <w:rtl/>
        </w:rPr>
        <w:t xml:space="preserve">(מילגרום, </w:t>
      </w:r>
      <w:r w:rsidRPr="00BF213D">
        <w:rPr>
          <w:rFonts w:hint="cs"/>
          <w:b/>
          <w:bCs/>
          <w:sz w:val="16"/>
          <w:szCs w:val="16"/>
          <w:rtl/>
        </w:rPr>
        <w:t>ויקרא</w:t>
      </w:r>
      <w:r w:rsidRPr="00BF213D">
        <w:rPr>
          <w:rFonts w:hint="cs"/>
          <w:sz w:val="16"/>
          <w:szCs w:val="16"/>
          <w:rtl/>
        </w:rPr>
        <w:t>, חלק א, עמ' 326)</w:t>
      </w:r>
      <w:r w:rsidRPr="00BF213D">
        <w:rPr>
          <w:rFonts w:hint="cs"/>
          <w:rtl/>
        </w:rPr>
        <w:t>.</w:t>
      </w:r>
    </w:p>
  </w:footnote>
  <w:footnote w:id="4">
    <w:p w14:paraId="6F878E40" w14:textId="3D350E08" w:rsidR="00BF213D" w:rsidRPr="00BF213D" w:rsidRDefault="00BF213D" w:rsidP="00BF213D">
      <w:pPr>
        <w:pStyle w:val="a3"/>
      </w:pPr>
      <w:r w:rsidRPr="00BF213D">
        <w:rPr>
          <w:rStyle w:val="a5"/>
          <w:rFonts w:eastAsia="Narkisim"/>
        </w:rPr>
        <w:footnoteRef/>
      </w:r>
      <w:r w:rsidRPr="00BF213D">
        <w:rPr>
          <w:rtl/>
        </w:rPr>
        <w:t xml:space="preserve"> </w:t>
      </w:r>
      <w:r>
        <w:rPr>
          <w:rtl/>
        </w:rPr>
        <w:tab/>
      </w:r>
      <w:r w:rsidRPr="00BF213D">
        <w:rPr>
          <w:rFonts w:hint="cs"/>
          <w:rtl/>
        </w:rPr>
        <w:t xml:space="preserve">מילגרום, </w:t>
      </w:r>
      <w:r w:rsidRPr="00BF213D">
        <w:rPr>
          <w:rFonts w:hint="cs"/>
          <w:b/>
          <w:bCs/>
          <w:rtl/>
        </w:rPr>
        <w:t>ויקרא</w:t>
      </w:r>
      <w:r w:rsidRPr="00BF213D">
        <w:rPr>
          <w:rFonts w:hint="cs"/>
          <w:rtl/>
        </w:rPr>
        <w:t>, חלק א, עמ' 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E04CF">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5A3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4CF"/>
    <w:rsid w:val="003E3654"/>
    <w:rsid w:val="003E6B7E"/>
    <w:rsid w:val="003E7DF7"/>
    <w:rsid w:val="003F0F92"/>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7D75"/>
    <w:rsid w:val="006D5A1C"/>
    <w:rsid w:val="006D74BE"/>
    <w:rsid w:val="006E3F9D"/>
    <w:rsid w:val="006E4C3A"/>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6594"/>
    <w:rsid w:val="00731FFA"/>
    <w:rsid w:val="00732736"/>
    <w:rsid w:val="00737519"/>
    <w:rsid w:val="00740096"/>
    <w:rsid w:val="00743AC7"/>
    <w:rsid w:val="0074567B"/>
    <w:rsid w:val="00754383"/>
    <w:rsid w:val="00755D64"/>
    <w:rsid w:val="00760C49"/>
    <w:rsid w:val="007633BC"/>
    <w:rsid w:val="007664B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13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008"/>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15:docId w15:val="{A910CBBB-E137-4AB8-B1BE-91763384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1754-3517-47B8-8F81-09D381A6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1603</Words>
  <Characters>8017</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9601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3</cp:revision>
  <cp:lastPrinted>2001-10-24T10:13:00Z</cp:lastPrinted>
  <dcterms:created xsi:type="dcterms:W3CDTF">2018-09-06T08:03:00Z</dcterms:created>
  <dcterms:modified xsi:type="dcterms:W3CDTF">2018-10-21T11:49:00Z</dcterms:modified>
</cp:coreProperties>
</file>