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9D616" w14:textId="518ADCBD" w:rsidR="00596601" w:rsidRPr="00F953B6" w:rsidRDefault="00596601" w:rsidP="00D601D8">
      <w:pPr>
        <w:pStyle w:val="CC"/>
        <w:keepLines w:val="0"/>
        <w:tabs>
          <w:tab w:val="left" w:pos="720"/>
        </w:tabs>
        <w:spacing w:after="0"/>
        <w:ind w:left="0" w:firstLine="0"/>
        <w:jc w:val="center"/>
        <w:rPr>
          <w:rFonts w:asciiTheme="minorBidi" w:hAnsiTheme="minorBidi" w:cstheme="minorBidi"/>
          <w:sz w:val="24"/>
          <w:szCs w:val="24"/>
        </w:rPr>
      </w:pPr>
      <w:r w:rsidRPr="00F953B6">
        <w:rPr>
          <w:rFonts w:asciiTheme="minorBidi" w:hAnsiTheme="minorBidi" w:cstheme="minorBidi"/>
          <w:sz w:val="24"/>
          <w:szCs w:val="24"/>
        </w:rPr>
        <w:t>YESHIVAT HAR ETZION</w:t>
      </w:r>
    </w:p>
    <w:p w14:paraId="644D10DF" w14:textId="77777777" w:rsidR="00596601" w:rsidRPr="00F953B6" w:rsidRDefault="00596601" w:rsidP="00D601D8">
      <w:pPr>
        <w:pStyle w:val="CC"/>
        <w:keepLines w:val="0"/>
        <w:tabs>
          <w:tab w:val="left" w:pos="720"/>
        </w:tabs>
        <w:spacing w:after="0"/>
        <w:ind w:left="0" w:firstLine="0"/>
        <w:jc w:val="center"/>
        <w:rPr>
          <w:rFonts w:asciiTheme="minorBidi" w:hAnsiTheme="minorBidi" w:cstheme="minorBidi"/>
          <w:sz w:val="24"/>
          <w:szCs w:val="24"/>
          <w:lang w:val="en-GB"/>
        </w:rPr>
      </w:pPr>
      <w:r w:rsidRPr="00F953B6">
        <w:rPr>
          <w:rFonts w:asciiTheme="minorBidi" w:hAnsiTheme="minorBidi" w:cstheme="minorBidi"/>
          <w:sz w:val="24"/>
          <w:szCs w:val="24"/>
          <w:lang w:val="en-GB"/>
        </w:rPr>
        <w:t>ISRAEL KOSCHITZKY VIRTUAL BEIT MIDRASH (VBM)</w:t>
      </w:r>
    </w:p>
    <w:p w14:paraId="7B8D325F" w14:textId="77777777" w:rsidR="00596601" w:rsidRPr="00F953B6" w:rsidRDefault="00596601" w:rsidP="00D601D8">
      <w:pPr>
        <w:pStyle w:val="CC"/>
        <w:keepLines w:val="0"/>
        <w:tabs>
          <w:tab w:val="left" w:pos="720"/>
        </w:tabs>
        <w:spacing w:after="0"/>
        <w:ind w:left="0" w:firstLine="0"/>
        <w:jc w:val="center"/>
        <w:rPr>
          <w:rFonts w:asciiTheme="minorBidi" w:hAnsiTheme="minorBidi" w:cstheme="minorBidi"/>
          <w:sz w:val="24"/>
          <w:szCs w:val="24"/>
          <w:lang w:val="en-GB"/>
        </w:rPr>
      </w:pPr>
      <w:r w:rsidRPr="00F953B6">
        <w:rPr>
          <w:rFonts w:asciiTheme="minorBidi" w:hAnsiTheme="minorBidi" w:cstheme="minorBidi"/>
          <w:sz w:val="24"/>
          <w:szCs w:val="24"/>
          <w:lang w:val="en-GB"/>
        </w:rPr>
        <w:t>*********************************************************</w:t>
      </w:r>
    </w:p>
    <w:p w14:paraId="72D24DE9" w14:textId="19820E47" w:rsidR="00596601" w:rsidRDefault="00596601" w:rsidP="00D601D8">
      <w:pPr>
        <w:pStyle w:val="CC"/>
        <w:keepLines w:val="0"/>
        <w:tabs>
          <w:tab w:val="left" w:pos="720"/>
        </w:tabs>
        <w:spacing w:after="0"/>
        <w:ind w:left="0" w:firstLine="0"/>
        <w:jc w:val="center"/>
        <w:rPr>
          <w:rFonts w:asciiTheme="minorBidi" w:hAnsiTheme="minorBidi" w:cstheme="minorBidi"/>
          <w:sz w:val="24"/>
          <w:szCs w:val="24"/>
        </w:rPr>
      </w:pPr>
    </w:p>
    <w:p w14:paraId="2D6A7EBA" w14:textId="77777777" w:rsidR="00F953B6" w:rsidRPr="00F953B6" w:rsidRDefault="00F953B6" w:rsidP="00D601D8">
      <w:pPr>
        <w:pStyle w:val="CC"/>
        <w:keepLines w:val="0"/>
        <w:tabs>
          <w:tab w:val="left" w:pos="720"/>
        </w:tabs>
        <w:spacing w:after="0"/>
        <w:ind w:left="0" w:firstLine="0"/>
        <w:jc w:val="center"/>
        <w:rPr>
          <w:rFonts w:asciiTheme="minorBidi" w:hAnsiTheme="minorBidi" w:cstheme="minorBidi"/>
          <w:sz w:val="24"/>
          <w:szCs w:val="24"/>
        </w:rPr>
      </w:pPr>
    </w:p>
    <w:p w14:paraId="0903D6F6" w14:textId="77777777" w:rsidR="00596601" w:rsidRPr="00F953B6" w:rsidRDefault="00596601" w:rsidP="00D601D8">
      <w:pPr>
        <w:spacing w:after="0" w:line="240" w:lineRule="auto"/>
        <w:jc w:val="center"/>
        <w:rPr>
          <w:rFonts w:asciiTheme="minorBidi" w:hAnsiTheme="minorBidi"/>
          <w:b/>
          <w:bCs/>
          <w:sz w:val="24"/>
          <w:szCs w:val="24"/>
        </w:rPr>
      </w:pPr>
      <w:r w:rsidRPr="00F953B6">
        <w:rPr>
          <w:rFonts w:asciiTheme="minorBidi" w:hAnsiTheme="minorBidi"/>
          <w:b/>
          <w:bCs/>
          <w:sz w:val="24"/>
          <w:szCs w:val="24"/>
        </w:rPr>
        <w:t>Before Sinai: Jewish Values and Jewish Law</w:t>
      </w:r>
    </w:p>
    <w:p w14:paraId="735A63D2" w14:textId="77777777" w:rsidR="00596601" w:rsidRPr="00F953B6" w:rsidRDefault="00596601" w:rsidP="00D601D8">
      <w:pPr>
        <w:spacing w:after="0" w:line="240" w:lineRule="auto"/>
        <w:jc w:val="center"/>
        <w:rPr>
          <w:rFonts w:asciiTheme="minorBidi" w:hAnsiTheme="minorBidi"/>
          <w:b/>
          <w:bCs/>
          <w:sz w:val="24"/>
          <w:szCs w:val="24"/>
        </w:rPr>
      </w:pPr>
      <w:r w:rsidRPr="00F953B6">
        <w:rPr>
          <w:rFonts w:asciiTheme="minorBidi" w:hAnsiTheme="minorBidi"/>
          <w:b/>
          <w:bCs/>
          <w:sz w:val="24"/>
          <w:szCs w:val="24"/>
        </w:rPr>
        <w:t>By Rav Dr. Judah Goldberg</w:t>
      </w:r>
    </w:p>
    <w:p w14:paraId="6DB461ED" w14:textId="77777777" w:rsidR="00596601" w:rsidRPr="00F953B6" w:rsidRDefault="00596601" w:rsidP="00D601D8">
      <w:pPr>
        <w:pStyle w:val="CC"/>
        <w:keepLines w:val="0"/>
        <w:tabs>
          <w:tab w:val="left" w:pos="2552"/>
        </w:tabs>
        <w:spacing w:after="0"/>
        <w:ind w:left="0" w:firstLine="0"/>
        <w:jc w:val="center"/>
        <w:rPr>
          <w:rFonts w:asciiTheme="minorBidi" w:hAnsiTheme="minorBidi" w:cstheme="minorBidi"/>
          <w:b w:val="0"/>
          <w:bCs/>
          <w:sz w:val="24"/>
          <w:szCs w:val="24"/>
        </w:rPr>
      </w:pPr>
    </w:p>
    <w:p w14:paraId="4642D803" w14:textId="77777777" w:rsidR="00596601" w:rsidRPr="00F953B6" w:rsidRDefault="00596601" w:rsidP="00D601D8">
      <w:pPr>
        <w:spacing w:after="0" w:line="240" w:lineRule="auto"/>
        <w:jc w:val="center"/>
        <w:rPr>
          <w:rFonts w:asciiTheme="minorBidi" w:hAnsiTheme="minorBidi"/>
          <w:b/>
          <w:bCs/>
          <w:sz w:val="24"/>
          <w:szCs w:val="24"/>
          <w:lang w:val="en-GB"/>
        </w:rPr>
      </w:pPr>
    </w:p>
    <w:p w14:paraId="4EA1A993" w14:textId="77777777" w:rsidR="00F953B6" w:rsidRDefault="00596601" w:rsidP="00D601D8">
      <w:pPr>
        <w:spacing w:after="0" w:line="240" w:lineRule="auto"/>
        <w:jc w:val="center"/>
        <w:rPr>
          <w:rFonts w:asciiTheme="minorBidi" w:hAnsiTheme="minorBidi"/>
          <w:b/>
          <w:bCs/>
          <w:sz w:val="24"/>
          <w:szCs w:val="24"/>
        </w:rPr>
      </w:pPr>
      <w:r w:rsidRPr="00D601D8">
        <w:rPr>
          <w:rFonts w:asciiTheme="minorBidi" w:hAnsiTheme="minorBidi"/>
          <w:b/>
          <w:bCs/>
          <w:sz w:val="24"/>
          <w:szCs w:val="24"/>
        </w:rPr>
        <w:t>Shiur</w:t>
      </w:r>
      <w:r w:rsidRPr="00F953B6">
        <w:rPr>
          <w:rFonts w:asciiTheme="minorBidi" w:hAnsiTheme="minorBidi"/>
          <w:b/>
          <w:bCs/>
          <w:sz w:val="24"/>
          <w:szCs w:val="24"/>
        </w:rPr>
        <w:t xml:space="preserve"> #38</w:t>
      </w:r>
    </w:p>
    <w:p w14:paraId="0D65CB14" w14:textId="7ABA6A5C" w:rsidR="00596601" w:rsidRPr="00F953B6" w:rsidRDefault="00596601" w:rsidP="00D601D8">
      <w:pPr>
        <w:spacing w:after="0" w:line="240" w:lineRule="auto"/>
        <w:jc w:val="center"/>
        <w:rPr>
          <w:rFonts w:asciiTheme="minorBidi" w:hAnsiTheme="minorBidi"/>
          <w:b/>
          <w:bCs/>
          <w:sz w:val="24"/>
          <w:szCs w:val="24"/>
        </w:rPr>
      </w:pPr>
      <w:r w:rsidRPr="00F953B6">
        <w:rPr>
          <w:rFonts w:asciiTheme="minorBidi" w:hAnsiTheme="minorBidi"/>
          <w:b/>
          <w:bCs/>
          <w:sz w:val="24"/>
          <w:szCs w:val="24"/>
        </w:rPr>
        <w:t>Pursuit of the Ethical Life (9)</w:t>
      </w:r>
      <w:r w:rsidR="00C53027">
        <w:rPr>
          <w:rFonts w:asciiTheme="minorBidi" w:hAnsiTheme="minorBidi"/>
          <w:b/>
          <w:bCs/>
          <w:sz w:val="24"/>
          <w:szCs w:val="24"/>
        </w:rPr>
        <w:t xml:space="preserve"> </w:t>
      </w:r>
    </w:p>
    <w:p w14:paraId="51B24C01" w14:textId="77777777" w:rsidR="00F953B6" w:rsidRDefault="00596601" w:rsidP="00D601D8">
      <w:pPr>
        <w:spacing w:after="0" w:line="240" w:lineRule="auto"/>
        <w:jc w:val="center"/>
        <w:rPr>
          <w:rFonts w:asciiTheme="minorBidi" w:hAnsiTheme="minorBidi"/>
          <w:b/>
          <w:bCs/>
          <w:sz w:val="24"/>
          <w:szCs w:val="24"/>
        </w:rPr>
      </w:pPr>
      <w:r w:rsidRPr="00F953B6">
        <w:rPr>
          <w:rFonts w:asciiTheme="minorBidi" w:hAnsiTheme="minorBidi"/>
          <w:b/>
          <w:bCs/>
          <w:sz w:val="24"/>
          <w:szCs w:val="24"/>
        </w:rPr>
        <w:t>Moral Intuition (4)</w:t>
      </w:r>
    </w:p>
    <w:p w14:paraId="152C6588" w14:textId="28736336" w:rsidR="00596601" w:rsidRPr="00F953B6" w:rsidRDefault="00596601" w:rsidP="00D601D8">
      <w:pPr>
        <w:spacing w:after="0" w:line="240" w:lineRule="auto"/>
        <w:jc w:val="center"/>
        <w:rPr>
          <w:rFonts w:asciiTheme="minorBidi" w:hAnsiTheme="minorBidi"/>
          <w:b/>
          <w:bCs/>
          <w:sz w:val="24"/>
          <w:szCs w:val="24"/>
        </w:rPr>
      </w:pPr>
      <w:r w:rsidRPr="00F953B6">
        <w:rPr>
          <w:rFonts w:asciiTheme="minorBidi" w:hAnsiTheme="minorBidi"/>
          <w:b/>
          <w:bCs/>
          <w:sz w:val="24"/>
          <w:szCs w:val="24"/>
        </w:rPr>
        <w:t>The Role of the Monarch</w:t>
      </w:r>
      <w:r w:rsidR="00F953B6">
        <w:rPr>
          <w:rFonts w:asciiTheme="minorBidi" w:hAnsiTheme="minorBidi"/>
          <w:b/>
          <w:bCs/>
          <w:sz w:val="24"/>
          <w:szCs w:val="24"/>
        </w:rPr>
        <w:t xml:space="preserve">, </w:t>
      </w:r>
      <w:r w:rsidRPr="00F953B6">
        <w:rPr>
          <w:rFonts w:asciiTheme="minorBidi" w:hAnsiTheme="minorBidi"/>
          <w:b/>
          <w:bCs/>
          <w:sz w:val="24"/>
          <w:szCs w:val="24"/>
        </w:rPr>
        <w:t xml:space="preserve">Part </w:t>
      </w:r>
      <w:r w:rsidR="00F953B6">
        <w:rPr>
          <w:rFonts w:asciiTheme="minorBidi" w:hAnsiTheme="minorBidi"/>
          <w:b/>
          <w:bCs/>
          <w:sz w:val="24"/>
          <w:szCs w:val="24"/>
        </w:rPr>
        <w:t>II</w:t>
      </w:r>
    </w:p>
    <w:p w14:paraId="104DBC1D" w14:textId="77777777" w:rsidR="00596601" w:rsidRPr="00F953B6" w:rsidRDefault="00596601" w:rsidP="00D601D8">
      <w:pPr>
        <w:spacing w:after="0" w:line="240" w:lineRule="auto"/>
        <w:jc w:val="both"/>
        <w:rPr>
          <w:rFonts w:asciiTheme="minorBidi" w:hAnsiTheme="minorBidi"/>
          <w:b/>
          <w:bCs/>
          <w:sz w:val="24"/>
          <w:szCs w:val="24"/>
        </w:rPr>
      </w:pPr>
    </w:p>
    <w:p w14:paraId="71FFC034" w14:textId="77777777" w:rsidR="00251DC0" w:rsidRPr="00F953B6" w:rsidRDefault="00251DC0" w:rsidP="00D601D8">
      <w:pPr>
        <w:spacing w:after="0" w:line="240" w:lineRule="auto"/>
        <w:jc w:val="both"/>
        <w:rPr>
          <w:rFonts w:asciiTheme="minorBidi" w:hAnsiTheme="minorBidi"/>
          <w:b/>
          <w:bCs/>
          <w:sz w:val="24"/>
          <w:szCs w:val="24"/>
        </w:rPr>
      </w:pPr>
    </w:p>
    <w:p w14:paraId="14A33966" w14:textId="5DDB5E72" w:rsidR="0011322E" w:rsidRPr="00F953B6" w:rsidRDefault="001F2527"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In the </w:t>
      </w:r>
      <w:hyperlink r:id="rId8" w:history="1">
        <w:r w:rsidRPr="001D6300">
          <w:rPr>
            <w:rStyle w:val="Hyperlink"/>
            <w:rFonts w:asciiTheme="minorBidi" w:hAnsiTheme="minorBidi"/>
            <w:sz w:val="24"/>
            <w:szCs w:val="24"/>
          </w:rPr>
          <w:t xml:space="preserve">previous </w:t>
        </w:r>
        <w:proofErr w:type="spellStart"/>
        <w:r w:rsidRPr="001D6300">
          <w:rPr>
            <w:rStyle w:val="Hyperlink"/>
            <w:rFonts w:asciiTheme="minorBidi" w:hAnsiTheme="minorBidi"/>
            <w:i/>
            <w:iCs/>
            <w:sz w:val="24"/>
            <w:szCs w:val="24"/>
          </w:rPr>
          <w:t>shiur</w:t>
        </w:r>
        <w:proofErr w:type="spellEnd"/>
      </w:hyperlink>
      <w:bookmarkStart w:id="0" w:name="_GoBack"/>
      <w:bookmarkEnd w:id="0"/>
      <w:r w:rsidRPr="00F953B6">
        <w:rPr>
          <w:rFonts w:asciiTheme="minorBidi" w:hAnsiTheme="minorBidi"/>
          <w:sz w:val="24"/>
          <w:szCs w:val="24"/>
        </w:rPr>
        <w:t xml:space="preserve">, </w:t>
      </w:r>
      <w:r w:rsidR="002918B8" w:rsidRPr="00F953B6">
        <w:rPr>
          <w:rFonts w:asciiTheme="minorBidi" w:hAnsiTheme="minorBidi"/>
          <w:sz w:val="24"/>
          <w:szCs w:val="24"/>
        </w:rPr>
        <w:t xml:space="preserve">we examined the </w:t>
      </w:r>
      <w:r w:rsidR="00857D9E" w:rsidRPr="00F953B6">
        <w:rPr>
          <w:rFonts w:asciiTheme="minorBidi" w:hAnsiTheme="minorBidi"/>
          <w:sz w:val="24"/>
          <w:szCs w:val="24"/>
        </w:rPr>
        <w:t>Torah’s authorization to</w:t>
      </w:r>
      <w:r w:rsidR="009248E9" w:rsidRPr="00F953B6">
        <w:rPr>
          <w:rFonts w:asciiTheme="minorBidi" w:hAnsiTheme="minorBidi"/>
          <w:sz w:val="24"/>
          <w:szCs w:val="24"/>
        </w:rPr>
        <w:t xml:space="preserve"> punish</w:t>
      </w:r>
      <w:r w:rsidR="003F42AE" w:rsidRPr="00F953B6">
        <w:rPr>
          <w:rFonts w:asciiTheme="minorBidi" w:hAnsiTheme="minorBidi"/>
          <w:sz w:val="24"/>
          <w:szCs w:val="24"/>
        </w:rPr>
        <w:t xml:space="preserve"> outside of the framework </w:t>
      </w:r>
      <w:r w:rsidR="00251DC0" w:rsidRPr="00F953B6">
        <w:rPr>
          <w:rFonts w:asciiTheme="minorBidi" w:hAnsiTheme="minorBidi"/>
          <w:sz w:val="24"/>
          <w:szCs w:val="24"/>
        </w:rPr>
        <w:t xml:space="preserve">of formal </w:t>
      </w:r>
      <w:r w:rsidR="00266691" w:rsidRPr="00F953B6">
        <w:rPr>
          <w:rFonts w:asciiTheme="minorBidi" w:hAnsiTheme="minorBidi"/>
          <w:sz w:val="24"/>
          <w:szCs w:val="24"/>
        </w:rPr>
        <w:t>legal proceedings</w:t>
      </w:r>
      <w:r w:rsidR="00251DC0" w:rsidRPr="00F953B6">
        <w:rPr>
          <w:rFonts w:asciiTheme="minorBidi" w:hAnsiTheme="minorBidi"/>
          <w:sz w:val="24"/>
          <w:szCs w:val="24"/>
        </w:rPr>
        <w:t xml:space="preserve">. </w:t>
      </w:r>
      <w:r w:rsidR="00C70EF2" w:rsidRPr="00F953B6">
        <w:rPr>
          <w:rFonts w:asciiTheme="minorBidi" w:hAnsiTheme="minorBidi"/>
          <w:sz w:val="24"/>
          <w:szCs w:val="24"/>
        </w:rPr>
        <w:t>According to the Rambam, the king has broad latitude to do so</w:t>
      </w:r>
      <w:r w:rsidR="005818A5" w:rsidRPr="00F953B6">
        <w:rPr>
          <w:rFonts w:asciiTheme="minorBidi" w:hAnsiTheme="minorBidi"/>
          <w:sz w:val="24"/>
          <w:szCs w:val="24"/>
        </w:rPr>
        <w:t xml:space="preserve"> </w:t>
      </w:r>
      <w:r w:rsidR="008D3C35" w:rsidRPr="00F953B6">
        <w:rPr>
          <w:rFonts w:asciiTheme="minorBidi" w:hAnsiTheme="minorBidi"/>
          <w:sz w:val="24"/>
          <w:szCs w:val="24"/>
        </w:rPr>
        <w:t>regarding</w:t>
      </w:r>
      <w:r w:rsidR="005818A5" w:rsidRPr="00F953B6">
        <w:rPr>
          <w:rFonts w:asciiTheme="minorBidi" w:hAnsiTheme="minorBidi"/>
          <w:sz w:val="24"/>
          <w:szCs w:val="24"/>
        </w:rPr>
        <w:t xml:space="preserve"> murder, and possibly other offense</w:t>
      </w:r>
      <w:r w:rsidR="00F21A27" w:rsidRPr="00F953B6">
        <w:rPr>
          <w:rFonts w:asciiTheme="minorBidi" w:hAnsiTheme="minorBidi"/>
          <w:sz w:val="24"/>
          <w:szCs w:val="24"/>
        </w:rPr>
        <w:t>s</w:t>
      </w:r>
      <w:r w:rsidR="000657CB">
        <w:rPr>
          <w:rFonts w:asciiTheme="minorBidi" w:hAnsiTheme="minorBidi"/>
          <w:sz w:val="24"/>
          <w:szCs w:val="24"/>
        </w:rPr>
        <w:t xml:space="preserve"> as well</w:t>
      </w:r>
      <w:r w:rsidR="0011322E" w:rsidRPr="00F953B6">
        <w:rPr>
          <w:rFonts w:asciiTheme="minorBidi" w:hAnsiTheme="minorBidi"/>
          <w:sz w:val="24"/>
          <w:szCs w:val="24"/>
        </w:rPr>
        <w:t>; o</w:t>
      </w:r>
      <w:r w:rsidR="00347194" w:rsidRPr="00F953B6">
        <w:rPr>
          <w:rFonts w:asciiTheme="minorBidi" w:hAnsiTheme="minorBidi"/>
          <w:sz w:val="24"/>
          <w:szCs w:val="24"/>
        </w:rPr>
        <w:t xml:space="preserve">ur Sages </w:t>
      </w:r>
      <w:r w:rsidR="009C39B8" w:rsidRPr="00F953B6">
        <w:rPr>
          <w:rFonts w:asciiTheme="minorBidi" w:hAnsiTheme="minorBidi"/>
          <w:sz w:val="24"/>
          <w:szCs w:val="24"/>
        </w:rPr>
        <w:t>recognize</w:t>
      </w:r>
      <w:r w:rsidR="00347194" w:rsidRPr="00F953B6">
        <w:rPr>
          <w:rFonts w:asciiTheme="minorBidi" w:hAnsiTheme="minorBidi"/>
          <w:sz w:val="24"/>
          <w:szCs w:val="24"/>
        </w:rPr>
        <w:t xml:space="preserve"> </w:t>
      </w:r>
      <w:r w:rsidR="00E01E22" w:rsidRPr="00F953B6">
        <w:rPr>
          <w:rFonts w:asciiTheme="minorBidi" w:hAnsiTheme="minorBidi"/>
          <w:sz w:val="24"/>
          <w:szCs w:val="24"/>
        </w:rPr>
        <w:t xml:space="preserve">a </w:t>
      </w:r>
      <w:r w:rsidR="00347194" w:rsidRPr="00F953B6">
        <w:rPr>
          <w:rFonts w:asciiTheme="minorBidi" w:hAnsiTheme="minorBidi"/>
          <w:sz w:val="24"/>
          <w:szCs w:val="24"/>
        </w:rPr>
        <w:t xml:space="preserve">similar </w:t>
      </w:r>
      <w:r w:rsidR="00E01E22" w:rsidRPr="00F953B6">
        <w:rPr>
          <w:rFonts w:asciiTheme="minorBidi" w:hAnsiTheme="minorBidi"/>
          <w:sz w:val="24"/>
          <w:szCs w:val="24"/>
        </w:rPr>
        <w:t xml:space="preserve">right </w:t>
      </w:r>
      <w:r w:rsidR="009C39B8" w:rsidRPr="00F953B6">
        <w:rPr>
          <w:rFonts w:asciiTheme="minorBidi" w:hAnsiTheme="minorBidi"/>
          <w:sz w:val="24"/>
          <w:szCs w:val="24"/>
        </w:rPr>
        <w:t xml:space="preserve">for </w:t>
      </w:r>
      <w:r w:rsidR="0011322E" w:rsidRPr="00F953B6">
        <w:rPr>
          <w:rFonts w:asciiTheme="minorBidi" w:hAnsiTheme="minorBidi"/>
          <w:sz w:val="24"/>
          <w:szCs w:val="24"/>
        </w:rPr>
        <w:t xml:space="preserve">the judges of a </w:t>
      </w:r>
      <w:r w:rsidR="00347194" w:rsidRPr="00F953B6">
        <w:rPr>
          <w:rFonts w:asciiTheme="minorBidi" w:hAnsiTheme="minorBidi"/>
          <w:sz w:val="24"/>
          <w:szCs w:val="24"/>
        </w:rPr>
        <w:t>rabbinic court</w:t>
      </w:r>
      <w:r w:rsidR="0011322E" w:rsidRPr="00F953B6">
        <w:rPr>
          <w:rFonts w:asciiTheme="minorBidi" w:hAnsiTheme="minorBidi"/>
          <w:sz w:val="24"/>
          <w:szCs w:val="24"/>
        </w:rPr>
        <w:t xml:space="preserve">, though </w:t>
      </w:r>
      <w:r w:rsidR="00F87B72" w:rsidRPr="00F953B6">
        <w:rPr>
          <w:rFonts w:asciiTheme="minorBidi" w:hAnsiTheme="minorBidi"/>
          <w:sz w:val="24"/>
          <w:szCs w:val="24"/>
        </w:rPr>
        <w:t xml:space="preserve">only in </w:t>
      </w:r>
      <w:r w:rsidR="00F87B72" w:rsidRPr="00433F32">
        <w:rPr>
          <w:rFonts w:asciiTheme="minorBidi" w:hAnsiTheme="minorBidi"/>
          <w:sz w:val="24"/>
          <w:szCs w:val="24"/>
        </w:rPr>
        <w:t>exceptional circumstance</w:t>
      </w:r>
      <w:r w:rsidR="00F87B72" w:rsidRPr="00F953B6">
        <w:rPr>
          <w:rFonts w:asciiTheme="minorBidi" w:hAnsiTheme="minorBidi"/>
          <w:sz w:val="24"/>
          <w:szCs w:val="24"/>
        </w:rPr>
        <w:t>s.</w:t>
      </w:r>
      <w:r w:rsidR="0083014D" w:rsidRPr="00F953B6">
        <w:rPr>
          <w:rFonts w:asciiTheme="minorBidi" w:hAnsiTheme="minorBidi"/>
          <w:sz w:val="24"/>
          <w:szCs w:val="24"/>
        </w:rPr>
        <w:t xml:space="preserve"> </w:t>
      </w:r>
      <w:r w:rsidR="002C086F" w:rsidRPr="00F953B6">
        <w:rPr>
          <w:rFonts w:asciiTheme="minorBidi" w:hAnsiTheme="minorBidi"/>
          <w:sz w:val="24"/>
          <w:szCs w:val="24"/>
        </w:rPr>
        <w:t>As</w:t>
      </w:r>
      <w:r w:rsidR="009B3EDF" w:rsidRPr="00F953B6">
        <w:rPr>
          <w:rFonts w:asciiTheme="minorBidi" w:hAnsiTheme="minorBidi"/>
          <w:sz w:val="24"/>
          <w:szCs w:val="24"/>
        </w:rPr>
        <w:t xml:space="preserve"> there are few rules</w:t>
      </w:r>
      <w:r w:rsidR="00B532D1" w:rsidRPr="00F953B6">
        <w:rPr>
          <w:rFonts w:asciiTheme="minorBidi" w:hAnsiTheme="minorBidi"/>
          <w:sz w:val="24"/>
          <w:szCs w:val="24"/>
        </w:rPr>
        <w:t xml:space="preserve"> </w:t>
      </w:r>
      <w:r w:rsidR="009B3EDF" w:rsidRPr="00F953B6">
        <w:rPr>
          <w:rFonts w:asciiTheme="minorBidi" w:hAnsiTheme="minorBidi"/>
          <w:sz w:val="24"/>
          <w:szCs w:val="24"/>
        </w:rPr>
        <w:t>to guide</w:t>
      </w:r>
      <w:r w:rsidR="002C086F" w:rsidRPr="00F953B6">
        <w:rPr>
          <w:rFonts w:asciiTheme="minorBidi" w:hAnsiTheme="minorBidi"/>
          <w:sz w:val="24"/>
          <w:szCs w:val="24"/>
        </w:rPr>
        <w:t xml:space="preserve"> j</w:t>
      </w:r>
      <w:r w:rsidR="00093AFE" w:rsidRPr="00F953B6">
        <w:rPr>
          <w:rFonts w:asciiTheme="minorBidi" w:hAnsiTheme="minorBidi"/>
          <w:sz w:val="24"/>
          <w:szCs w:val="24"/>
        </w:rPr>
        <w:t>udgment</w:t>
      </w:r>
      <w:r w:rsidR="002C086F" w:rsidRPr="00F953B6">
        <w:rPr>
          <w:rFonts w:asciiTheme="minorBidi" w:hAnsiTheme="minorBidi"/>
          <w:sz w:val="24"/>
          <w:szCs w:val="24"/>
        </w:rPr>
        <w:t xml:space="preserve"> </w:t>
      </w:r>
      <w:r w:rsidR="009B3EDF" w:rsidRPr="00F953B6">
        <w:rPr>
          <w:rFonts w:asciiTheme="minorBidi" w:hAnsiTheme="minorBidi"/>
          <w:sz w:val="24"/>
          <w:szCs w:val="24"/>
        </w:rPr>
        <w:t xml:space="preserve">that is </w:t>
      </w:r>
      <w:r w:rsidR="00DA2C91" w:rsidRPr="00F953B6">
        <w:rPr>
          <w:rFonts w:asciiTheme="minorBidi" w:hAnsiTheme="minorBidi"/>
          <w:sz w:val="24"/>
          <w:szCs w:val="24"/>
        </w:rPr>
        <w:t>by definition</w:t>
      </w:r>
      <w:r w:rsidR="00093AFE" w:rsidRPr="00F953B6">
        <w:rPr>
          <w:rFonts w:asciiTheme="minorBidi" w:hAnsiTheme="minorBidi"/>
          <w:sz w:val="24"/>
          <w:szCs w:val="24"/>
        </w:rPr>
        <w:t xml:space="preserve"> outside of </w:t>
      </w:r>
      <w:r w:rsidR="002C086F" w:rsidRPr="00F953B6">
        <w:rPr>
          <w:rFonts w:asciiTheme="minorBidi" w:hAnsiTheme="minorBidi"/>
          <w:sz w:val="24"/>
          <w:szCs w:val="24"/>
        </w:rPr>
        <w:t>an established framework</w:t>
      </w:r>
      <w:r w:rsidR="002F0794" w:rsidRPr="00F953B6">
        <w:rPr>
          <w:rFonts w:asciiTheme="minorBidi" w:hAnsiTheme="minorBidi"/>
          <w:sz w:val="24"/>
          <w:szCs w:val="24"/>
        </w:rPr>
        <w:t xml:space="preserve">, these </w:t>
      </w:r>
      <w:r w:rsidR="00924DA3" w:rsidRPr="00F953B6">
        <w:rPr>
          <w:rFonts w:asciiTheme="minorBidi" w:hAnsiTheme="minorBidi"/>
          <w:sz w:val="24"/>
          <w:szCs w:val="24"/>
        </w:rPr>
        <w:t xml:space="preserve">cases </w:t>
      </w:r>
      <w:r w:rsidR="002F0794" w:rsidRPr="00F953B6">
        <w:rPr>
          <w:rFonts w:asciiTheme="minorBidi" w:hAnsiTheme="minorBidi"/>
          <w:sz w:val="24"/>
          <w:szCs w:val="24"/>
        </w:rPr>
        <w:t xml:space="preserve">constitute further examples of </w:t>
      </w:r>
      <w:r w:rsidR="00B75319">
        <w:rPr>
          <w:rFonts w:asciiTheme="minorBidi" w:hAnsiTheme="minorBidi"/>
          <w:sz w:val="24"/>
          <w:szCs w:val="24"/>
        </w:rPr>
        <w:t xml:space="preserve">the </w:t>
      </w:r>
      <w:r w:rsidR="00E31CAF" w:rsidRPr="00F953B6">
        <w:rPr>
          <w:rFonts w:asciiTheme="minorBidi" w:hAnsiTheme="minorBidi"/>
          <w:sz w:val="24"/>
          <w:szCs w:val="24"/>
        </w:rPr>
        <w:t>halakhically endorsed</w:t>
      </w:r>
      <w:r w:rsidR="00DA2C91" w:rsidRPr="00F953B6">
        <w:rPr>
          <w:rFonts w:asciiTheme="minorBidi" w:hAnsiTheme="minorBidi"/>
          <w:sz w:val="24"/>
          <w:szCs w:val="24"/>
        </w:rPr>
        <w:t xml:space="preserve"> use of</w:t>
      </w:r>
      <w:r w:rsidR="00E31CAF" w:rsidRPr="00F953B6">
        <w:rPr>
          <w:rFonts w:asciiTheme="minorBidi" w:hAnsiTheme="minorBidi"/>
          <w:sz w:val="24"/>
          <w:szCs w:val="24"/>
        </w:rPr>
        <w:t xml:space="preserve"> moral intuition.</w:t>
      </w:r>
      <w:r w:rsidR="00C53027">
        <w:rPr>
          <w:rFonts w:asciiTheme="minorBidi" w:hAnsiTheme="minorBidi"/>
          <w:sz w:val="24"/>
          <w:szCs w:val="24"/>
        </w:rPr>
        <w:t xml:space="preserve"> </w:t>
      </w:r>
    </w:p>
    <w:p w14:paraId="72961091" w14:textId="77777777" w:rsidR="0076213A" w:rsidRPr="00F953B6" w:rsidRDefault="0076213A" w:rsidP="00D601D8">
      <w:pPr>
        <w:spacing w:after="0" w:line="240" w:lineRule="auto"/>
        <w:jc w:val="both"/>
        <w:rPr>
          <w:rFonts w:asciiTheme="minorBidi" w:hAnsiTheme="minorBidi"/>
          <w:b/>
          <w:bCs/>
          <w:sz w:val="24"/>
          <w:szCs w:val="24"/>
        </w:rPr>
      </w:pPr>
    </w:p>
    <w:p w14:paraId="72EB2DAE" w14:textId="7743CE6A" w:rsidR="00CE6E09" w:rsidRPr="00F953B6" w:rsidRDefault="00CE6E09"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In contrast to the </w:t>
      </w:r>
      <w:r w:rsidR="00C53027">
        <w:rPr>
          <w:rFonts w:asciiTheme="minorBidi" w:hAnsiTheme="minorBidi"/>
          <w:sz w:val="24"/>
          <w:szCs w:val="24"/>
        </w:rPr>
        <w:t xml:space="preserve">view of the </w:t>
      </w:r>
      <w:r w:rsidRPr="00F953B6">
        <w:rPr>
          <w:rFonts w:asciiTheme="minorBidi" w:hAnsiTheme="minorBidi"/>
          <w:sz w:val="24"/>
          <w:szCs w:val="24"/>
        </w:rPr>
        <w:t xml:space="preserve">Rambam, a celebrated passage in </w:t>
      </w:r>
      <w:r w:rsidR="00C53027" w:rsidRPr="00C53027">
        <w:rPr>
          <w:rFonts w:asciiTheme="minorBidi" w:hAnsiTheme="minorBidi"/>
          <w:i/>
          <w:sz w:val="24"/>
          <w:szCs w:val="24"/>
        </w:rPr>
        <w:t>Derashot</w:t>
      </w:r>
      <w:r w:rsidRPr="00F953B6">
        <w:rPr>
          <w:rFonts w:asciiTheme="minorBidi" w:hAnsiTheme="minorBidi"/>
          <w:i/>
          <w:iCs/>
          <w:sz w:val="24"/>
          <w:szCs w:val="24"/>
        </w:rPr>
        <w:t xml:space="preserve"> Ha-Ran</w:t>
      </w:r>
      <w:r w:rsidRPr="00F953B6">
        <w:rPr>
          <w:rFonts w:asciiTheme="minorBidi" w:hAnsiTheme="minorBidi"/>
          <w:sz w:val="24"/>
          <w:szCs w:val="24"/>
        </w:rPr>
        <w:t xml:space="preserve"> (#11) expands the king</w:t>
      </w:r>
      <w:r w:rsidR="000657CB">
        <w:rPr>
          <w:rFonts w:asciiTheme="minorBidi" w:hAnsiTheme="minorBidi"/>
          <w:sz w:val="24"/>
          <w:szCs w:val="24"/>
        </w:rPr>
        <w:t>’</w:t>
      </w:r>
      <w:r w:rsidRPr="00F953B6">
        <w:rPr>
          <w:rFonts w:asciiTheme="minorBidi" w:hAnsiTheme="minorBidi"/>
          <w:sz w:val="24"/>
          <w:szCs w:val="24"/>
        </w:rPr>
        <w:t>s legislative and judicial powers much further.</w:t>
      </w:r>
      <w:r w:rsidRPr="00F953B6">
        <w:rPr>
          <w:rStyle w:val="FootnoteReference"/>
          <w:rFonts w:asciiTheme="minorBidi" w:hAnsiTheme="minorBidi"/>
          <w:sz w:val="24"/>
          <w:szCs w:val="24"/>
        </w:rPr>
        <w:footnoteReference w:id="2"/>
      </w:r>
      <w:r w:rsidRPr="00F953B6">
        <w:rPr>
          <w:rFonts w:asciiTheme="minorBidi" w:hAnsiTheme="minorBidi"/>
          <w:sz w:val="24"/>
          <w:szCs w:val="24"/>
        </w:rPr>
        <w:t xml:space="preserve"> According to the Rambam, the king’s judicial powers stem from his responsibility to maintain the social order, but they are no more than a plug for when a criminal case falls through the cracks of the rabbinic court system. According to the Ran, however, this same mandate empowers the king to legislate and oversee a fully independent legal system that complements Torah law.</w:t>
      </w:r>
      <w:r w:rsidR="00C53027">
        <w:rPr>
          <w:rFonts w:asciiTheme="minorBidi" w:hAnsiTheme="minorBidi"/>
          <w:sz w:val="24"/>
          <w:szCs w:val="24"/>
        </w:rPr>
        <w:t xml:space="preserve"> </w:t>
      </w:r>
      <w:r w:rsidRPr="00F953B6">
        <w:rPr>
          <w:rFonts w:asciiTheme="minorBidi" w:hAnsiTheme="minorBidi"/>
          <w:sz w:val="24"/>
          <w:szCs w:val="24"/>
        </w:rPr>
        <w:t xml:space="preserve">The king is not a stopgap for justice, but a partner </w:t>
      </w:r>
      <w:r w:rsidR="000657CB">
        <w:rPr>
          <w:rFonts w:asciiTheme="minorBidi" w:hAnsiTheme="minorBidi"/>
          <w:sz w:val="24"/>
          <w:szCs w:val="24"/>
        </w:rPr>
        <w:t>with</w:t>
      </w:r>
      <w:r w:rsidRPr="00F953B6">
        <w:rPr>
          <w:rFonts w:asciiTheme="minorBidi" w:hAnsiTheme="minorBidi"/>
          <w:sz w:val="24"/>
          <w:szCs w:val="24"/>
        </w:rPr>
        <w:t xml:space="preserve"> the judges in regulating a civil society.</w:t>
      </w:r>
      <w:r w:rsidR="00C53027">
        <w:rPr>
          <w:rFonts w:asciiTheme="minorBidi" w:hAnsiTheme="minorBidi"/>
          <w:sz w:val="24"/>
          <w:szCs w:val="24"/>
        </w:rPr>
        <w:t xml:space="preserve"> </w:t>
      </w:r>
      <w:r w:rsidRPr="00F953B6">
        <w:rPr>
          <w:rFonts w:asciiTheme="minorBidi" w:hAnsiTheme="minorBidi"/>
          <w:sz w:val="24"/>
          <w:szCs w:val="24"/>
        </w:rPr>
        <w:t xml:space="preserve">This </w:t>
      </w:r>
      <w:r w:rsidRPr="00D20B49">
        <w:rPr>
          <w:rFonts w:asciiTheme="minorBidi" w:hAnsiTheme="minorBidi"/>
          <w:i/>
          <w:iCs/>
          <w:sz w:val="24"/>
          <w:szCs w:val="24"/>
        </w:rPr>
        <w:t>shiur</w:t>
      </w:r>
      <w:r w:rsidRPr="00F953B6">
        <w:rPr>
          <w:rFonts w:asciiTheme="minorBidi" w:hAnsiTheme="minorBidi"/>
          <w:sz w:val="24"/>
          <w:szCs w:val="24"/>
        </w:rPr>
        <w:t xml:space="preserve"> will analyze </w:t>
      </w:r>
      <w:r w:rsidR="00043ABA" w:rsidRPr="00F953B6">
        <w:rPr>
          <w:rFonts w:asciiTheme="minorBidi" w:hAnsiTheme="minorBidi"/>
          <w:sz w:val="24"/>
          <w:szCs w:val="24"/>
        </w:rPr>
        <w:t xml:space="preserve">his position </w:t>
      </w:r>
      <w:r w:rsidR="009871A7" w:rsidRPr="00F953B6">
        <w:rPr>
          <w:rFonts w:asciiTheme="minorBidi" w:hAnsiTheme="minorBidi"/>
          <w:sz w:val="24"/>
          <w:szCs w:val="24"/>
        </w:rPr>
        <w:t xml:space="preserve">and its implications for moral intuition </w:t>
      </w:r>
      <w:r w:rsidR="00541C92" w:rsidRPr="00F953B6">
        <w:rPr>
          <w:rFonts w:asciiTheme="minorBidi" w:hAnsiTheme="minorBidi"/>
          <w:sz w:val="24"/>
          <w:szCs w:val="24"/>
        </w:rPr>
        <w:t>within the halakhic system.</w:t>
      </w:r>
    </w:p>
    <w:p w14:paraId="65ACCAB0" w14:textId="77777777" w:rsidR="00CE6E09" w:rsidRPr="00F953B6" w:rsidRDefault="00CE6E09" w:rsidP="00D601D8">
      <w:pPr>
        <w:spacing w:after="0" w:line="240" w:lineRule="auto"/>
        <w:jc w:val="both"/>
        <w:rPr>
          <w:rFonts w:asciiTheme="minorBidi" w:hAnsiTheme="minorBidi"/>
          <w:sz w:val="24"/>
          <w:szCs w:val="24"/>
        </w:rPr>
      </w:pPr>
    </w:p>
    <w:p w14:paraId="70ACDEB7" w14:textId="6DE06D9E" w:rsidR="00596601" w:rsidRPr="00F953B6" w:rsidRDefault="00596601" w:rsidP="00D601D8">
      <w:pPr>
        <w:spacing w:after="0" w:line="240" w:lineRule="auto"/>
        <w:jc w:val="both"/>
        <w:rPr>
          <w:rFonts w:asciiTheme="minorBidi" w:hAnsiTheme="minorBidi"/>
          <w:b/>
          <w:bCs/>
          <w:sz w:val="24"/>
          <w:szCs w:val="24"/>
        </w:rPr>
      </w:pPr>
      <w:r w:rsidRPr="00F953B6">
        <w:rPr>
          <w:rFonts w:asciiTheme="minorBidi" w:hAnsiTheme="minorBidi"/>
          <w:b/>
          <w:bCs/>
          <w:sz w:val="24"/>
          <w:szCs w:val="24"/>
        </w:rPr>
        <w:t>Royal System of Justice?</w:t>
      </w:r>
    </w:p>
    <w:p w14:paraId="1FB30556" w14:textId="77777777" w:rsidR="00596601" w:rsidRPr="00F953B6" w:rsidRDefault="00596601" w:rsidP="00D601D8">
      <w:pPr>
        <w:spacing w:after="0" w:line="240" w:lineRule="auto"/>
        <w:jc w:val="both"/>
        <w:rPr>
          <w:rFonts w:asciiTheme="minorBidi" w:hAnsiTheme="minorBidi"/>
          <w:sz w:val="24"/>
          <w:szCs w:val="24"/>
        </w:rPr>
      </w:pPr>
    </w:p>
    <w:p w14:paraId="31E076DB" w14:textId="538F7ACC"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The</w:t>
      </w:r>
      <w:r w:rsidRPr="00F953B6">
        <w:rPr>
          <w:rFonts w:asciiTheme="minorBidi" w:hAnsiTheme="minorBidi"/>
          <w:sz w:val="24"/>
          <w:szCs w:val="24"/>
          <w:rtl/>
        </w:rPr>
        <w:t xml:space="preserve"> </w:t>
      </w:r>
      <w:r w:rsidRPr="00F953B6">
        <w:rPr>
          <w:rFonts w:asciiTheme="minorBidi" w:hAnsiTheme="minorBidi"/>
          <w:sz w:val="24"/>
          <w:szCs w:val="24"/>
        </w:rPr>
        <w:t xml:space="preserve">Ran’s </w:t>
      </w:r>
      <w:r w:rsidR="00851931" w:rsidRPr="00F953B6">
        <w:rPr>
          <w:rFonts w:asciiTheme="minorBidi" w:hAnsiTheme="minorBidi"/>
          <w:sz w:val="24"/>
          <w:szCs w:val="24"/>
        </w:rPr>
        <w:t>underlying</w:t>
      </w:r>
      <w:r w:rsidRPr="00F953B6">
        <w:rPr>
          <w:rFonts w:asciiTheme="minorBidi" w:hAnsiTheme="minorBidi"/>
          <w:sz w:val="24"/>
          <w:szCs w:val="24"/>
        </w:rPr>
        <w:t xml:space="preserve"> assumption is that Halakha was never meant to be a comprehensive, self-sufficient equivalent of or substitution for civil law.</w:t>
      </w:r>
      <w:r w:rsidR="00C53027">
        <w:rPr>
          <w:rFonts w:asciiTheme="minorBidi" w:hAnsiTheme="minorBidi"/>
          <w:sz w:val="24"/>
          <w:szCs w:val="24"/>
        </w:rPr>
        <w:t xml:space="preserve"> </w:t>
      </w:r>
      <w:r w:rsidRPr="00F953B6">
        <w:rPr>
          <w:rFonts w:asciiTheme="minorBidi" w:hAnsiTheme="minorBidi"/>
          <w:sz w:val="24"/>
          <w:szCs w:val="24"/>
        </w:rPr>
        <w:t>Halakha reflects a Heavenly, pure truth that infuses terrestrial life with echoes of the Divine, but it may not, in all its pristineness, address every regulatory need of a functioning society. To illustrate his point, the Ran draws upon the same loopholes in Jewish criminal law that the Rambam addresses</w:t>
      </w:r>
      <w:r w:rsidR="003057E5" w:rsidRPr="00F953B6">
        <w:rPr>
          <w:rFonts w:asciiTheme="minorBidi" w:hAnsiTheme="minorBidi"/>
          <w:sz w:val="24"/>
          <w:szCs w:val="24"/>
        </w:rPr>
        <w:t xml:space="preserve">, such as a lack of </w:t>
      </w:r>
      <w:r w:rsidR="00646452" w:rsidRPr="00F953B6">
        <w:rPr>
          <w:rFonts w:asciiTheme="minorBidi" w:hAnsiTheme="minorBidi"/>
          <w:sz w:val="24"/>
          <w:szCs w:val="24"/>
        </w:rPr>
        <w:t>prior warning (</w:t>
      </w:r>
      <w:r w:rsidR="00646452" w:rsidRPr="00F953B6">
        <w:rPr>
          <w:rFonts w:asciiTheme="minorBidi" w:hAnsiTheme="minorBidi"/>
          <w:i/>
          <w:iCs/>
          <w:sz w:val="24"/>
          <w:szCs w:val="24"/>
        </w:rPr>
        <w:t>hatra’a</w:t>
      </w:r>
      <w:r w:rsidR="00646452" w:rsidRPr="00F953B6">
        <w:rPr>
          <w:rFonts w:asciiTheme="minorBidi" w:hAnsiTheme="minorBidi"/>
          <w:sz w:val="24"/>
          <w:szCs w:val="24"/>
        </w:rPr>
        <w:t xml:space="preserve">) for </w:t>
      </w:r>
      <w:r w:rsidR="00737562">
        <w:rPr>
          <w:rFonts w:asciiTheme="minorBidi" w:hAnsiTheme="minorBidi"/>
          <w:sz w:val="24"/>
          <w:szCs w:val="24"/>
        </w:rPr>
        <w:t>a</w:t>
      </w:r>
      <w:r w:rsidR="00646452" w:rsidRPr="00F953B6">
        <w:rPr>
          <w:rFonts w:asciiTheme="minorBidi" w:hAnsiTheme="minorBidi"/>
          <w:sz w:val="24"/>
          <w:szCs w:val="24"/>
        </w:rPr>
        <w:t xml:space="preserve"> perpetrator</w:t>
      </w:r>
      <w:r w:rsidRPr="00F953B6">
        <w:rPr>
          <w:rFonts w:asciiTheme="minorBidi" w:hAnsiTheme="minorBidi"/>
          <w:sz w:val="24"/>
          <w:szCs w:val="24"/>
        </w:rPr>
        <w:t>.</w:t>
      </w:r>
      <w:r w:rsidR="00CF30F3" w:rsidRPr="00F953B6">
        <w:rPr>
          <w:rFonts w:asciiTheme="minorBidi" w:hAnsiTheme="minorBidi"/>
          <w:sz w:val="24"/>
          <w:szCs w:val="24"/>
        </w:rPr>
        <w:t xml:space="preserve"> </w:t>
      </w:r>
      <w:r w:rsidRPr="00F953B6">
        <w:rPr>
          <w:rFonts w:asciiTheme="minorBidi" w:hAnsiTheme="minorBidi"/>
          <w:sz w:val="24"/>
          <w:szCs w:val="24"/>
        </w:rPr>
        <w:t xml:space="preserve">It very well may be that absolute, </w:t>
      </w:r>
      <w:r w:rsidRPr="00F953B6">
        <w:rPr>
          <w:rFonts w:asciiTheme="minorBidi" w:hAnsiTheme="minorBidi"/>
          <w:sz w:val="24"/>
          <w:szCs w:val="24"/>
        </w:rPr>
        <w:lastRenderedPageBreak/>
        <w:t xml:space="preserve">transcendent truth cannot countenance capital punishment for anything less than explicit defiance of two witnesses who prewarn </w:t>
      </w:r>
      <w:r w:rsidR="00F4538A">
        <w:rPr>
          <w:rFonts w:asciiTheme="minorBidi" w:hAnsiTheme="minorBidi"/>
          <w:sz w:val="24"/>
          <w:szCs w:val="24"/>
        </w:rPr>
        <w:t>a</w:t>
      </w:r>
      <w:r w:rsidRPr="00F953B6">
        <w:rPr>
          <w:rFonts w:asciiTheme="minorBidi" w:hAnsiTheme="minorBidi"/>
          <w:sz w:val="24"/>
          <w:szCs w:val="24"/>
        </w:rPr>
        <w:t xml:space="preserve"> </w:t>
      </w:r>
      <w:r w:rsidR="006C2CDA" w:rsidRPr="00F953B6">
        <w:rPr>
          <w:rFonts w:asciiTheme="minorBidi" w:hAnsiTheme="minorBidi"/>
          <w:sz w:val="24"/>
          <w:szCs w:val="24"/>
        </w:rPr>
        <w:t xml:space="preserve">potential </w:t>
      </w:r>
      <w:r w:rsidR="003725E1" w:rsidRPr="00F953B6">
        <w:rPr>
          <w:rFonts w:asciiTheme="minorBidi" w:hAnsiTheme="minorBidi"/>
          <w:sz w:val="24"/>
          <w:szCs w:val="24"/>
        </w:rPr>
        <w:t>offender</w:t>
      </w:r>
      <w:r w:rsidRPr="00F953B6">
        <w:rPr>
          <w:rFonts w:asciiTheme="minorBidi" w:hAnsiTheme="minorBidi"/>
          <w:sz w:val="24"/>
          <w:szCs w:val="24"/>
        </w:rPr>
        <w:t xml:space="preserve"> of the consequence he or she will incur (see </w:t>
      </w:r>
      <w:r w:rsidRPr="00F953B6">
        <w:rPr>
          <w:rFonts w:asciiTheme="minorBidi" w:hAnsiTheme="minorBidi"/>
          <w:i/>
          <w:iCs/>
          <w:sz w:val="24"/>
          <w:szCs w:val="24"/>
        </w:rPr>
        <w:t>Sanhedrin</w:t>
      </w:r>
      <w:r w:rsidRPr="00F953B6">
        <w:rPr>
          <w:rFonts w:asciiTheme="minorBidi" w:hAnsiTheme="minorBidi"/>
          <w:sz w:val="24"/>
          <w:szCs w:val="24"/>
        </w:rPr>
        <w:t xml:space="preserve"> 40b). At the same time, it is inconceivable that Jewish society has no other way to rein in </w:t>
      </w:r>
      <w:r w:rsidR="00DE43E5" w:rsidRPr="00F953B6">
        <w:rPr>
          <w:rFonts w:asciiTheme="minorBidi" w:hAnsiTheme="minorBidi"/>
          <w:sz w:val="24"/>
          <w:szCs w:val="24"/>
        </w:rPr>
        <w:t>its criminals</w:t>
      </w:r>
      <w:r w:rsidRPr="00F953B6">
        <w:rPr>
          <w:rFonts w:asciiTheme="minorBidi" w:hAnsiTheme="minorBidi"/>
          <w:sz w:val="24"/>
          <w:szCs w:val="24"/>
        </w:rPr>
        <w:t>. Rather, a supplementary civil code</w:t>
      </w:r>
      <w:r w:rsidR="00C53027">
        <w:rPr>
          <w:rFonts w:asciiTheme="minorBidi" w:hAnsiTheme="minorBidi"/>
          <w:sz w:val="24"/>
          <w:szCs w:val="24"/>
        </w:rPr>
        <w:t xml:space="preserve"> — p</w:t>
      </w:r>
      <w:r w:rsidRPr="00F953B6">
        <w:rPr>
          <w:rFonts w:asciiTheme="minorBidi" w:hAnsiTheme="minorBidi"/>
          <w:sz w:val="24"/>
          <w:szCs w:val="24"/>
        </w:rPr>
        <w:t>arallel to those of other nations</w:t>
      </w:r>
      <w:r w:rsidR="00C53027">
        <w:rPr>
          <w:rFonts w:asciiTheme="minorBidi" w:hAnsiTheme="minorBidi"/>
          <w:sz w:val="24"/>
          <w:szCs w:val="24"/>
        </w:rPr>
        <w:t xml:space="preserve"> — w</w:t>
      </w:r>
      <w:r w:rsidRPr="00F953B6">
        <w:rPr>
          <w:rFonts w:asciiTheme="minorBidi" w:hAnsiTheme="minorBidi"/>
          <w:sz w:val="24"/>
          <w:szCs w:val="24"/>
        </w:rPr>
        <w:t>as always going to be necessary.</w:t>
      </w:r>
    </w:p>
    <w:p w14:paraId="0B3C7565" w14:textId="77777777" w:rsidR="00596601" w:rsidRPr="00F953B6" w:rsidRDefault="00596601" w:rsidP="00D601D8">
      <w:pPr>
        <w:spacing w:after="0" w:line="240" w:lineRule="auto"/>
        <w:jc w:val="both"/>
        <w:rPr>
          <w:rFonts w:asciiTheme="minorBidi" w:hAnsiTheme="minorBidi"/>
          <w:sz w:val="24"/>
          <w:szCs w:val="24"/>
        </w:rPr>
      </w:pPr>
    </w:p>
    <w:p w14:paraId="29706242" w14:textId="01C73CD4"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The Ran explains that these two legal systems</w:t>
      </w:r>
      <w:r w:rsidR="00C53027">
        <w:rPr>
          <w:rFonts w:asciiTheme="minorBidi" w:hAnsiTheme="minorBidi"/>
          <w:sz w:val="24"/>
          <w:szCs w:val="24"/>
        </w:rPr>
        <w:t xml:space="preserve"> — t</w:t>
      </w:r>
      <w:r w:rsidRPr="00F953B6">
        <w:rPr>
          <w:rFonts w:asciiTheme="minorBidi" w:hAnsiTheme="minorBidi"/>
          <w:sz w:val="24"/>
          <w:szCs w:val="24"/>
        </w:rPr>
        <w:t>he halakhic and the civil</w:t>
      </w:r>
      <w:r w:rsidR="00C53027">
        <w:rPr>
          <w:rFonts w:asciiTheme="minorBidi" w:hAnsiTheme="minorBidi"/>
          <w:sz w:val="24"/>
          <w:szCs w:val="24"/>
        </w:rPr>
        <w:t xml:space="preserve"> — a</w:t>
      </w:r>
      <w:r w:rsidRPr="00F953B6">
        <w:rPr>
          <w:rFonts w:asciiTheme="minorBidi" w:hAnsiTheme="minorBidi"/>
          <w:sz w:val="24"/>
          <w:szCs w:val="24"/>
        </w:rPr>
        <w:t>re entrusted to two different governing bodies:</w:t>
      </w:r>
    </w:p>
    <w:p w14:paraId="57764B27" w14:textId="77777777" w:rsidR="00596601" w:rsidRPr="00F953B6" w:rsidRDefault="00596601" w:rsidP="00D601D8">
      <w:pPr>
        <w:spacing w:after="0" w:line="240" w:lineRule="auto"/>
        <w:jc w:val="both"/>
        <w:rPr>
          <w:rFonts w:asciiTheme="minorBidi" w:hAnsiTheme="minorBidi"/>
          <w:sz w:val="24"/>
          <w:szCs w:val="24"/>
        </w:rPr>
      </w:pPr>
    </w:p>
    <w:p w14:paraId="702DF473" w14:textId="16A7D844" w:rsidR="00596601" w:rsidRPr="00F953B6" w:rsidRDefault="00596601"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God, may He be blessed, designated each one of these areas for a specific group.</w:t>
      </w:r>
      <w:r w:rsidR="00C53027">
        <w:rPr>
          <w:rFonts w:asciiTheme="minorBidi" w:hAnsiTheme="minorBidi"/>
          <w:sz w:val="24"/>
          <w:szCs w:val="24"/>
        </w:rPr>
        <w:t xml:space="preserve"> </w:t>
      </w:r>
      <w:r w:rsidRPr="00F953B6">
        <w:rPr>
          <w:rFonts w:asciiTheme="minorBidi" w:hAnsiTheme="minorBidi"/>
          <w:sz w:val="24"/>
          <w:szCs w:val="24"/>
        </w:rPr>
        <w:t>He commanded that judges should be appointed to adjudicate true, righteous justice, and that is what He said, “And they shall judge the nation with righteous judgment (</w:t>
      </w:r>
      <w:r w:rsidRPr="00F953B6">
        <w:rPr>
          <w:rFonts w:asciiTheme="minorBidi" w:hAnsiTheme="minorBidi"/>
          <w:i/>
          <w:iCs/>
          <w:sz w:val="24"/>
          <w:szCs w:val="24"/>
        </w:rPr>
        <w:t>mishpat-tzedek)</w:t>
      </w:r>
      <w:r w:rsidRPr="00F953B6">
        <w:rPr>
          <w:rFonts w:asciiTheme="minorBidi" w:hAnsiTheme="minorBidi"/>
          <w:sz w:val="24"/>
          <w:szCs w:val="24"/>
        </w:rPr>
        <w:t>” (</w:t>
      </w:r>
      <w:r w:rsidRPr="00F953B6">
        <w:rPr>
          <w:rFonts w:asciiTheme="minorBidi" w:hAnsiTheme="minorBidi"/>
          <w:i/>
          <w:iCs/>
          <w:sz w:val="24"/>
          <w:szCs w:val="24"/>
        </w:rPr>
        <w:t>Devarim</w:t>
      </w:r>
      <w:r w:rsidRPr="00F953B6">
        <w:rPr>
          <w:rFonts w:asciiTheme="minorBidi" w:hAnsiTheme="minorBidi"/>
          <w:sz w:val="24"/>
          <w:szCs w:val="24"/>
        </w:rPr>
        <w:t xml:space="preserve"> 16:18). That is, He came to explain over what domain are the judges appointed, and for what are they empowered</w:t>
      </w:r>
      <w:r w:rsidR="0094349C" w:rsidRPr="00F953B6">
        <w:rPr>
          <w:rFonts w:asciiTheme="minorBidi" w:hAnsiTheme="minorBidi"/>
          <w:sz w:val="24"/>
          <w:szCs w:val="24"/>
        </w:rPr>
        <w:t>;</w:t>
      </w:r>
      <w:r w:rsidRPr="00F953B6">
        <w:rPr>
          <w:rFonts w:asciiTheme="minorBidi" w:hAnsiTheme="minorBidi"/>
          <w:sz w:val="24"/>
          <w:szCs w:val="24"/>
        </w:rPr>
        <w:t xml:space="preserve"> and He said that the purpose of their appointment is to judge the nation with judgment that is </w:t>
      </w:r>
      <w:r w:rsidR="007A02EA" w:rsidRPr="00F953B6">
        <w:rPr>
          <w:rFonts w:asciiTheme="minorBidi" w:hAnsiTheme="minorBidi"/>
          <w:sz w:val="24"/>
          <w:szCs w:val="24"/>
        </w:rPr>
        <w:t xml:space="preserve">genuinely and </w:t>
      </w:r>
      <w:r w:rsidRPr="00F953B6">
        <w:rPr>
          <w:rFonts w:asciiTheme="minorBidi" w:hAnsiTheme="minorBidi"/>
          <w:sz w:val="24"/>
          <w:szCs w:val="24"/>
        </w:rPr>
        <w:t xml:space="preserve">fundamentally </w:t>
      </w:r>
      <w:r w:rsidR="007A02EA" w:rsidRPr="00F953B6">
        <w:rPr>
          <w:rFonts w:asciiTheme="minorBidi" w:hAnsiTheme="minorBidi"/>
          <w:sz w:val="24"/>
          <w:szCs w:val="24"/>
        </w:rPr>
        <w:t>righteous</w:t>
      </w:r>
      <w:r w:rsidR="00C53027">
        <w:rPr>
          <w:rFonts w:asciiTheme="minorBidi" w:hAnsiTheme="minorBidi"/>
          <w:sz w:val="24"/>
          <w:szCs w:val="24"/>
        </w:rPr>
        <w:t xml:space="preserve"> </w:t>
      </w:r>
      <w:r w:rsidRPr="00F953B6">
        <w:rPr>
          <w:rFonts w:asciiTheme="minorBidi" w:hAnsiTheme="minorBidi"/>
          <w:sz w:val="24"/>
          <w:szCs w:val="24"/>
        </w:rPr>
        <w:t>[=</w:t>
      </w:r>
      <w:r w:rsidR="00C53027">
        <w:rPr>
          <w:rFonts w:asciiTheme="minorBidi" w:hAnsiTheme="minorBidi"/>
          <w:sz w:val="24"/>
          <w:szCs w:val="24"/>
        </w:rPr>
        <w:t xml:space="preserve"> </w:t>
      </w:r>
      <w:r w:rsidRPr="00F953B6">
        <w:rPr>
          <w:rFonts w:asciiTheme="minorBidi" w:hAnsiTheme="minorBidi"/>
          <w:sz w:val="24"/>
          <w:szCs w:val="24"/>
        </w:rPr>
        <w:t xml:space="preserve">Halakha]; but their abilities do not </w:t>
      </w:r>
      <w:r w:rsidR="002B65C5" w:rsidRPr="00F953B6">
        <w:rPr>
          <w:rFonts w:asciiTheme="minorBidi" w:hAnsiTheme="minorBidi"/>
          <w:sz w:val="24"/>
          <w:szCs w:val="24"/>
        </w:rPr>
        <w:t>extend</w:t>
      </w:r>
      <w:r w:rsidRPr="00F953B6">
        <w:rPr>
          <w:rFonts w:asciiTheme="minorBidi" w:hAnsiTheme="minorBidi"/>
          <w:sz w:val="24"/>
          <w:szCs w:val="24"/>
        </w:rPr>
        <w:t xml:space="preserve"> beyond this.</w:t>
      </w:r>
      <w:r w:rsidR="00C53027">
        <w:rPr>
          <w:rFonts w:asciiTheme="minorBidi" w:hAnsiTheme="minorBidi"/>
          <w:sz w:val="24"/>
          <w:szCs w:val="24"/>
        </w:rPr>
        <w:t xml:space="preserve"> </w:t>
      </w:r>
      <w:r w:rsidRPr="00F953B6">
        <w:rPr>
          <w:rFonts w:asciiTheme="minorBidi" w:hAnsiTheme="minorBidi"/>
          <w:sz w:val="24"/>
          <w:szCs w:val="24"/>
        </w:rPr>
        <w:t xml:space="preserve">But because societal functioning will not </w:t>
      </w:r>
      <w:r w:rsidR="00545BD6" w:rsidRPr="00F953B6">
        <w:rPr>
          <w:rFonts w:asciiTheme="minorBidi" w:hAnsiTheme="minorBidi"/>
          <w:sz w:val="24"/>
          <w:szCs w:val="24"/>
        </w:rPr>
        <w:t>suffice with</w:t>
      </w:r>
      <w:r w:rsidRPr="00F953B6">
        <w:rPr>
          <w:rFonts w:asciiTheme="minorBidi" w:hAnsiTheme="minorBidi"/>
          <w:sz w:val="24"/>
          <w:szCs w:val="24"/>
        </w:rPr>
        <w:t xml:space="preserve"> this alone, God supplemented its maintenance through </w:t>
      </w:r>
      <w:r w:rsidR="00266D44" w:rsidRPr="00F953B6">
        <w:rPr>
          <w:rFonts w:asciiTheme="minorBidi" w:hAnsiTheme="minorBidi"/>
          <w:sz w:val="24"/>
          <w:szCs w:val="24"/>
        </w:rPr>
        <w:t>the king’s</w:t>
      </w:r>
      <w:r w:rsidRPr="00F953B6">
        <w:rPr>
          <w:rFonts w:asciiTheme="minorBidi" w:hAnsiTheme="minorBidi"/>
          <w:sz w:val="24"/>
          <w:szCs w:val="24"/>
        </w:rPr>
        <w:t xml:space="preserve"> justice.</w:t>
      </w:r>
    </w:p>
    <w:p w14:paraId="2E07E573" w14:textId="77777777" w:rsidR="00596601" w:rsidRPr="00F953B6" w:rsidRDefault="00596601" w:rsidP="00D601D8">
      <w:pPr>
        <w:spacing w:after="0" w:line="240" w:lineRule="auto"/>
        <w:jc w:val="both"/>
        <w:rPr>
          <w:rFonts w:asciiTheme="minorBidi" w:hAnsiTheme="minorBidi"/>
          <w:sz w:val="24"/>
          <w:szCs w:val="24"/>
        </w:rPr>
      </w:pPr>
    </w:p>
    <w:p w14:paraId="7FFA4869" w14:textId="357DB5BC"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Thus, the king is a universal figure, as all societies require regulation, while the judges are a distinctly Jewish construct who oversee the laws of our religious tradition: “It emerges that the appointment of a king is the same for Jews and for other nations, who all require societal functioning, but the appointment of judges is unique.”</w:t>
      </w:r>
      <w:r w:rsidR="00C53027">
        <w:rPr>
          <w:rFonts w:asciiTheme="minorBidi" w:hAnsiTheme="minorBidi"/>
          <w:sz w:val="24"/>
          <w:szCs w:val="24"/>
        </w:rPr>
        <w:t xml:space="preserve"> </w:t>
      </w:r>
    </w:p>
    <w:p w14:paraId="3FB8E9F8" w14:textId="77777777" w:rsidR="00596601" w:rsidRPr="00F953B6" w:rsidRDefault="00596601" w:rsidP="00D601D8">
      <w:pPr>
        <w:spacing w:after="0" w:line="240" w:lineRule="auto"/>
        <w:jc w:val="both"/>
        <w:rPr>
          <w:rFonts w:asciiTheme="minorBidi" w:hAnsiTheme="minorBidi"/>
          <w:sz w:val="24"/>
          <w:szCs w:val="24"/>
        </w:rPr>
      </w:pPr>
    </w:p>
    <w:p w14:paraId="33F49275" w14:textId="40207594"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In empowering the king, the Ran, on the one hand, contracts the reach of Halakha and its adjudicators; but, on the other, he </w:t>
      </w:r>
      <w:r w:rsidR="00842F4E" w:rsidRPr="00F953B6">
        <w:rPr>
          <w:rFonts w:asciiTheme="minorBidi" w:hAnsiTheme="minorBidi"/>
          <w:sz w:val="24"/>
          <w:szCs w:val="24"/>
        </w:rPr>
        <w:t>protects</w:t>
      </w:r>
      <w:r w:rsidRPr="00F953B6">
        <w:rPr>
          <w:rFonts w:asciiTheme="minorBidi" w:hAnsiTheme="minorBidi"/>
          <w:sz w:val="24"/>
          <w:szCs w:val="24"/>
        </w:rPr>
        <w:t xml:space="preserve"> its authentic character, as he understands it. To insist that Halakha answers all societal needs is to reduce parts of it to mere practicality. Rather, out of his deep respect for Halakha’s transcendent nature, the Ran prefers to delegate practical affairs to another authority</w:t>
      </w:r>
      <w:r w:rsidR="00B75319">
        <w:rPr>
          <w:rFonts w:asciiTheme="minorBidi" w:hAnsiTheme="minorBidi"/>
          <w:sz w:val="24"/>
          <w:szCs w:val="24"/>
        </w:rPr>
        <w:t xml:space="preserve"> — </w:t>
      </w:r>
      <w:r w:rsidRPr="00F953B6">
        <w:rPr>
          <w:rFonts w:asciiTheme="minorBidi" w:hAnsiTheme="minorBidi"/>
          <w:sz w:val="24"/>
          <w:szCs w:val="24"/>
        </w:rPr>
        <w:t>namely, the monarch. He adds:</w:t>
      </w:r>
    </w:p>
    <w:p w14:paraId="48A3514B" w14:textId="77777777" w:rsidR="00596601" w:rsidRPr="00F953B6" w:rsidRDefault="00596601" w:rsidP="00D601D8">
      <w:pPr>
        <w:spacing w:after="0" w:line="240" w:lineRule="auto"/>
        <w:jc w:val="both"/>
        <w:rPr>
          <w:rFonts w:asciiTheme="minorBidi" w:hAnsiTheme="minorBidi"/>
          <w:sz w:val="24"/>
          <w:szCs w:val="24"/>
          <w:rtl/>
        </w:rPr>
      </w:pPr>
    </w:p>
    <w:p w14:paraId="3C728C54" w14:textId="33934458" w:rsidR="00596601" w:rsidRPr="00F953B6" w:rsidRDefault="00596601"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It is possible that that which is better for the maintenance of societal functioning will be found in some of the laws of other nations more than in Torah law.</w:t>
      </w:r>
      <w:r w:rsidR="00C53027">
        <w:rPr>
          <w:rFonts w:asciiTheme="minorBidi" w:hAnsiTheme="minorBidi"/>
          <w:sz w:val="24"/>
          <w:szCs w:val="24"/>
        </w:rPr>
        <w:t xml:space="preserve"> </w:t>
      </w:r>
      <w:r w:rsidRPr="00F953B6">
        <w:rPr>
          <w:rFonts w:asciiTheme="minorBidi" w:hAnsiTheme="minorBidi"/>
          <w:sz w:val="24"/>
          <w:szCs w:val="24"/>
        </w:rPr>
        <w:t xml:space="preserve">But we lack nothing as a result, for whatever </w:t>
      </w:r>
      <w:r w:rsidR="00683D06" w:rsidRPr="00F953B6">
        <w:rPr>
          <w:rFonts w:asciiTheme="minorBidi" w:hAnsiTheme="minorBidi"/>
          <w:sz w:val="24"/>
          <w:szCs w:val="24"/>
        </w:rPr>
        <w:t>is</w:t>
      </w:r>
      <w:r w:rsidRPr="00F953B6">
        <w:rPr>
          <w:rFonts w:asciiTheme="minorBidi" w:hAnsiTheme="minorBidi"/>
          <w:sz w:val="24"/>
          <w:szCs w:val="24"/>
        </w:rPr>
        <w:t xml:space="preserve"> lacking regarding this maintenance, the king would make up for. But we have an advantage over them, that because they are fundamentally righteous</w:t>
      </w:r>
      <w:r w:rsidR="00C53027">
        <w:rPr>
          <w:rFonts w:asciiTheme="minorBidi" w:hAnsiTheme="minorBidi"/>
          <w:sz w:val="24"/>
          <w:szCs w:val="24"/>
        </w:rPr>
        <w:t xml:space="preserve"> — </w:t>
      </w:r>
      <w:r w:rsidRPr="00F953B6">
        <w:rPr>
          <w:rFonts w:asciiTheme="minorBidi" w:hAnsiTheme="minorBidi"/>
          <w:sz w:val="24"/>
          <w:szCs w:val="24"/>
        </w:rPr>
        <w:t>I mean, the laws of the Torah</w:t>
      </w:r>
      <w:r w:rsidR="00C53027">
        <w:rPr>
          <w:rFonts w:asciiTheme="minorBidi" w:hAnsiTheme="minorBidi"/>
          <w:sz w:val="24"/>
          <w:szCs w:val="24"/>
        </w:rPr>
        <w:t xml:space="preserve"> — a</w:t>
      </w:r>
      <w:r w:rsidRPr="00F953B6">
        <w:rPr>
          <w:rFonts w:asciiTheme="minorBidi" w:hAnsiTheme="minorBidi"/>
          <w:sz w:val="24"/>
          <w:szCs w:val="24"/>
        </w:rPr>
        <w:t xml:space="preserve">s Scripture says, “And they shall judge the nation with </w:t>
      </w:r>
      <w:r w:rsidRPr="00F953B6">
        <w:rPr>
          <w:rFonts w:asciiTheme="minorBidi" w:hAnsiTheme="minorBidi"/>
          <w:i/>
          <w:iCs/>
          <w:sz w:val="24"/>
          <w:szCs w:val="24"/>
        </w:rPr>
        <w:t>mishpat-tzedek</w:t>
      </w:r>
      <w:r w:rsidRPr="00F953B6">
        <w:rPr>
          <w:rFonts w:asciiTheme="minorBidi" w:hAnsiTheme="minorBidi"/>
          <w:sz w:val="24"/>
          <w:szCs w:val="24"/>
        </w:rPr>
        <w:t xml:space="preserve">,” it will follow that the Divine overflow will attach </w:t>
      </w:r>
      <w:r w:rsidR="00541219" w:rsidRPr="00F953B6">
        <w:rPr>
          <w:rFonts w:asciiTheme="minorBidi" w:hAnsiTheme="minorBidi"/>
          <w:sz w:val="24"/>
          <w:szCs w:val="24"/>
        </w:rPr>
        <w:t xml:space="preserve">to </w:t>
      </w:r>
      <w:r w:rsidRPr="00F953B6">
        <w:rPr>
          <w:rFonts w:asciiTheme="minorBidi" w:hAnsiTheme="minorBidi"/>
          <w:sz w:val="24"/>
          <w:szCs w:val="24"/>
        </w:rPr>
        <w:t xml:space="preserve">and settle upon us. </w:t>
      </w:r>
    </w:p>
    <w:p w14:paraId="117E4371" w14:textId="77777777" w:rsidR="00596601" w:rsidRPr="002C0E23" w:rsidRDefault="00596601" w:rsidP="00D601D8">
      <w:pPr>
        <w:spacing w:after="0" w:line="240" w:lineRule="auto"/>
        <w:rPr>
          <w:rFonts w:asciiTheme="minorBidi" w:hAnsiTheme="minorBidi"/>
          <w:sz w:val="24"/>
          <w:szCs w:val="24"/>
        </w:rPr>
      </w:pPr>
    </w:p>
    <w:p w14:paraId="33EE001F" w14:textId="33B1ACE0" w:rsidR="00596601" w:rsidRPr="00F953B6" w:rsidRDefault="00DF0397" w:rsidP="00D601D8">
      <w:pPr>
        <w:spacing w:after="0" w:line="240" w:lineRule="auto"/>
        <w:jc w:val="both"/>
        <w:rPr>
          <w:rFonts w:asciiTheme="minorBidi" w:hAnsiTheme="minorBidi"/>
          <w:sz w:val="24"/>
          <w:szCs w:val="24"/>
        </w:rPr>
      </w:pPr>
      <w:r w:rsidRPr="00F953B6">
        <w:rPr>
          <w:rFonts w:asciiTheme="minorBidi" w:hAnsiTheme="minorBidi"/>
          <w:sz w:val="24"/>
          <w:szCs w:val="24"/>
        </w:rPr>
        <w:lastRenderedPageBreak/>
        <w:t>Thus,</w:t>
      </w:r>
      <w:r w:rsidR="00596601" w:rsidRPr="00F953B6">
        <w:rPr>
          <w:rFonts w:asciiTheme="minorBidi" w:hAnsiTheme="minorBidi"/>
          <w:sz w:val="24"/>
          <w:szCs w:val="24"/>
        </w:rPr>
        <w:t xml:space="preserve"> the Ran unflinchingly liberates Torah law from having to compete with other legal codes. Halakha’s strength lies squarely in its spiritual qualities, and it self-consciously calls for a civilian political leader to make up for its omissions.</w:t>
      </w:r>
      <w:r w:rsidR="00C53027">
        <w:rPr>
          <w:rFonts w:asciiTheme="minorBidi" w:hAnsiTheme="minorBidi"/>
          <w:sz w:val="24"/>
          <w:szCs w:val="24"/>
        </w:rPr>
        <w:t xml:space="preserve"> </w:t>
      </w:r>
    </w:p>
    <w:p w14:paraId="4C877655" w14:textId="77777777" w:rsidR="00596601" w:rsidRPr="00F953B6" w:rsidRDefault="00596601" w:rsidP="00D601D8">
      <w:pPr>
        <w:spacing w:after="0" w:line="240" w:lineRule="auto"/>
        <w:rPr>
          <w:rFonts w:asciiTheme="minorBidi" w:hAnsiTheme="minorBidi"/>
          <w:sz w:val="24"/>
          <w:szCs w:val="24"/>
        </w:rPr>
      </w:pPr>
    </w:p>
    <w:p w14:paraId="65452514" w14:textId="77777777" w:rsidR="00596601" w:rsidRPr="00F953B6" w:rsidRDefault="00596601" w:rsidP="00D601D8">
      <w:pPr>
        <w:spacing w:after="0" w:line="240" w:lineRule="auto"/>
        <w:rPr>
          <w:rFonts w:asciiTheme="minorBidi" w:hAnsiTheme="minorBidi"/>
          <w:b/>
          <w:bCs/>
          <w:i/>
          <w:iCs/>
          <w:sz w:val="24"/>
          <w:szCs w:val="24"/>
        </w:rPr>
      </w:pPr>
      <w:r w:rsidRPr="00F953B6">
        <w:rPr>
          <w:rFonts w:asciiTheme="minorBidi" w:hAnsiTheme="minorBidi"/>
          <w:b/>
          <w:bCs/>
          <w:sz w:val="24"/>
          <w:szCs w:val="24"/>
        </w:rPr>
        <w:t xml:space="preserve">Implications of </w:t>
      </w:r>
      <w:r w:rsidRPr="00F953B6">
        <w:rPr>
          <w:rFonts w:asciiTheme="minorBidi" w:hAnsiTheme="minorBidi"/>
          <w:b/>
          <w:bCs/>
          <w:i/>
          <w:iCs/>
          <w:sz w:val="24"/>
          <w:szCs w:val="24"/>
        </w:rPr>
        <w:t>Derashot Ha-Ran</w:t>
      </w:r>
    </w:p>
    <w:p w14:paraId="28AC5F63" w14:textId="77777777" w:rsidR="00596601" w:rsidRPr="00F953B6" w:rsidRDefault="00596601" w:rsidP="00D601D8">
      <w:pPr>
        <w:spacing w:after="0" w:line="240" w:lineRule="auto"/>
        <w:rPr>
          <w:rFonts w:asciiTheme="minorBidi" w:hAnsiTheme="minorBidi"/>
          <w:b/>
          <w:bCs/>
          <w:sz w:val="24"/>
          <w:szCs w:val="24"/>
        </w:rPr>
      </w:pPr>
    </w:p>
    <w:p w14:paraId="78978D15" w14:textId="5DAB1443" w:rsidR="002549F7"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The Ran’s theory of </w:t>
      </w:r>
      <w:r w:rsidR="006A0ABD" w:rsidRPr="00F953B6">
        <w:rPr>
          <w:rFonts w:asciiTheme="minorBidi" w:hAnsiTheme="minorBidi"/>
          <w:sz w:val="24"/>
          <w:szCs w:val="24"/>
        </w:rPr>
        <w:t>royal justice</w:t>
      </w:r>
      <w:r w:rsidRPr="00F953B6">
        <w:rPr>
          <w:rFonts w:asciiTheme="minorBidi" w:hAnsiTheme="minorBidi"/>
          <w:sz w:val="24"/>
          <w:szCs w:val="24"/>
        </w:rPr>
        <w:t xml:space="preserve">, in contrast to the Rambam’s more conservative </w:t>
      </w:r>
      <w:r w:rsidR="006A0ABD" w:rsidRPr="00F953B6">
        <w:rPr>
          <w:rFonts w:asciiTheme="minorBidi" w:hAnsiTheme="minorBidi"/>
          <w:sz w:val="24"/>
          <w:szCs w:val="24"/>
        </w:rPr>
        <w:t>notion</w:t>
      </w:r>
      <w:r w:rsidRPr="00F953B6">
        <w:rPr>
          <w:rFonts w:asciiTheme="minorBidi" w:hAnsiTheme="minorBidi"/>
          <w:sz w:val="24"/>
          <w:szCs w:val="24"/>
        </w:rPr>
        <w:t xml:space="preserve">, is original, bold, and far-reaching, and later authorities </w:t>
      </w:r>
      <w:r w:rsidR="007C2B26" w:rsidRPr="00F953B6">
        <w:rPr>
          <w:rFonts w:asciiTheme="minorBidi" w:hAnsiTheme="minorBidi"/>
          <w:sz w:val="24"/>
          <w:szCs w:val="24"/>
        </w:rPr>
        <w:t>d</w:t>
      </w:r>
      <w:r w:rsidR="00B55467" w:rsidRPr="00F953B6">
        <w:rPr>
          <w:rFonts w:asciiTheme="minorBidi" w:hAnsiTheme="minorBidi"/>
          <w:sz w:val="24"/>
          <w:szCs w:val="24"/>
        </w:rPr>
        <w:t>o</w:t>
      </w:r>
      <w:r w:rsidR="007C2B26" w:rsidRPr="00F953B6">
        <w:rPr>
          <w:rFonts w:asciiTheme="minorBidi" w:hAnsiTheme="minorBidi"/>
          <w:sz w:val="24"/>
          <w:szCs w:val="24"/>
        </w:rPr>
        <w:t xml:space="preserve"> not </w:t>
      </w:r>
      <w:r w:rsidR="003342BD">
        <w:rPr>
          <w:rFonts w:asciiTheme="minorBidi" w:hAnsiTheme="minorBidi"/>
          <w:sz w:val="24"/>
          <w:szCs w:val="24"/>
        </w:rPr>
        <w:t>universally</w:t>
      </w:r>
      <w:r w:rsidR="003342BD" w:rsidRPr="00F953B6">
        <w:rPr>
          <w:rFonts w:asciiTheme="minorBidi" w:hAnsiTheme="minorBidi"/>
          <w:sz w:val="24"/>
          <w:szCs w:val="24"/>
        </w:rPr>
        <w:t xml:space="preserve"> </w:t>
      </w:r>
      <w:r w:rsidR="007C2B26" w:rsidRPr="00F953B6">
        <w:rPr>
          <w:rFonts w:asciiTheme="minorBidi" w:hAnsiTheme="minorBidi"/>
          <w:sz w:val="24"/>
          <w:szCs w:val="24"/>
        </w:rPr>
        <w:t>embrace it</w:t>
      </w:r>
      <w:r w:rsidR="006A0ABD" w:rsidRPr="00F953B6">
        <w:rPr>
          <w:rFonts w:asciiTheme="minorBidi" w:hAnsiTheme="minorBidi"/>
          <w:sz w:val="24"/>
          <w:szCs w:val="24"/>
        </w:rPr>
        <w:t xml:space="preserve">. </w:t>
      </w:r>
      <w:r w:rsidR="00B55467" w:rsidRPr="00F953B6">
        <w:rPr>
          <w:rFonts w:asciiTheme="minorBidi" w:hAnsiTheme="minorBidi"/>
          <w:sz w:val="24"/>
          <w:szCs w:val="24"/>
        </w:rPr>
        <w:t xml:space="preserve">For example, </w:t>
      </w:r>
      <w:r w:rsidRPr="00F953B6">
        <w:rPr>
          <w:rFonts w:asciiTheme="minorBidi" w:hAnsiTheme="minorBidi"/>
          <w:sz w:val="24"/>
          <w:szCs w:val="24"/>
        </w:rPr>
        <w:t>R. Yitzhak Abarbanel (</w:t>
      </w:r>
      <w:r w:rsidRPr="00F953B6">
        <w:rPr>
          <w:rFonts w:asciiTheme="minorBidi" w:hAnsiTheme="minorBidi"/>
          <w:i/>
          <w:iCs/>
          <w:sz w:val="24"/>
          <w:szCs w:val="24"/>
        </w:rPr>
        <w:t>Devarim</w:t>
      </w:r>
      <w:r w:rsidRPr="00F953B6">
        <w:rPr>
          <w:rFonts w:asciiTheme="minorBidi" w:hAnsiTheme="minorBidi"/>
          <w:sz w:val="24"/>
          <w:szCs w:val="24"/>
        </w:rPr>
        <w:t xml:space="preserve"> 17:14 and Introduction to </w:t>
      </w:r>
      <w:r w:rsidRPr="00F953B6">
        <w:rPr>
          <w:rFonts w:asciiTheme="minorBidi" w:hAnsiTheme="minorBidi"/>
          <w:i/>
          <w:iCs/>
          <w:sz w:val="24"/>
          <w:szCs w:val="24"/>
        </w:rPr>
        <w:t>Shofetim</w:t>
      </w:r>
      <w:r w:rsidRPr="00F953B6">
        <w:rPr>
          <w:rFonts w:asciiTheme="minorBidi" w:hAnsiTheme="minorBidi"/>
          <w:sz w:val="24"/>
          <w:szCs w:val="24"/>
        </w:rPr>
        <w:t>) and R. Yeshaya Horowitz (</w:t>
      </w:r>
      <w:r w:rsidRPr="00F953B6">
        <w:rPr>
          <w:rFonts w:asciiTheme="minorBidi" w:hAnsiTheme="minorBidi"/>
          <w:i/>
          <w:sz w:val="24"/>
          <w:szCs w:val="24"/>
        </w:rPr>
        <w:t>Shela</w:t>
      </w:r>
      <w:r w:rsidRPr="00F953B6">
        <w:rPr>
          <w:rFonts w:asciiTheme="minorBidi" w:hAnsiTheme="minorBidi"/>
          <w:sz w:val="24"/>
          <w:szCs w:val="24"/>
        </w:rPr>
        <w:t xml:space="preserve">, </w:t>
      </w:r>
      <w:r w:rsidRPr="00F953B6">
        <w:rPr>
          <w:rFonts w:asciiTheme="minorBidi" w:hAnsiTheme="minorBidi"/>
          <w:i/>
          <w:iCs/>
          <w:sz w:val="24"/>
          <w:szCs w:val="24"/>
        </w:rPr>
        <w:t>Shofetim</w:t>
      </w:r>
      <w:r w:rsidRPr="00F953B6">
        <w:rPr>
          <w:rFonts w:asciiTheme="minorBidi" w:hAnsiTheme="minorBidi"/>
          <w:sz w:val="24"/>
          <w:szCs w:val="24"/>
        </w:rPr>
        <w:t xml:space="preserve">, 3) both restrict the king’s intervention to exceptional cases, </w:t>
      </w:r>
      <w:r w:rsidR="00B75319">
        <w:rPr>
          <w:rFonts w:asciiTheme="minorBidi" w:hAnsiTheme="minorBidi"/>
          <w:sz w:val="24"/>
          <w:szCs w:val="24"/>
        </w:rPr>
        <w:t xml:space="preserve">as </w:t>
      </w:r>
      <w:r w:rsidRPr="00F953B6">
        <w:rPr>
          <w:rFonts w:asciiTheme="minorBidi" w:hAnsiTheme="minorBidi"/>
          <w:sz w:val="24"/>
          <w:szCs w:val="24"/>
        </w:rPr>
        <w:t>the Rambam</w:t>
      </w:r>
      <w:r w:rsidR="00B75319">
        <w:rPr>
          <w:rFonts w:asciiTheme="minorBidi" w:hAnsiTheme="minorBidi"/>
          <w:sz w:val="24"/>
          <w:szCs w:val="24"/>
        </w:rPr>
        <w:t xml:space="preserve"> does</w:t>
      </w:r>
      <w:r w:rsidRPr="00F953B6">
        <w:rPr>
          <w:rFonts w:asciiTheme="minorBidi" w:hAnsiTheme="minorBidi"/>
          <w:sz w:val="24"/>
          <w:szCs w:val="24"/>
        </w:rPr>
        <w:t>.</w:t>
      </w:r>
      <w:r w:rsidRPr="00F953B6">
        <w:rPr>
          <w:rStyle w:val="FootnoteReference"/>
          <w:rFonts w:asciiTheme="minorBidi" w:hAnsiTheme="minorBidi"/>
          <w:sz w:val="24"/>
          <w:szCs w:val="24"/>
        </w:rPr>
        <w:footnoteReference w:id="3"/>
      </w:r>
      <w:r w:rsidR="00C53027">
        <w:rPr>
          <w:rFonts w:asciiTheme="minorBidi" w:hAnsiTheme="minorBidi"/>
          <w:sz w:val="24"/>
          <w:szCs w:val="24"/>
        </w:rPr>
        <w:t xml:space="preserve"> </w:t>
      </w:r>
    </w:p>
    <w:p w14:paraId="19517221" w14:textId="77777777" w:rsidR="002549F7" w:rsidRPr="00F953B6" w:rsidRDefault="002549F7" w:rsidP="00D601D8">
      <w:pPr>
        <w:spacing w:after="0" w:line="240" w:lineRule="auto"/>
        <w:jc w:val="both"/>
        <w:rPr>
          <w:rFonts w:asciiTheme="minorBidi" w:hAnsiTheme="minorBidi"/>
          <w:sz w:val="24"/>
          <w:szCs w:val="24"/>
        </w:rPr>
      </w:pPr>
    </w:p>
    <w:p w14:paraId="08683665" w14:textId="7566B328" w:rsidR="002549F7"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In modern times, the question of the authority of political leadership resurfaced in anticipation of the founding of a Jewish state. In a bold 192</w:t>
      </w:r>
      <w:r w:rsidR="000D67BC" w:rsidRPr="00F953B6">
        <w:rPr>
          <w:rFonts w:asciiTheme="minorBidi" w:hAnsiTheme="minorBidi"/>
          <w:sz w:val="24"/>
          <w:szCs w:val="24"/>
        </w:rPr>
        <w:t>2</w:t>
      </w:r>
      <w:r w:rsidRPr="00F953B6">
        <w:rPr>
          <w:rFonts w:asciiTheme="minorBidi" w:hAnsiTheme="minorBidi"/>
          <w:sz w:val="24"/>
          <w:szCs w:val="24"/>
        </w:rPr>
        <w:t xml:space="preserve"> essay, R. Reuven Margolies argues in favor of broad powers for a king and his appointees from a combination of history and logic, though with only passing reference to </w:t>
      </w:r>
      <w:r w:rsidR="00C53027" w:rsidRPr="00C53027">
        <w:rPr>
          <w:rFonts w:asciiTheme="minorBidi" w:hAnsiTheme="minorBidi"/>
          <w:i/>
          <w:sz w:val="24"/>
          <w:szCs w:val="24"/>
        </w:rPr>
        <w:t>Derashot</w:t>
      </w:r>
      <w:r w:rsidRPr="00F953B6">
        <w:rPr>
          <w:rFonts w:asciiTheme="minorBidi" w:hAnsiTheme="minorBidi"/>
          <w:i/>
          <w:iCs/>
          <w:sz w:val="24"/>
          <w:szCs w:val="24"/>
        </w:rPr>
        <w:t xml:space="preserve"> Ha-Ran</w:t>
      </w:r>
      <w:r w:rsidRPr="00F953B6">
        <w:rPr>
          <w:rFonts w:asciiTheme="minorBidi" w:hAnsiTheme="minorBidi"/>
          <w:sz w:val="24"/>
          <w:szCs w:val="24"/>
        </w:rPr>
        <w:t>.</w:t>
      </w:r>
      <w:r w:rsidRPr="00F953B6">
        <w:rPr>
          <w:rStyle w:val="FootnoteReference"/>
          <w:rFonts w:asciiTheme="minorBidi" w:hAnsiTheme="minorBidi"/>
          <w:sz w:val="24"/>
          <w:szCs w:val="24"/>
        </w:rPr>
        <w:footnoteReference w:id="4"/>
      </w:r>
      <w:r w:rsidRPr="00F953B6">
        <w:rPr>
          <w:rFonts w:asciiTheme="minorBidi" w:hAnsiTheme="minorBidi"/>
          <w:sz w:val="24"/>
          <w:szCs w:val="24"/>
        </w:rPr>
        <w:t xml:space="preserve"> R. Chaim Ozer Grodzinski, in a 1938 letter to Chief Rabbi Yitzhak Isaac Ha-Levi Herzog, </w:t>
      </w:r>
      <w:r w:rsidR="000708B3">
        <w:rPr>
          <w:rFonts w:asciiTheme="minorBidi" w:hAnsiTheme="minorBidi"/>
          <w:sz w:val="24"/>
          <w:szCs w:val="24"/>
        </w:rPr>
        <w:t>invokes</w:t>
      </w:r>
      <w:r w:rsidRPr="00F953B6">
        <w:rPr>
          <w:rFonts w:asciiTheme="minorBidi" w:hAnsiTheme="minorBidi"/>
          <w:sz w:val="24"/>
          <w:szCs w:val="24"/>
        </w:rPr>
        <w:t xml:space="preserve"> </w:t>
      </w:r>
      <w:r w:rsidR="00C53027" w:rsidRPr="00C53027">
        <w:rPr>
          <w:rFonts w:asciiTheme="minorBidi" w:hAnsiTheme="minorBidi"/>
          <w:i/>
          <w:sz w:val="24"/>
          <w:szCs w:val="24"/>
        </w:rPr>
        <w:t>Derashot</w:t>
      </w:r>
      <w:r w:rsidRPr="00F953B6">
        <w:rPr>
          <w:rFonts w:asciiTheme="minorBidi" w:hAnsiTheme="minorBidi"/>
          <w:i/>
          <w:iCs/>
          <w:sz w:val="24"/>
          <w:szCs w:val="24"/>
        </w:rPr>
        <w:t xml:space="preserve"> Ha-Ran</w:t>
      </w:r>
      <w:r w:rsidRPr="00F953B6">
        <w:rPr>
          <w:rFonts w:asciiTheme="minorBidi" w:hAnsiTheme="minorBidi"/>
          <w:sz w:val="24"/>
          <w:szCs w:val="24"/>
        </w:rPr>
        <w:t xml:space="preserve"> as a basis for non-halakhic policies in a new state, though he couples it to the principle of “punishment not according to Torah” (</w:t>
      </w:r>
      <w:r w:rsidR="00915AA4" w:rsidRPr="00915AA4">
        <w:rPr>
          <w:rFonts w:asciiTheme="minorBidi" w:hAnsiTheme="minorBidi"/>
          <w:i/>
          <w:iCs/>
          <w:sz w:val="24"/>
          <w:szCs w:val="24"/>
        </w:rPr>
        <w:t>Techuka Le-Yisrael al pi Ha-Torah</w:t>
      </w:r>
      <w:r w:rsidRPr="004C1E13">
        <w:rPr>
          <w:rFonts w:asciiTheme="minorBidi" w:hAnsiTheme="minorBidi"/>
          <w:sz w:val="24"/>
          <w:szCs w:val="24"/>
        </w:rPr>
        <w:t>, Vol. 2, 75n)</w:t>
      </w:r>
      <w:r w:rsidRPr="00F953B6">
        <w:rPr>
          <w:rFonts w:asciiTheme="minorBidi" w:hAnsiTheme="minorBidi"/>
          <w:sz w:val="24"/>
          <w:szCs w:val="24"/>
        </w:rPr>
        <w:t>; R. Shlomo Goren, in a 1948 newspaper article, does the same.</w:t>
      </w:r>
      <w:r w:rsidRPr="00F953B6">
        <w:rPr>
          <w:rStyle w:val="FootnoteReference"/>
          <w:rFonts w:asciiTheme="minorBidi" w:hAnsiTheme="minorBidi"/>
          <w:sz w:val="24"/>
          <w:szCs w:val="24"/>
        </w:rPr>
        <w:footnoteReference w:id="5"/>
      </w:r>
      <w:r w:rsidRPr="00F953B6">
        <w:rPr>
          <w:rFonts w:asciiTheme="minorBidi" w:hAnsiTheme="minorBidi"/>
          <w:sz w:val="24"/>
          <w:szCs w:val="24"/>
        </w:rPr>
        <w:t xml:space="preserve"> </w:t>
      </w:r>
    </w:p>
    <w:p w14:paraId="69036E88" w14:textId="77777777" w:rsidR="002549F7" w:rsidRPr="00F953B6" w:rsidRDefault="002549F7" w:rsidP="00D601D8">
      <w:pPr>
        <w:spacing w:after="0" w:line="240" w:lineRule="auto"/>
        <w:jc w:val="both"/>
        <w:rPr>
          <w:rFonts w:asciiTheme="minorBidi" w:hAnsiTheme="minorBidi"/>
          <w:sz w:val="24"/>
          <w:szCs w:val="24"/>
        </w:rPr>
      </w:pPr>
    </w:p>
    <w:p w14:paraId="3C59BFCA" w14:textId="6C89924F"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R. Herzog, on the other hand, raises several concerns about the Ran’s model and strongly opposes relying upon it (</w:t>
      </w:r>
      <w:r w:rsidR="00961445" w:rsidRPr="00915AA4">
        <w:rPr>
          <w:rFonts w:asciiTheme="minorBidi" w:hAnsiTheme="minorBidi"/>
          <w:i/>
          <w:iCs/>
          <w:sz w:val="24"/>
          <w:szCs w:val="24"/>
        </w:rPr>
        <w:t>Techuka Le-Yisrael</w:t>
      </w:r>
      <w:r w:rsidRPr="00961445">
        <w:rPr>
          <w:rFonts w:asciiTheme="minorBidi" w:hAnsiTheme="minorBidi"/>
          <w:sz w:val="24"/>
          <w:szCs w:val="24"/>
        </w:rPr>
        <w:t>, Vol. 1, 166-169 and Vol. 2, 75-83)</w:t>
      </w:r>
      <w:r w:rsidRPr="00F953B6">
        <w:rPr>
          <w:rFonts w:asciiTheme="minorBidi" w:hAnsiTheme="minorBidi"/>
          <w:sz w:val="24"/>
          <w:szCs w:val="24"/>
        </w:rPr>
        <w:t>. He concludes, “The bottom line is that it is very difficult to erect a stable structure on these words of the Ran</w:t>
      </w:r>
      <w:r w:rsidR="00C53027">
        <w:rPr>
          <w:rFonts w:asciiTheme="minorBidi" w:hAnsiTheme="minorBidi"/>
          <w:sz w:val="24"/>
          <w:szCs w:val="24"/>
        </w:rPr>
        <w:t>”</w:t>
      </w:r>
      <w:r w:rsidRPr="00F953B6">
        <w:rPr>
          <w:rFonts w:asciiTheme="minorBidi" w:hAnsiTheme="minorBidi"/>
          <w:sz w:val="24"/>
          <w:szCs w:val="24"/>
        </w:rPr>
        <w:t xml:space="preserve"> (Vol. 1, 167).</w:t>
      </w:r>
      <w:r w:rsidR="00F25DFF" w:rsidRPr="00F953B6">
        <w:rPr>
          <w:rStyle w:val="FootnoteReference"/>
          <w:rFonts w:asciiTheme="minorBidi" w:hAnsiTheme="minorBidi"/>
          <w:sz w:val="24"/>
          <w:szCs w:val="24"/>
        </w:rPr>
        <w:footnoteReference w:id="6"/>
      </w:r>
    </w:p>
    <w:p w14:paraId="5A1F7868" w14:textId="77777777" w:rsidR="00596601" w:rsidRPr="00F953B6" w:rsidRDefault="00596601" w:rsidP="00D601D8">
      <w:pPr>
        <w:spacing w:after="0" w:line="240" w:lineRule="auto"/>
        <w:jc w:val="both"/>
        <w:rPr>
          <w:rFonts w:asciiTheme="minorBidi" w:hAnsiTheme="minorBidi"/>
          <w:sz w:val="24"/>
          <w:szCs w:val="24"/>
        </w:rPr>
      </w:pPr>
    </w:p>
    <w:p w14:paraId="045B0753" w14:textId="3335991A"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Whether or not we implement the Ran’s theory in practice, his voice is certainly a part of the conversation, and thus I think we can learn several points from him for our purposes. First, the Ran teaches us that we need not be embarrassed to admit that Halakha does not provide a concrete solution for every scenario. By the most conservative assessments, its reach is wide and its impact deep, and it permeates and animates so many different pockets of Jewish life. Still, that doesn’t mean that </w:t>
      </w:r>
      <w:r w:rsidR="00E57653" w:rsidRPr="00F953B6">
        <w:rPr>
          <w:rFonts w:asciiTheme="minorBidi" w:hAnsiTheme="minorBidi"/>
          <w:sz w:val="24"/>
          <w:szCs w:val="24"/>
        </w:rPr>
        <w:t>Halakha</w:t>
      </w:r>
      <w:r w:rsidRPr="00F953B6">
        <w:rPr>
          <w:rFonts w:asciiTheme="minorBidi" w:hAnsiTheme="minorBidi"/>
          <w:sz w:val="24"/>
          <w:szCs w:val="24"/>
        </w:rPr>
        <w:t xml:space="preserve"> will necessarily regulate every dimension of Jewish society for us, or that any domain that it overlooks will not be morally laden. According to the Ran, if we understand the role of Halakha properly, we will not </w:t>
      </w:r>
      <w:r w:rsidRPr="00F953B6">
        <w:rPr>
          <w:rFonts w:asciiTheme="minorBidi" w:hAnsiTheme="minorBidi"/>
          <w:sz w:val="24"/>
          <w:szCs w:val="24"/>
        </w:rPr>
        <w:lastRenderedPageBreak/>
        <w:t xml:space="preserve">be surprised to discover significant expanses that require </w:t>
      </w:r>
      <w:r w:rsidR="0026162B" w:rsidRPr="00F953B6">
        <w:rPr>
          <w:rFonts w:asciiTheme="minorBidi" w:hAnsiTheme="minorBidi"/>
          <w:sz w:val="24"/>
          <w:szCs w:val="24"/>
        </w:rPr>
        <w:t xml:space="preserve">original, </w:t>
      </w:r>
      <w:r w:rsidR="00BA7721" w:rsidRPr="00F953B6">
        <w:rPr>
          <w:rFonts w:asciiTheme="minorBidi" w:hAnsiTheme="minorBidi"/>
          <w:sz w:val="24"/>
          <w:szCs w:val="24"/>
        </w:rPr>
        <w:t>creative, and</w:t>
      </w:r>
      <w:r w:rsidR="0026162B" w:rsidRPr="00F953B6">
        <w:rPr>
          <w:rFonts w:asciiTheme="minorBidi" w:hAnsiTheme="minorBidi"/>
          <w:sz w:val="24"/>
          <w:szCs w:val="24"/>
        </w:rPr>
        <w:t xml:space="preserve"> </w:t>
      </w:r>
      <w:r w:rsidRPr="00F953B6">
        <w:rPr>
          <w:rFonts w:asciiTheme="minorBidi" w:hAnsiTheme="minorBidi"/>
          <w:sz w:val="24"/>
          <w:szCs w:val="24"/>
        </w:rPr>
        <w:t xml:space="preserve">thoughtful legislation. </w:t>
      </w:r>
    </w:p>
    <w:p w14:paraId="3334B0F4" w14:textId="77777777" w:rsidR="00596601" w:rsidRPr="00F953B6" w:rsidRDefault="00596601" w:rsidP="00D601D8">
      <w:pPr>
        <w:spacing w:after="0" w:line="240" w:lineRule="auto"/>
        <w:jc w:val="both"/>
        <w:rPr>
          <w:rFonts w:asciiTheme="minorBidi" w:hAnsiTheme="minorBidi"/>
          <w:sz w:val="24"/>
          <w:szCs w:val="24"/>
        </w:rPr>
      </w:pPr>
    </w:p>
    <w:p w14:paraId="07754428" w14:textId="0D52EE16"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The exact balance imagined by the Ran between Halakha and civil/</w:t>
      </w:r>
      <w:r w:rsidR="00C53027">
        <w:rPr>
          <w:rFonts w:asciiTheme="minorBidi" w:hAnsiTheme="minorBidi"/>
          <w:sz w:val="24"/>
          <w:szCs w:val="24"/>
        </w:rPr>
        <w:t xml:space="preserve"> </w:t>
      </w:r>
      <w:r w:rsidRPr="00F953B6">
        <w:rPr>
          <w:rFonts w:asciiTheme="minorBidi" w:hAnsiTheme="minorBidi"/>
          <w:sz w:val="24"/>
          <w:szCs w:val="24"/>
        </w:rPr>
        <w:t>royal law is not clear. After explaining the finite scope of Halakha, the Ran reiterates that it still provides the majority of necessary regulation</w:t>
      </w:r>
      <w:r w:rsidR="007B5194" w:rsidRPr="00F953B6">
        <w:rPr>
          <w:rFonts w:asciiTheme="minorBidi" w:hAnsiTheme="minorBidi"/>
          <w:sz w:val="24"/>
          <w:szCs w:val="24"/>
        </w:rPr>
        <w:t xml:space="preserve"> for Jewish society</w:t>
      </w:r>
      <w:r w:rsidRPr="00F953B6">
        <w:rPr>
          <w:rFonts w:asciiTheme="minorBidi" w:hAnsiTheme="minorBidi"/>
          <w:sz w:val="24"/>
          <w:szCs w:val="24"/>
        </w:rPr>
        <w:t>:</w:t>
      </w:r>
    </w:p>
    <w:p w14:paraId="38C458E5" w14:textId="77777777" w:rsidR="00596601" w:rsidRPr="00F953B6" w:rsidRDefault="00596601" w:rsidP="00D601D8">
      <w:pPr>
        <w:spacing w:after="0" w:line="240" w:lineRule="auto"/>
        <w:jc w:val="both"/>
        <w:rPr>
          <w:rFonts w:asciiTheme="minorBidi" w:hAnsiTheme="minorBidi"/>
          <w:sz w:val="24"/>
          <w:szCs w:val="24"/>
        </w:rPr>
      </w:pPr>
    </w:p>
    <w:p w14:paraId="5F932307" w14:textId="44675DE6" w:rsidR="00596601" w:rsidRPr="00F953B6" w:rsidRDefault="00596601"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 xml:space="preserve">It follows from this that the judges were appointed to judge the nation with </w:t>
      </w:r>
      <w:r w:rsidRPr="00F953B6">
        <w:rPr>
          <w:rFonts w:asciiTheme="minorBidi" w:hAnsiTheme="minorBidi"/>
          <w:i/>
          <w:iCs/>
          <w:sz w:val="24"/>
          <w:szCs w:val="24"/>
        </w:rPr>
        <w:t>mishpat-tzedek</w:t>
      </w:r>
      <w:r w:rsidRPr="00F953B6">
        <w:rPr>
          <w:rFonts w:asciiTheme="minorBidi" w:hAnsiTheme="minorBidi"/>
          <w:sz w:val="24"/>
          <w:szCs w:val="24"/>
        </w:rPr>
        <w:t>, and two benefits ensue: The first is totally complete, and that is that the Divine overflow will settle upon them and attach to them.</w:t>
      </w:r>
      <w:r w:rsidR="00C53027">
        <w:rPr>
          <w:rFonts w:asciiTheme="minorBidi" w:hAnsiTheme="minorBidi"/>
          <w:sz w:val="24"/>
          <w:szCs w:val="24"/>
        </w:rPr>
        <w:t xml:space="preserve"> </w:t>
      </w:r>
      <w:r w:rsidRPr="00F953B6">
        <w:rPr>
          <w:rFonts w:asciiTheme="minorBidi" w:hAnsiTheme="minorBidi"/>
          <w:sz w:val="24"/>
          <w:szCs w:val="24"/>
        </w:rPr>
        <w:t xml:space="preserve">The second is to maintain their functioning; and if there is some deficiency </w:t>
      </w:r>
      <w:r w:rsidR="007B5194" w:rsidRPr="00F953B6">
        <w:rPr>
          <w:rFonts w:asciiTheme="minorBidi" w:hAnsiTheme="minorBidi"/>
          <w:sz w:val="24"/>
          <w:szCs w:val="24"/>
        </w:rPr>
        <w:t>in</w:t>
      </w:r>
      <w:r w:rsidRPr="00F953B6">
        <w:rPr>
          <w:rFonts w:asciiTheme="minorBidi" w:hAnsiTheme="minorBidi"/>
          <w:sz w:val="24"/>
          <w:szCs w:val="24"/>
        </w:rPr>
        <w:t xml:space="preserve"> a particular context, the king will make up for it. It emerges that the bulk of justice is given to the Sanhedrin and a lesser part to the king.</w:t>
      </w:r>
    </w:p>
    <w:p w14:paraId="2AB3BB94" w14:textId="77777777" w:rsidR="00596601" w:rsidRPr="00F953B6" w:rsidRDefault="00596601" w:rsidP="00D601D8">
      <w:pPr>
        <w:spacing w:after="0" w:line="240" w:lineRule="auto"/>
        <w:jc w:val="both"/>
        <w:rPr>
          <w:rFonts w:asciiTheme="minorBidi" w:hAnsiTheme="minorBidi"/>
          <w:sz w:val="24"/>
          <w:szCs w:val="24"/>
        </w:rPr>
      </w:pPr>
    </w:p>
    <w:p w14:paraId="67032AC1" w14:textId="57A2459E"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According to this formulation, the king is not really an equal partner to the judges but works at the edges and supplements legislation as necessary.</w:t>
      </w:r>
      <w:r w:rsidR="00C53027">
        <w:rPr>
          <w:rFonts w:asciiTheme="minorBidi" w:hAnsiTheme="minorBidi"/>
          <w:sz w:val="24"/>
          <w:szCs w:val="24"/>
        </w:rPr>
        <w:t xml:space="preserve"> </w:t>
      </w:r>
      <w:r w:rsidR="00DF5EC9" w:rsidRPr="00F953B6">
        <w:rPr>
          <w:rFonts w:asciiTheme="minorBidi" w:hAnsiTheme="minorBidi"/>
          <w:sz w:val="24"/>
          <w:szCs w:val="24"/>
        </w:rPr>
        <w:t xml:space="preserve">Seeking to </w:t>
      </w:r>
      <w:r w:rsidR="005A7881" w:rsidRPr="00F953B6">
        <w:rPr>
          <w:rFonts w:asciiTheme="minorBidi" w:hAnsiTheme="minorBidi"/>
          <w:sz w:val="24"/>
          <w:szCs w:val="24"/>
        </w:rPr>
        <w:t>upend</w:t>
      </w:r>
      <w:r w:rsidR="001A6132" w:rsidRPr="00F953B6">
        <w:rPr>
          <w:rFonts w:asciiTheme="minorBidi" w:hAnsiTheme="minorBidi"/>
          <w:sz w:val="24"/>
          <w:szCs w:val="24"/>
        </w:rPr>
        <w:t xml:space="preserve"> this balance, the Ran argues, </w:t>
      </w:r>
      <w:r w:rsidR="00DB457D" w:rsidRPr="00F953B6">
        <w:rPr>
          <w:rFonts w:asciiTheme="minorBidi" w:hAnsiTheme="minorBidi"/>
          <w:sz w:val="24"/>
          <w:szCs w:val="24"/>
        </w:rPr>
        <w:t>is</w:t>
      </w:r>
      <w:r w:rsidR="001A6132" w:rsidRPr="00F953B6">
        <w:rPr>
          <w:rFonts w:asciiTheme="minorBidi" w:hAnsiTheme="minorBidi"/>
          <w:sz w:val="24"/>
          <w:szCs w:val="24"/>
        </w:rPr>
        <w:t xml:space="preserve"> the </w:t>
      </w:r>
      <w:r w:rsidR="005A7881" w:rsidRPr="00F953B6">
        <w:rPr>
          <w:rFonts w:asciiTheme="minorBidi" w:hAnsiTheme="minorBidi"/>
          <w:sz w:val="24"/>
          <w:szCs w:val="24"/>
        </w:rPr>
        <w:t>Jews</w:t>
      </w:r>
      <w:r w:rsidR="00B75319">
        <w:rPr>
          <w:rFonts w:asciiTheme="minorBidi" w:hAnsiTheme="minorBidi"/>
          <w:sz w:val="24"/>
          <w:szCs w:val="24"/>
        </w:rPr>
        <w:t>’</w:t>
      </w:r>
      <w:r w:rsidR="005A7881" w:rsidRPr="00F953B6">
        <w:rPr>
          <w:rFonts w:asciiTheme="minorBidi" w:hAnsiTheme="minorBidi"/>
          <w:sz w:val="24"/>
          <w:szCs w:val="24"/>
        </w:rPr>
        <w:t xml:space="preserve"> </w:t>
      </w:r>
      <w:r w:rsidR="004948A2" w:rsidRPr="00F953B6">
        <w:rPr>
          <w:rFonts w:asciiTheme="minorBidi" w:hAnsiTheme="minorBidi"/>
          <w:sz w:val="24"/>
          <w:szCs w:val="24"/>
        </w:rPr>
        <w:t xml:space="preserve">error when they ask Shmuel the Prophet for </w:t>
      </w:r>
      <w:r w:rsidR="005A7881" w:rsidRPr="00F953B6">
        <w:rPr>
          <w:rFonts w:asciiTheme="minorBidi" w:hAnsiTheme="minorBidi"/>
          <w:sz w:val="24"/>
          <w:szCs w:val="24"/>
        </w:rPr>
        <w:t>“</w:t>
      </w:r>
      <w:r w:rsidR="00BF2970" w:rsidRPr="00F953B6">
        <w:rPr>
          <w:rFonts w:asciiTheme="minorBidi" w:hAnsiTheme="minorBidi"/>
          <w:sz w:val="24"/>
          <w:szCs w:val="24"/>
        </w:rPr>
        <w:t xml:space="preserve">a </w:t>
      </w:r>
      <w:r w:rsidR="001A44FC" w:rsidRPr="00F953B6">
        <w:rPr>
          <w:rFonts w:asciiTheme="minorBidi" w:hAnsiTheme="minorBidi"/>
          <w:sz w:val="24"/>
          <w:szCs w:val="24"/>
        </w:rPr>
        <w:t>king to judge us</w:t>
      </w:r>
      <w:r w:rsidR="001A44FC" w:rsidRPr="00F953B6">
        <w:rPr>
          <w:rFonts w:asciiTheme="minorBidi" w:hAnsiTheme="minorBidi"/>
          <w:b/>
          <w:bCs/>
          <w:sz w:val="24"/>
          <w:szCs w:val="24"/>
        </w:rPr>
        <w:t>”</w:t>
      </w:r>
      <w:r w:rsidR="00D9225C" w:rsidRPr="00F953B6">
        <w:rPr>
          <w:rFonts w:asciiTheme="minorBidi" w:hAnsiTheme="minorBidi"/>
          <w:b/>
          <w:bCs/>
          <w:sz w:val="24"/>
          <w:szCs w:val="24"/>
        </w:rPr>
        <w:t xml:space="preserve"> </w:t>
      </w:r>
      <w:r w:rsidR="00D9225C" w:rsidRPr="00F953B6">
        <w:rPr>
          <w:rFonts w:asciiTheme="minorBidi" w:hAnsiTheme="minorBidi"/>
          <w:sz w:val="24"/>
          <w:szCs w:val="24"/>
        </w:rPr>
        <w:t>(</w:t>
      </w:r>
      <w:r w:rsidR="00C53027">
        <w:rPr>
          <w:rFonts w:asciiTheme="minorBidi" w:hAnsiTheme="minorBidi"/>
          <w:i/>
          <w:iCs/>
          <w:sz w:val="24"/>
          <w:szCs w:val="24"/>
        </w:rPr>
        <w:t>I S</w:t>
      </w:r>
      <w:r w:rsidR="00D9225C" w:rsidRPr="00F953B6">
        <w:rPr>
          <w:rFonts w:asciiTheme="minorBidi" w:hAnsiTheme="minorBidi"/>
          <w:i/>
          <w:iCs/>
          <w:sz w:val="24"/>
          <w:szCs w:val="24"/>
        </w:rPr>
        <w:t>hmuel</w:t>
      </w:r>
      <w:r w:rsidR="00D9225C" w:rsidRPr="00F953B6">
        <w:rPr>
          <w:rFonts w:asciiTheme="minorBidi" w:hAnsiTheme="minorBidi"/>
          <w:sz w:val="24"/>
          <w:szCs w:val="24"/>
        </w:rPr>
        <w:t xml:space="preserve"> </w:t>
      </w:r>
      <w:r w:rsidR="00BF2970" w:rsidRPr="00F953B6">
        <w:rPr>
          <w:rFonts w:asciiTheme="minorBidi" w:hAnsiTheme="minorBidi"/>
          <w:sz w:val="24"/>
          <w:szCs w:val="24"/>
        </w:rPr>
        <w:t>8:5-6).</w:t>
      </w:r>
    </w:p>
    <w:p w14:paraId="267B43E0" w14:textId="77777777" w:rsidR="00DB457D" w:rsidRPr="00F953B6" w:rsidRDefault="00DB457D" w:rsidP="00D601D8">
      <w:pPr>
        <w:spacing w:after="0" w:line="240" w:lineRule="auto"/>
        <w:jc w:val="both"/>
        <w:rPr>
          <w:rFonts w:asciiTheme="minorBidi" w:hAnsiTheme="minorBidi"/>
          <w:sz w:val="24"/>
          <w:szCs w:val="24"/>
        </w:rPr>
      </w:pPr>
    </w:p>
    <w:p w14:paraId="7F8C203A" w14:textId="3E0DDB48"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Even this </w:t>
      </w:r>
      <w:r w:rsidR="00DB457D" w:rsidRPr="00F953B6">
        <w:rPr>
          <w:rFonts w:asciiTheme="minorBidi" w:hAnsiTheme="minorBidi"/>
          <w:sz w:val="24"/>
          <w:szCs w:val="24"/>
        </w:rPr>
        <w:t xml:space="preserve">attenuated </w:t>
      </w:r>
      <w:r w:rsidRPr="00F953B6">
        <w:rPr>
          <w:rFonts w:asciiTheme="minorBidi" w:hAnsiTheme="minorBidi"/>
          <w:sz w:val="24"/>
          <w:szCs w:val="24"/>
        </w:rPr>
        <w:t xml:space="preserve">presentation may be too </w:t>
      </w:r>
      <w:r w:rsidR="00A61962" w:rsidRPr="00F953B6">
        <w:rPr>
          <w:rFonts w:asciiTheme="minorBidi" w:hAnsiTheme="minorBidi"/>
          <w:sz w:val="24"/>
          <w:szCs w:val="24"/>
        </w:rPr>
        <w:t>radical</w:t>
      </w:r>
      <w:r w:rsidRPr="00F953B6">
        <w:rPr>
          <w:rFonts w:asciiTheme="minorBidi" w:hAnsiTheme="minorBidi"/>
          <w:sz w:val="24"/>
          <w:szCs w:val="24"/>
        </w:rPr>
        <w:t xml:space="preserve"> for others. R. Herzog, for instance, would rather assume that Halakha, in an ideal context, is indeed totally comprehensive for Jewish life, and that the king (or the rabbinic court) only steps in when the moral fiber of society has eroded </w:t>
      </w:r>
      <w:r w:rsidR="00BD2F36">
        <w:rPr>
          <w:rFonts w:asciiTheme="minorBidi" w:hAnsiTheme="minorBidi"/>
          <w:sz w:val="24"/>
          <w:szCs w:val="24"/>
        </w:rPr>
        <w:t>(</w:t>
      </w:r>
      <w:r w:rsidR="00961445" w:rsidRPr="00915AA4">
        <w:rPr>
          <w:rFonts w:asciiTheme="minorBidi" w:hAnsiTheme="minorBidi"/>
          <w:i/>
          <w:iCs/>
          <w:sz w:val="24"/>
          <w:szCs w:val="24"/>
        </w:rPr>
        <w:t>Techuka Le-Yisrael</w:t>
      </w:r>
      <w:r w:rsidRPr="00961445">
        <w:rPr>
          <w:rFonts w:asciiTheme="minorBidi" w:hAnsiTheme="minorBidi"/>
          <w:i/>
          <w:iCs/>
          <w:sz w:val="24"/>
          <w:szCs w:val="24"/>
        </w:rPr>
        <w:t xml:space="preserve">, </w:t>
      </w:r>
      <w:r w:rsidRPr="00961445">
        <w:rPr>
          <w:rFonts w:asciiTheme="minorBidi" w:hAnsiTheme="minorBidi"/>
          <w:sz w:val="24"/>
          <w:szCs w:val="24"/>
        </w:rPr>
        <w:t>Vol. 1, 169</w:t>
      </w:r>
      <w:r w:rsidRPr="00F953B6">
        <w:rPr>
          <w:rFonts w:asciiTheme="minorBidi" w:hAnsiTheme="minorBidi"/>
          <w:sz w:val="24"/>
          <w:szCs w:val="24"/>
        </w:rPr>
        <w:t>). Still, the anticipation that the classic halakhic system, in different circumstances, may not always address all moral needs and therefore creates a space for other modalities remains in place.</w:t>
      </w:r>
      <w:r w:rsidR="00C53027">
        <w:rPr>
          <w:rFonts w:asciiTheme="minorBidi" w:hAnsiTheme="minorBidi"/>
          <w:sz w:val="24"/>
          <w:szCs w:val="24"/>
        </w:rPr>
        <w:t xml:space="preserve"> </w:t>
      </w:r>
      <w:r w:rsidRPr="00F953B6">
        <w:rPr>
          <w:rFonts w:asciiTheme="minorBidi" w:hAnsiTheme="minorBidi"/>
          <w:sz w:val="24"/>
          <w:szCs w:val="24"/>
        </w:rPr>
        <w:t xml:space="preserve">Thus, although I suspect that </w:t>
      </w:r>
      <w:r w:rsidRPr="00F953B6">
        <w:rPr>
          <w:rFonts w:asciiTheme="minorBidi" w:hAnsiTheme="minorBidi"/>
          <w:i/>
          <w:iCs/>
          <w:sz w:val="24"/>
          <w:szCs w:val="24"/>
        </w:rPr>
        <w:t>mori ve-rabbi</w:t>
      </w:r>
      <w:r w:rsidRPr="00F953B6">
        <w:rPr>
          <w:rFonts w:asciiTheme="minorBidi" w:hAnsiTheme="minorBidi"/>
          <w:sz w:val="24"/>
          <w:szCs w:val="24"/>
        </w:rPr>
        <w:t xml:space="preserve"> HaRav </w:t>
      </w:r>
      <w:r w:rsidR="005F4377">
        <w:rPr>
          <w:rFonts w:asciiTheme="minorBidi" w:hAnsiTheme="minorBidi"/>
          <w:sz w:val="24"/>
          <w:szCs w:val="24"/>
        </w:rPr>
        <w:t xml:space="preserve">Aharon </w:t>
      </w:r>
      <w:r w:rsidRPr="00F953B6">
        <w:rPr>
          <w:rFonts w:asciiTheme="minorBidi" w:hAnsiTheme="minorBidi"/>
          <w:sz w:val="24"/>
          <w:szCs w:val="24"/>
        </w:rPr>
        <w:t>Lichtenstein’s own admiration for Halakha might draw him closer to R. Herzog than to the Ran,</w:t>
      </w:r>
      <w:r w:rsidR="003D723A" w:rsidRPr="00F953B6">
        <w:rPr>
          <w:rStyle w:val="FootnoteReference"/>
          <w:rFonts w:asciiTheme="minorBidi" w:hAnsiTheme="minorBidi"/>
          <w:sz w:val="24"/>
          <w:szCs w:val="24"/>
        </w:rPr>
        <w:footnoteReference w:id="7"/>
      </w:r>
      <w:r w:rsidRPr="00F953B6">
        <w:rPr>
          <w:rFonts w:asciiTheme="minorBidi" w:hAnsiTheme="minorBidi"/>
          <w:sz w:val="24"/>
          <w:szCs w:val="24"/>
        </w:rPr>
        <w:t xml:space="preserve"> he can still write: “If we mean that everything can be looked up, every moral dilemma resolved by reference to code or canon, the notion is both palpably naïve and patently false” (“Does Judaism Recognize an Ethic Independent of Halakhah?” </w:t>
      </w:r>
      <w:r w:rsidRPr="00F953B6">
        <w:rPr>
          <w:rFonts w:asciiTheme="minorBidi" w:hAnsiTheme="minorBidi"/>
          <w:i/>
          <w:iCs/>
          <w:sz w:val="24"/>
          <w:szCs w:val="24"/>
        </w:rPr>
        <w:t>Leaves of Faith</w:t>
      </w:r>
      <w:r w:rsidRPr="00F953B6">
        <w:rPr>
          <w:rFonts w:asciiTheme="minorBidi" w:hAnsiTheme="minorBidi"/>
          <w:sz w:val="24"/>
          <w:szCs w:val="24"/>
        </w:rPr>
        <w:t>, Vol. 2, 38).</w:t>
      </w:r>
      <w:r w:rsidR="00C53027">
        <w:rPr>
          <w:rFonts w:asciiTheme="minorBidi" w:hAnsiTheme="minorBidi"/>
          <w:sz w:val="24"/>
          <w:szCs w:val="24"/>
        </w:rPr>
        <w:t xml:space="preserve"> </w:t>
      </w:r>
      <w:r w:rsidRPr="00F953B6">
        <w:rPr>
          <w:rFonts w:asciiTheme="minorBidi" w:hAnsiTheme="minorBidi"/>
          <w:sz w:val="24"/>
          <w:szCs w:val="24"/>
        </w:rPr>
        <w:t>Elsewhere, he is frank that “the Halakhah has left many issues</w:t>
      </w:r>
      <w:r w:rsidR="00B75319">
        <w:rPr>
          <w:rFonts w:asciiTheme="minorBidi" w:hAnsiTheme="minorBidi"/>
          <w:sz w:val="24"/>
          <w:szCs w:val="24"/>
        </w:rPr>
        <w:t xml:space="preserve"> — </w:t>
      </w:r>
      <w:r w:rsidRPr="00F953B6">
        <w:rPr>
          <w:rFonts w:asciiTheme="minorBidi" w:hAnsiTheme="minorBidi"/>
          <w:sz w:val="24"/>
          <w:szCs w:val="24"/>
        </w:rPr>
        <w:t>possibly, even entire tracts</w:t>
      </w:r>
      <w:r w:rsidR="00B75319">
        <w:rPr>
          <w:rFonts w:asciiTheme="minorBidi" w:hAnsiTheme="minorBidi"/>
          <w:sz w:val="24"/>
          <w:szCs w:val="24"/>
        </w:rPr>
        <w:t xml:space="preserve"> — </w:t>
      </w:r>
      <w:r w:rsidRPr="00F953B6">
        <w:rPr>
          <w:rFonts w:asciiTheme="minorBidi" w:hAnsiTheme="minorBidi"/>
          <w:sz w:val="24"/>
          <w:szCs w:val="24"/>
        </w:rPr>
        <w:t>largely open” (“Communal Governance,”</w:t>
      </w:r>
      <w:r w:rsidR="006D341D" w:rsidRPr="00F953B6">
        <w:rPr>
          <w:rFonts w:asciiTheme="minorBidi" w:hAnsiTheme="minorBidi"/>
          <w:sz w:val="24"/>
          <w:szCs w:val="24"/>
        </w:rPr>
        <w:t xml:space="preserve"> </w:t>
      </w:r>
      <w:r w:rsidRPr="00F953B6">
        <w:rPr>
          <w:rFonts w:asciiTheme="minorBidi" w:hAnsiTheme="minorBidi"/>
          <w:sz w:val="24"/>
          <w:szCs w:val="24"/>
        </w:rPr>
        <w:t>65).</w:t>
      </w:r>
    </w:p>
    <w:p w14:paraId="3DBD4369" w14:textId="77777777" w:rsidR="00596601" w:rsidRPr="00F953B6" w:rsidRDefault="00596601" w:rsidP="00D601D8">
      <w:pPr>
        <w:spacing w:after="0" w:line="240" w:lineRule="auto"/>
        <w:jc w:val="both"/>
        <w:rPr>
          <w:rFonts w:asciiTheme="minorBidi" w:hAnsiTheme="minorBidi"/>
          <w:sz w:val="24"/>
          <w:szCs w:val="24"/>
        </w:rPr>
      </w:pPr>
    </w:p>
    <w:p w14:paraId="20CFF42E" w14:textId="142A97DF"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Second, to the extent that the Ran proposes an entire realm of extra-halakhic legislation anticipated by the Torah, he is simultaneously affirming God’s confidence in mere mortals to fill it with content. The allure of halakhic formalism lies not only in its absolute allegiance to Halakha, but also in its humble skepticism that human intuition has anything to add.</w:t>
      </w:r>
      <w:r w:rsidR="00C53027">
        <w:rPr>
          <w:rFonts w:asciiTheme="minorBidi" w:hAnsiTheme="minorBidi"/>
          <w:sz w:val="24"/>
          <w:szCs w:val="24"/>
        </w:rPr>
        <w:t xml:space="preserve"> Nevertheless,</w:t>
      </w:r>
      <w:r w:rsidRPr="00F953B6">
        <w:rPr>
          <w:rFonts w:asciiTheme="minorBidi" w:hAnsiTheme="minorBidi"/>
          <w:sz w:val="24"/>
          <w:szCs w:val="24"/>
        </w:rPr>
        <w:t xml:space="preserve"> the Ran</w:t>
      </w:r>
      <w:r w:rsidR="00590232">
        <w:rPr>
          <w:rFonts w:asciiTheme="minorBidi" w:hAnsiTheme="minorBidi"/>
          <w:sz w:val="24"/>
          <w:szCs w:val="24"/>
        </w:rPr>
        <w:t xml:space="preserve"> (</w:t>
      </w:r>
      <w:r w:rsidRPr="00F953B6">
        <w:rPr>
          <w:rFonts w:asciiTheme="minorBidi" w:hAnsiTheme="minorBidi"/>
          <w:sz w:val="24"/>
          <w:szCs w:val="24"/>
        </w:rPr>
        <w:t>and even the Rambam, to a lesser extent</w:t>
      </w:r>
      <w:r w:rsidR="00590232">
        <w:rPr>
          <w:rFonts w:asciiTheme="minorBidi" w:hAnsiTheme="minorBidi"/>
          <w:sz w:val="24"/>
          <w:szCs w:val="24"/>
        </w:rPr>
        <w:t>)</w:t>
      </w:r>
      <w:r w:rsidRPr="00F953B6">
        <w:rPr>
          <w:rFonts w:asciiTheme="minorBidi" w:hAnsiTheme="minorBidi"/>
          <w:sz w:val="24"/>
          <w:szCs w:val="24"/>
        </w:rPr>
        <w:t xml:space="preserve"> charge</w:t>
      </w:r>
      <w:r w:rsidR="005B3134">
        <w:rPr>
          <w:rFonts w:asciiTheme="minorBidi" w:hAnsiTheme="minorBidi"/>
          <w:sz w:val="24"/>
          <w:szCs w:val="24"/>
        </w:rPr>
        <w:t>s</w:t>
      </w:r>
      <w:r w:rsidRPr="00F953B6">
        <w:rPr>
          <w:rFonts w:asciiTheme="minorBidi" w:hAnsiTheme="minorBidi"/>
          <w:sz w:val="24"/>
          <w:szCs w:val="24"/>
        </w:rPr>
        <w:t xml:space="preserve"> the king with just that: </w:t>
      </w:r>
      <w:r w:rsidR="00C53027">
        <w:rPr>
          <w:rFonts w:asciiTheme="minorBidi" w:hAnsiTheme="minorBidi"/>
          <w:sz w:val="24"/>
          <w:szCs w:val="24"/>
        </w:rPr>
        <w:t>t</w:t>
      </w:r>
      <w:r w:rsidRPr="00F953B6">
        <w:rPr>
          <w:rFonts w:asciiTheme="minorBidi" w:hAnsiTheme="minorBidi"/>
          <w:sz w:val="24"/>
          <w:szCs w:val="24"/>
        </w:rPr>
        <w:t xml:space="preserve">o be keenly attentive to needs of society that are unmet by the halakhic system and to proactively respond. </w:t>
      </w:r>
    </w:p>
    <w:p w14:paraId="64D744CD" w14:textId="77777777" w:rsidR="00596601" w:rsidRPr="00F953B6" w:rsidRDefault="00596601" w:rsidP="00D601D8">
      <w:pPr>
        <w:spacing w:after="0" w:line="240" w:lineRule="auto"/>
        <w:jc w:val="both"/>
        <w:rPr>
          <w:rFonts w:asciiTheme="minorBidi" w:hAnsiTheme="minorBidi"/>
          <w:sz w:val="24"/>
          <w:szCs w:val="24"/>
        </w:rPr>
      </w:pPr>
    </w:p>
    <w:p w14:paraId="3177603D" w14:textId="77777777"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lastRenderedPageBreak/>
        <w:t>For the Ran, too, as R. Bornsztain notes, the king’s legislation primarily serves the goal of achieving social harmony, rather than pristine justice (</w:t>
      </w:r>
      <w:r w:rsidRPr="00640885">
        <w:rPr>
          <w:rFonts w:asciiTheme="minorBidi" w:hAnsiTheme="minorBidi"/>
          <w:i/>
          <w:iCs/>
          <w:sz w:val="24"/>
          <w:szCs w:val="24"/>
        </w:rPr>
        <w:t>Responsa</w:t>
      </w:r>
      <w:r w:rsidRPr="00F953B6">
        <w:rPr>
          <w:rFonts w:asciiTheme="minorBidi" w:hAnsiTheme="minorBidi"/>
          <w:sz w:val="24"/>
          <w:szCs w:val="24"/>
        </w:rPr>
        <w:t xml:space="preserve"> </w:t>
      </w:r>
      <w:r w:rsidRPr="00F953B6">
        <w:rPr>
          <w:rFonts w:asciiTheme="minorBidi" w:hAnsiTheme="minorBidi"/>
          <w:i/>
          <w:iCs/>
          <w:sz w:val="24"/>
          <w:szCs w:val="24"/>
        </w:rPr>
        <w:t>Avnei Nezer</w:t>
      </w:r>
      <w:r w:rsidRPr="00F953B6">
        <w:rPr>
          <w:rFonts w:asciiTheme="minorBidi" w:hAnsiTheme="minorBidi"/>
          <w:sz w:val="24"/>
          <w:szCs w:val="24"/>
        </w:rPr>
        <w:t xml:space="preserve">, </w:t>
      </w:r>
      <w:r w:rsidRPr="00F953B6">
        <w:rPr>
          <w:rFonts w:asciiTheme="minorBidi" w:hAnsiTheme="minorBidi"/>
          <w:i/>
          <w:iCs/>
          <w:sz w:val="24"/>
          <w:szCs w:val="24"/>
        </w:rPr>
        <w:t>YD</w:t>
      </w:r>
      <w:r w:rsidRPr="00F953B6">
        <w:rPr>
          <w:rFonts w:asciiTheme="minorBidi" w:hAnsiTheme="minorBidi"/>
          <w:sz w:val="24"/>
          <w:szCs w:val="24"/>
        </w:rPr>
        <w:t>, 312:50). As we stressed earlier, however, labeling an agenda as pragmatic neither renders it ethically neutral nor exempts its architect from sensitive moral reflection. If the Ran grants the king wider legislative latitude, then the need for a reliable moral compass grows proportionately.</w:t>
      </w:r>
    </w:p>
    <w:p w14:paraId="4BB3CFFD" w14:textId="77777777" w:rsidR="00596601" w:rsidRPr="00F953B6" w:rsidRDefault="00596601" w:rsidP="00D601D8">
      <w:pPr>
        <w:spacing w:after="0" w:line="240" w:lineRule="auto"/>
        <w:jc w:val="both"/>
        <w:rPr>
          <w:rFonts w:asciiTheme="minorBidi" w:hAnsiTheme="minorBidi"/>
          <w:sz w:val="24"/>
          <w:szCs w:val="24"/>
        </w:rPr>
      </w:pPr>
    </w:p>
    <w:p w14:paraId="4C3EEFDB" w14:textId="7A8DC158"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Third, as much as the king functions independently of Torah law, the Ran stresses that he is still subservient to its overall program:</w:t>
      </w:r>
      <w:r w:rsidR="00C53027">
        <w:rPr>
          <w:rFonts w:asciiTheme="minorBidi" w:hAnsiTheme="minorBidi"/>
          <w:sz w:val="24"/>
          <w:szCs w:val="24"/>
        </w:rPr>
        <w:t xml:space="preserve">  </w:t>
      </w:r>
    </w:p>
    <w:p w14:paraId="25848152" w14:textId="77777777" w:rsidR="00596601" w:rsidRPr="00F953B6" w:rsidRDefault="00596601" w:rsidP="00D601D8">
      <w:pPr>
        <w:spacing w:after="0" w:line="240" w:lineRule="auto"/>
        <w:jc w:val="both"/>
        <w:rPr>
          <w:rFonts w:asciiTheme="minorBidi" w:hAnsiTheme="minorBidi"/>
          <w:sz w:val="24"/>
          <w:szCs w:val="24"/>
        </w:rPr>
      </w:pPr>
    </w:p>
    <w:p w14:paraId="6761FBAE" w14:textId="1345BA02" w:rsidR="00596601" w:rsidRPr="00F953B6" w:rsidRDefault="00596601"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Because the king’s power is great, and he is not beholden to the laws of the Torah as the judge is</w:t>
      </w:r>
      <w:r w:rsidR="005F6BF7" w:rsidRPr="00F953B6">
        <w:rPr>
          <w:rFonts w:asciiTheme="minorBidi" w:hAnsiTheme="minorBidi"/>
          <w:sz w:val="24"/>
          <w:szCs w:val="24"/>
        </w:rPr>
        <w:t>,</w:t>
      </w:r>
      <w:r w:rsidRPr="00F953B6">
        <w:rPr>
          <w:rFonts w:asciiTheme="minorBidi" w:hAnsiTheme="minorBidi"/>
          <w:sz w:val="24"/>
          <w:szCs w:val="24"/>
        </w:rPr>
        <w:t xml:space="preserve"> </w:t>
      </w:r>
      <w:r w:rsidR="00705333" w:rsidRPr="00F953B6">
        <w:rPr>
          <w:rFonts w:asciiTheme="minorBidi" w:hAnsiTheme="minorBidi"/>
          <w:sz w:val="24"/>
          <w:szCs w:val="24"/>
        </w:rPr>
        <w:t xml:space="preserve">and </w:t>
      </w:r>
      <w:r w:rsidRPr="00F953B6">
        <w:rPr>
          <w:rFonts w:asciiTheme="minorBidi" w:hAnsiTheme="minorBidi"/>
          <w:sz w:val="24"/>
          <w:szCs w:val="24"/>
        </w:rPr>
        <w:t xml:space="preserve">if he is not complete in the fear of his God, he will cross boundaries </w:t>
      </w:r>
      <w:r w:rsidR="00DE7D8C" w:rsidRPr="00F953B6">
        <w:rPr>
          <w:rFonts w:asciiTheme="minorBidi" w:hAnsiTheme="minorBidi"/>
          <w:sz w:val="24"/>
          <w:szCs w:val="24"/>
        </w:rPr>
        <w:t>beyond</w:t>
      </w:r>
      <w:r w:rsidRPr="00F953B6">
        <w:rPr>
          <w:rFonts w:asciiTheme="minorBidi" w:hAnsiTheme="minorBidi"/>
          <w:sz w:val="24"/>
          <w:szCs w:val="24"/>
        </w:rPr>
        <w:t xml:space="preserve"> what is necessary for societal functioning; [therefore] the Torah commanded that a Torah scroll should accompany him always (</w:t>
      </w:r>
      <w:r w:rsidRPr="00F953B6">
        <w:rPr>
          <w:rFonts w:asciiTheme="minorBidi" w:hAnsiTheme="minorBidi"/>
          <w:i/>
          <w:iCs/>
          <w:sz w:val="24"/>
          <w:szCs w:val="24"/>
        </w:rPr>
        <w:t>Devarim</w:t>
      </w:r>
      <w:r w:rsidRPr="00F953B6">
        <w:rPr>
          <w:rFonts w:asciiTheme="minorBidi" w:hAnsiTheme="minorBidi"/>
          <w:sz w:val="24"/>
          <w:szCs w:val="24"/>
        </w:rPr>
        <w:t xml:space="preserve"> 17:19).</w:t>
      </w:r>
    </w:p>
    <w:p w14:paraId="35013AB2" w14:textId="77777777" w:rsidR="00596601" w:rsidRPr="00F953B6" w:rsidRDefault="00596601" w:rsidP="00D601D8">
      <w:pPr>
        <w:spacing w:after="0" w:line="240" w:lineRule="auto"/>
        <w:jc w:val="both"/>
        <w:rPr>
          <w:rFonts w:asciiTheme="minorBidi" w:hAnsiTheme="minorBidi"/>
          <w:sz w:val="24"/>
          <w:szCs w:val="24"/>
        </w:rPr>
      </w:pPr>
    </w:p>
    <w:p w14:paraId="0B359B81" w14:textId="0F7552C0"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Precisely because of the king’s autonomy does he need to attach himself to a Torah scroll, literally and figuratively. </w:t>
      </w:r>
      <w:r w:rsidR="001C0FC3" w:rsidRPr="00F953B6">
        <w:rPr>
          <w:rFonts w:asciiTheme="minorBidi" w:hAnsiTheme="minorBidi"/>
          <w:sz w:val="24"/>
          <w:szCs w:val="24"/>
        </w:rPr>
        <w:t xml:space="preserve">According to the Ran, </w:t>
      </w:r>
      <w:r w:rsidRPr="00F953B6">
        <w:rPr>
          <w:rFonts w:asciiTheme="minorBidi" w:hAnsiTheme="minorBidi"/>
          <w:sz w:val="24"/>
          <w:szCs w:val="24"/>
        </w:rPr>
        <w:t xml:space="preserve">Torah defines both his primary motivation and his ultimate aspiration, and it checks whatever pride might result </w:t>
      </w:r>
      <w:r w:rsidR="00C96C3B" w:rsidRPr="00F953B6">
        <w:rPr>
          <w:rFonts w:asciiTheme="minorBidi" w:hAnsiTheme="minorBidi"/>
          <w:sz w:val="24"/>
          <w:szCs w:val="24"/>
        </w:rPr>
        <w:t xml:space="preserve">along the way </w:t>
      </w:r>
      <w:r w:rsidRPr="00F953B6">
        <w:rPr>
          <w:rFonts w:asciiTheme="minorBidi" w:hAnsiTheme="minorBidi"/>
          <w:sz w:val="24"/>
          <w:szCs w:val="24"/>
        </w:rPr>
        <w:t xml:space="preserve">from his independence (see </w:t>
      </w:r>
      <w:r w:rsidRPr="00F953B6">
        <w:rPr>
          <w:rFonts w:asciiTheme="minorBidi" w:hAnsiTheme="minorBidi"/>
          <w:i/>
          <w:iCs/>
          <w:sz w:val="24"/>
          <w:szCs w:val="24"/>
        </w:rPr>
        <w:t>Devarim</w:t>
      </w:r>
      <w:r w:rsidRPr="00F953B6">
        <w:rPr>
          <w:rFonts w:asciiTheme="minorBidi" w:hAnsiTheme="minorBidi"/>
          <w:sz w:val="24"/>
          <w:szCs w:val="24"/>
        </w:rPr>
        <w:t xml:space="preserve"> 17:20): “In whatever he adds or takes away, he should intend that the laws of the Torah and its commandments be better observed.”</w:t>
      </w:r>
      <w:r w:rsidR="00C53027">
        <w:rPr>
          <w:rFonts w:asciiTheme="minorBidi" w:hAnsiTheme="minorBidi"/>
          <w:sz w:val="24"/>
          <w:szCs w:val="24"/>
        </w:rPr>
        <w:t xml:space="preserve"> </w:t>
      </w:r>
      <w:r w:rsidRPr="00F953B6">
        <w:rPr>
          <w:rFonts w:asciiTheme="minorBidi" w:hAnsiTheme="minorBidi"/>
          <w:sz w:val="24"/>
          <w:szCs w:val="24"/>
        </w:rPr>
        <w:t xml:space="preserve">With the judges, on the other hand, there is less concern for either overreach or arrogance, </w:t>
      </w:r>
      <w:r w:rsidR="00C53027">
        <w:rPr>
          <w:rFonts w:asciiTheme="minorBidi" w:hAnsiTheme="minorBidi"/>
          <w:sz w:val="24"/>
          <w:szCs w:val="24"/>
        </w:rPr>
        <w:t>as</w:t>
      </w:r>
      <w:r w:rsidRPr="00F953B6">
        <w:rPr>
          <w:rFonts w:asciiTheme="minorBidi" w:hAnsiTheme="minorBidi"/>
          <w:sz w:val="24"/>
          <w:szCs w:val="24"/>
        </w:rPr>
        <w:t xml:space="preserve"> their work is directly bounded by the laws of the Torah themselves.</w:t>
      </w:r>
    </w:p>
    <w:p w14:paraId="229B595D" w14:textId="77777777" w:rsidR="00596601" w:rsidRPr="00F953B6" w:rsidRDefault="00596601" w:rsidP="00D601D8">
      <w:pPr>
        <w:spacing w:after="0" w:line="240" w:lineRule="auto"/>
        <w:jc w:val="both"/>
        <w:rPr>
          <w:rFonts w:asciiTheme="minorBidi" w:hAnsiTheme="minorBidi"/>
          <w:sz w:val="24"/>
          <w:szCs w:val="24"/>
        </w:rPr>
      </w:pPr>
    </w:p>
    <w:p w14:paraId="3CC012C9" w14:textId="44ADEA6F"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Adding to the Ran, we can perhaps suggest that the king’s Torah scroll provides not only inspiration, but also direction. The scroll is not a symbol</w:t>
      </w:r>
      <w:r w:rsidR="00C53027">
        <w:rPr>
          <w:rFonts w:asciiTheme="minorBidi" w:hAnsiTheme="minorBidi"/>
          <w:sz w:val="24"/>
          <w:szCs w:val="24"/>
        </w:rPr>
        <w:t xml:space="preserve"> — </w:t>
      </w:r>
      <w:r w:rsidR="002D7F5C" w:rsidRPr="00F953B6">
        <w:rPr>
          <w:rFonts w:asciiTheme="minorBidi" w:hAnsiTheme="minorBidi"/>
          <w:sz w:val="24"/>
          <w:szCs w:val="24"/>
        </w:rPr>
        <w:t xml:space="preserve">in </w:t>
      </w:r>
      <w:r w:rsidRPr="00F953B6">
        <w:rPr>
          <w:rFonts w:asciiTheme="minorBidi" w:hAnsiTheme="minorBidi"/>
          <w:sz w:val="24"/>
          <w:szCs w:val="24"/>
        </w:rPr>
        <w:t>contrast</w:t>
      </w:r>
      <w:r w:rsidR="002D7F5C" w:rsidRPr="00F953B6">
        <w:rPr>
          <w:rFonts w:asciiTheme="minorBidi" w:hAnsiTheme="minorBidi"/>
          <w:sz w:val="24"/>
          <w:szCs w:val="24"/>
        </w:rPr>
        <w:t xml:space="preserve">, </w:t>
      </w:r>
      <w:r w:rsidRPr="00F953B6">
        <w:rPr>
          <w:rFonts w:asciiTheme="minorBidi" w:hAnsiTheme="minorBidi"/>
          <w:sz w:val="24"/>
          <w:szCs w:val="24"/>
        </w:rPr>
        <w:t xml:space="preserve">for instance, to </w:t>
      </w:r>
      <w:r w:rsidRPr="00640885">
        <w:rPr>
          <w:rFonts w:asciiTheme="minorBidi" w:hAnsiTheme="minorBidi"/>
          <w:i/>
          <w:iCs/>
          <w:sz w:val="24"/>
          <w:szCs w:val="24"/>
        </w:rPr>
        <w:t>tefillin</w:t>
      </w:r>
      <w:r w:rsidRPr="00F953B6">
        <w:rPr>
          <w:rFonts w:asciiTheme="minorBidi" w:hAnsiTheme="minorBidi"/>
          <w:sz w:val="24"/>
          <w:szCs w:val="24"/>
        </w:rPr>
        <w:t xml:space="preserve"> (see </w:t>
      </w:r>
      <w:r w:rsidRPr="00F953B6">
        <w:rPr>
          <w:rFonts w:asciiTheme="minorBidi" w:hAnsiTheme="minorBidi"/>
          <w:i/>
          <w:iCs/>
          <w:sz w:val="24"/>
          <w:szCs w:val="24"/>
        </w:rPr>
        <w:t>Shemot</w:t>
      </w:r>
      <w:r w:rsidRPr="00F953B6">
        <w:rPr>
          <w:rFonts w:asciiTheme="minorBidi" w:hAnsiTheme="minorBidi"/>
          <w:sz w:val="24"/>
          <w:szCs w:val="24"/>
        </w:rPr>
        <w:t xml:space="preserve"> 13:9, 16 and </w:t>
      </w:r>
      <w:r w:rsidRPr="00F953B6">
        <w:rPr>
          <w:rFonts w:asciiTheme="minorBidi" w:hAnsiTheme="minorBidi"/>
          <w:i/>
          <w:iCs/>
          <w:sz w:val="24"/>
          <w:szCs w:val="24"/>
        </w:rPr>
        <w:t>Devarim</w:t>
      </w:r>
      <w:r w:rsidRPr="00F953B6">
        <w:rPr>
          <w:rFonts w:asciiTheme="minorBidi" w:hAnsiTheme="minorBidi"/>
          <w:sz w:val="24"/>
          <w:szCs w:val="24"/>
        </w:rPr>
        <w:t xml:space="preserve"> 6:8</w:t>
      </w:r>
      <w:r w:rsidR="0034673E">
        <w:rPr>
          <w:rFonts w:asciiTheme="minorBidi" w:hAnsiTheme="minorBidi"/>
          <w:sz w:val="24"/>
          <w:szCs w:val="24"/>
        </w:rPr>
        <w:t>,</w:t>
      </w:r>
      <w:r w:rsidRPr="00F953B6">
        <w:rPr>
          <w:rFonts w:asciiTheme="minorBidi" w:hAnsiTheme="minorBidi"/>
          <w:sz w:val="24"/>
          <w:szCs w:val="24"/>
        </w:rPr>
        <w:t xml:space="preserve"> 11:18); rather, the king </w:t>
      </w:r>
      <w:r w:rsidR="00EC3541" w:rsidRPr="00F953B6">
        <w:rPr>
          <w:rFonts w:asciiTheme="minorBidi" w:hAnsiTheme="minorBidi"/>
          <w:sz w:val="24"/>
          <w:szCs w:val="24"/>
        </w:rPr>
        <w:t xml:space="preserve">should </w:t>
      </w:r>
      <w:r w:rsidRPr="00F953B6">
        <w:rPr>
          <w:rFonts w:asciiTheme="minorBidi" w:hAnsiTheme="minorBidi"/>
          <w:sz w:val="24"/>
          <w:szCs w:val="24"/>
        </w:rPr>
        <w:t>“read from it all his days” (</w:t>
      </w:r>
      <w:r w:rsidRPr="00F953B6">
        <w:rPr>
          <w:rFonts w:asciiTheme="minorBidi" w:hAnsiTheme="minorBidi"/>
          <w:i/>
          <w:iCs/>
          <w:sz w:val="24"/>
          <w:szCs w:val="24"/>
        </w:rPr>
        <w:t>Devarim</w:t>
      </w:r>
      <w:r w:rsidRPr="00F953B6">
        <w:rPr>
          <w:rFonts w:asciiTheme="minorBidi" w:hAnsiTheme="minorBidi"/>
          <w:sz w:val="24"/>
          <w:szCs w:val="24"/>
        </w:rPr>
        <w:t xml:space="preserve"> 17:19; see Rambam, </w:t>
      </w:r>
      <w:r w:rsidRPr="00F953B6">
        <w:rPr>
          <w:rFonts w:asciiTheme="minorBidi" w:hAnsiTheme="minorBidi"/>
          <w:i/>
          <w:iCs/>
          <w:sz w:val="24"/>
          <w:szCs w:val="24"/>
        </w:rPr>
        <w:t>Hilkhot Melakhim</w:t>
      </w:r>
      <w:r w:rsidRPr="00F953B6">
        <w:rPr>
          <w:rFonts w:asciiTheme="minorBidi" w:hAnsiTheme="minorBidi"/>
          <w:sz w:val="24"/>
          <w:szCs w:val="24"/>
        </w:rPr>
        <w:t xml:space="preserve"> 3:5). His intuition should be paradoxically informed by Torah and its spirit, even as he operates, by definition, outside of its boundaries.</w:t>
      </w:r>
      <w:r w:rsidR="00757CFA" w:rsidRPr="00F953B6">
        <w:rPr>
          <w:rStyle w:val="FootnoteReference"/>
          <w:rFonts w:asciiTheme="minorBidi" w:hAnsiTheme="minorBidi"/>
          <w:sz w:val="24"/>
          <w:szCs w:val="24"/>
        </w:rPr>
        <w:footnoteReference w:id="8"/>
      </w:r>
      <w:r w:rsidRPr="00F953B6">
        <w:rPr>
          <w:rFonts w:asciiTheme="minorBidi" w:hAnsiTheme="minorBidi"/>
          <w:sz w:val="24"/>
          <w:szCs w:val="24"/>
        </w:rPr>
        <w:t xml:space="preserve"> </w:t>
      </w:r>
    </w:p>
    <w:p w14:paraId="2F9D863B" w14:textId="2F2FC8F6" w:rsidR="00596601" w:rsidRPr="00F953B6" w:rsidRDefault="00596601" w:rsidP="00D601D8">
      <w:pPr>
        <w:spacing w:after="0" w:line="240" w:lineRule="auto"/>
        <w:jc w:val="both"/>
        <w:rPr>
          <w:rFonts w:asciiTheme="minorBidi" w:hAnsiTheme="minorBidi"/>
          <w:sz w:val="24"/>
          <w:szCs w:val="24"/>
        </w:rPr>
      </w:pPr>
    </w:p>
    <w:p w14:paraId="2F51A4E9" w14:textId="01439033" w:rsidR="00064137" w:rsidRPr="00F953B6" w:rsidRDefault="00064137" w:rsidP="00D601D8">
      <w:pPr>
        <w:spacing w:after="0" w:line="240" w:lineRule="auto"/>
        <w:jc w:val="both"/>
        <w:rPr>
          <w:rFonts w:asciiTheme="minorBidi" w:hAnsiTheme="minorBidi"/>
          <w:b/>
          <w:bCs/>
          <w:sz w:val="24"/>
          <w:szCs w:val="24"/>
        </w:rPr>
      </w:pPr>
      <w:r w:rsidRPr="00F953B6">
        <w:rPr>
          <w:rFonts w:asciiTheme="minorBidi" w:hAnsiTheme="minorBidi"/>
          <w:b/>
          <w:bCs/>
          <w:sz w:val="24"/>
          <w:szCs w:val="24"/>
        </w:rPr>
        <w:t>“A Kingdom of Priests”</w:t>
      </w:r>
    </w:p>
    <w:p w14:paraId="71183453" w14:textId="77777777" w:rsidR="00064137" w:rsidRPr="00F953B6" w:rsidRDefault="00064137" w:rsidP="00D601D8">
      <w:pPr>
        <w:spacing w:after="0" w:line="240" w:lineRule="auto"/>
        <w:jc w:val="both"/>
        <w:rPr>
          <w:rFonts w:asciiTheme="minorBidi" w:hAnsiTheme="minorBidi"/>
          <w:sz w:val="24"/>
          <w:szCs w:val="24"/>
        </w:rPr>
      </w:pPr>
    </w:p>
    <w:p w14:paraId="4EF0E37B" w14:textId="73164B47" w:rsidR="007C389F"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Furthermore, the freer the king’s rein and the greater the need for sophisticated moral sensibility, the more the king ought to turn to Torah to help him develop and nurture his own.</w:t>
      </w:r>
      <w:r w:rsidR="00C53027">
        <w:rPr>
          <w:rFonts w:asciiTheme="minorBidi" w:hAnsiTheme="minorBidi"/>
          <w:sz w:val="24"/>
          <w:szCs w:val="24"/>
        </w:rPr>
        <w:t xml:space="preserve"> </w:t>
      </w:r>
      <w:r w:rsidRPr="00F953B6">
        <w:rPr>
          <w:rFonts w:asciiTheme="minorBidi" w:hAnsiTheme="minorBidi"/>
          <w:sz w:val="24"/>
          <w:szCs w:val="24"/>
        </w:rPr>
        <w:t>Torah is his point of departure, his final destination, and his guide throughout, even as he consciously exercises his own judgment; and the implications for us are clear:</w:t>
      </w:r>
      <w:r w:rsidR="00C53027">
        <w:rPr>
          <w:rFonts w:asciiTheme="minorBidi" w:hAnsiTheme="minorBidi"/>
          <w:sz w:val="24"/>
          <w:szCs w:val="24"/>
        </w:rPr>
        <w:t xml:space="preserve"> </w:t>
      </w:r>
      <w:r w:rsidRPr="00F953B6">
        <w:rPr>
          <w:rFonts w:asciiTheme="minorBidi" w:hAnsiTheme="minorBidi"/>
          <w:sz w:val="24"/>
          <w:szCs w:val="24"/>
        </w:rPr>
        <w:t xml:space="preserve">If, from the “Laws of Kings,” we glean a rabbinic endorsement of extra-halakhic moral intuition, then we must make equal note of the king’s simultaneous attachment to and rootedness in his beloved Torah scroll. </w:t>
      </w:r>
    </w:p>
    <w:p w14:paraId="4AE71DD7" w14:textId="77777777" w:rsidR="007C389F" w:rsidRPr="00F953B6" w:rsidRDefault="007C389F" w:rsidP="00D601D8">
      <w:pPr>
        <w:spacing w:after="0" w:line="240" w:lineRule="auto"/>
        <w:jc w:val="both"/>
        <w:rPr>
          <w:rFonts w:asciiTheme="minorBidi" w:hAnsiTheme="minorBidi"/>
          <w:sz w:val="24"/>
          <w:szCs w:val="24"/>
        </w:rPr>
      </w:pPr>
    </w:p>
    <w:p w14:paraId="351CF85F" w14:textId="34A224E9" w:rsidR="001C17F5"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lastRenderedPageBreak/>
        <w:t xml:space="preserve">The deeper </w:t>
      </w:r>
      <w:r w:rsidR="007C389F" w:rsidRPr="00F953B6">
        <w:rPr>
          <w:rFonts w:asciiTheme="minorBidi" w:hAnsiTheme="minorBidi"/>
          <w:sz w:val="24"/>
          <w:szCs w:val="24"/>
        </w:rPr>
        <w:t>the king’s</w:t>
      </w:r>
      <w:r w:rsidRPr="00F953B6">
        <w:rPr>
          <w:rFonts w:asciiTheme="minorBidi" w:hAnsiTheme="minorBidi"/>
          <w:sz w:val="24"/>
          <w:szCs w:val="24"/>
        </w:rPr>
        <w:t xml:space="preserve"> involvement in the law, the richer and more genuinely “Jewish” will be his legislation and policymaking</w:t>
      </w:r>
      <w:r w:rsidR="007C389F" w:rsidRPr="00F953B6">
        <w:rPr>
          <w:rFonts w:asciiTheme="minorBidi" w:hAnsiTheme="minorBidi"/>
          <w:sz w:val="24"/>
          <w:szCs w:val="24"/>
        </w:rPr>
        <w:t>,</w:t>
      </w:r>
      <w:r w:rsidRPr="00F953B6">
        <w:rPr>
          <w:rFonts w:asciiTheme="minorBidi" w:hAnsiTheme="minorBidi"/>
          <w:sz w:val="24"/>
          <w:szCs w:val="24"/>
        </w:rPr>
        <w:t xml:space="preserve"> and the same is true for our own ethical responses at both the macro and micro levels. </w:t>
      </w:r>
      <w:r w:rsidR="00EC48ED">
        <w:rPr>
          <w:rFonts w:asciiTheme="minorBidi" w:hAnsiTheme="minorBidi"/>
          <w:sz w:val="24"/>
          <w:szCs w:val="24"/>
        </w:rPr>
        <w:t>A</w:t>
      </w:r>
      <w:r w:rsidR="002A2EA6" w:rsidRPr="00F953B6">
        <w:rPr>
          <w:rFonts w:asciiTheme="minorBidi" w:hAnsiTheme="minorBidi"/>
          <w:sz w:val="24"/>
          <w:szCs w:val="24"/>
        </w:rPr>
        <w:t>pply</w:t>
      </w:r>
      <w:r w:rsidR="00EC48ED">
        <w:rPr>
          <w:rFonts w:asciiTheme="minorBidi" w:hAnsiTheme="minorBidi"/>
          <w:sz w:val="24"/>
          <w:szCs w:val="24"/>
        </w:rPr>
        <w:t>ing</w:t>
      </w:r>
      <w:r w:rsidR="002A2EA6" w:rsidRPr="00F953B6">
        <w:rPr>
          <w:rFonts w:asciiTheme="minorBidi" w:hAnsiTheme="minorBidi"/>
          <w:sz w:val="24"/>
          <w:szCs w:val="24"/>
        </w:rPr>
        <w:t xml:space="preserve"> the lessons of monarchy to the everyday lives of commoners is not </w:t>
      </w:r>
      <w:r w:rsidR="00217031" w:rsidRPr="00F953B6">
        <w:rPr>
          <w:rFonts w:asciiTheme="minorBidi" w:hAnsiTheme="minorBidi"/>
          <w:sz w:val="24"/>
          <w:szCs w:val="24"/>
        </w:rPr>
        <w:t>a stretch</w:t>
      </w:r>
      <w:r w:rsidR="002173C2" w:rsidRPr="00F953B6">
        <w:rPr>
          <w:rFonts w:asciiTheme="minorBidi" w:hAnsiTheme="minorBidi"/>
          <w:sz w:val="24"/>
          <w:szCs w:val="24"/>
        </w:rPr>
        <w:t>.</w:t>
      </w:r>
      <w:r w:rsidR="00217031" w:rsidRPr="00F953B6">
        <w:rPr>
          <w:rFonts w:asciiTheme="minorBidi" w:hAnsiTheme="minorBidi"/>
          <w:sz w:val="24"/>
          <w:szCs w:val="24"/>
        </w:rPr>
        <w:t xml:space="preserve"> </w:t>
      </w:r>
      <w:r w:rsidR="002173C2" w:rsidRPr="00F953B6">
        <w:rPr>
          <w:rFonts w:asciiTheme="minorBidi" w:hAnsiTheme="minorBidi"/>
          <w:sz w:val="24"/>
          <w:szCs w:val="24"/>
        </w:rPr>
        <w:t>The</w:t>
      </w:r>
      <w:r w:rsidR="001C17F5" w:rsidRPr="00F953B6">
        <w:rPr>
          <w:rFonts w:asciiTheme="minorBidi" w:hAnsiTheme="minorBidi"/>
          <w:sz w:val="24"/>
          <w:szCs w:val="24"/>
        </w:rPr>
        <w:t xml:space="preserve"> Midrash </w:t>
      </w:r>
      <w:r w:rsidR="000D1347" w:rsidRPr="00F953B6">
        <w:rPr>
          <w:rFonts w:asciiTheme="minorBidi" w:hAnsiTheme="minorBidi"/>
          <w:sz w:val="24"/>
          <w:szCs w:val="24"/>
        </w:rPr>
        <w:t xml:space="preserve">beautifully </w:t>
      </w:r>
      <w:r w:rsidR="001C17F5" w:rsidRPr="00F953B6">
        <w:rPr>
          <w:rFonts w:asciiTheme="minorBidi" w:hAnsiTheme="minorBidi"/>
          <w:sz w:val="24"/>
          <w:szCs w:val="24"/>
        </w:rPr>
        <w:t xml:space="preserve">notes that each Jew is </w:t>
      </w:r>
      <w:r w:rsidR="00EF54E2" w:rsidRPr="00F953B6">
        <w:rPr>
          <w:rFonts w:asciiTheme="minorBidi" w:hAnsiTheme="minorBidi"/>
          <w:sz w:val="24"/>
          <w:szCs w:val="24"/>
        </w:rPr>
        <w:t xml:space="preserve">a member of royalty </w:t>
      </w:r>
      <w:r w:rsidR="001C17F5" w:rsidRPr="00F953B6">
        <w:rPr>
          <w:rFonts w:asciiTheme="minorBidi" w:hAnsiTheme="minorBidi"/>
          <w:sz w:val="24"/>
          <w:szCs w:val="24"/>
        </w:rPr>
        <w:t xml:space="preserve">and thus </w:t>
      </w:r>
      <w:r w:rsidR="00724ABC" w:rsidRPr="00F953B6">
        <w:rPr>
          <w:rFonts w:asciiTheme="minorBidi" w:hAnsiTheme="minorBidi"/>
          <w:sz w:val="24"/>
          <w:szCs w:val="24"/>
        </w:rPr>
        <w:t>shares</w:t>
      </w:r>
      <w:r w:rsidR="001C17F5" w:rsidRPr="00F953B6">
        <w:rPr>
          <w:rFonts w:asciiTheme="minorBidi" w:hAnsiTheme="minorBidi"/>
          <w:sz w:val="24"/>
          <w:szCs w:val="24"/>
        </w:rPr>
        <w:t xml:space="preserve"> something of the king’s mission for justice:</w:t>
      </w:r>
    </w:p>
    <w:p w14:paraId="4A71D594" w14:textId="0C1B6383" w:rsidR="00DC1AB1" w:rsidRPr="00F953B6" w:rsidRDefault="00DC1AB1" w:rsidP="00D601D8">
      <w:pPr>
        <w:spacing w:after="0" w:line="240" w:lineRule="auto"/>
        <w:jc w:val="both"/>
        <w:rPr>
          <w:rFonts w:asciiTheme="minorBidi" w:hAnsiTheme="minorBidi"/>
          <w:sz w:val="24"/>
          <w:szCs w:val="24"/>
        </w:rPr>
      </w:pPr>
    </w:p>
    <w:p w14:paraId="5F52B501" w14:textId="2D40262B" w:rsidR="00BC2228" w:rsidRPr="00F953B6" w:rsidRDefault="00106623"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w:t>
      </w:r>
      <w:r w:rsidR="00DC1AB1" w:rsidRPr="00F953B6">
        <w:rPr>
          <w:rFonts w:asciiTheme="minorBidi" w:hAnsiTheme="minorBidi"/>
          <w:sz w:val="24"/>
          <w:szCs w:val="24"/>
        </w:rPr>
        <w:t>The king through justice stabilizes the land</w:t>
      </w:r>
      <w:r w:rsidRPr="00F953B6">
        <w:rPr>
          <w:rFonts w:asciiTheme="minorBidi" w:hAnsiTheme="minorBidi"/>
          <w:sz w:val="24"/>
          <w:szCs w:val="24"/>
        </w:rPr>
        <w:t>”</w:t>
      </w:r>
      <w:r w:rsidR="00DC1AB1" w:rsidRPr="00F953B6">
        <w:rPr>
          <w:rFonts w:asciiTheme="minorBidi" w:hAnsiTheme="minorBidi"/>
          <w:sz w:val="24"/>
          <w:szCs w:val="24"/>
        </w:rPr>
        <w:t xml:space="preserve"> (</w:t>
      </w:r>
      <w:r w:rsidR="00DC1AB1" w:rsidRPr="00F953B6">
        <w:rPr>
          <w:rFonts w:asciiTheme="minorBidi" w:hAnsiTheme="minorBidi"/>
          <w:i/>
          <w:iCs/>
          <w:sz w:val="24"/>
          <w:szCs w:val="24"/>
        </w:rPr>
        <w:t>Mishlei</w:t>
      </w:r>
      <w:r w:rsidR="00DC1AB1" w:rsidRPr="00F953B6">
        <w:rPr>
          <w:rFonts w:asciiTheme="minorBidi" w:hAnsiTheme="minorBidi"/>
          <w:sz w:val="24"/>
          <w:szCs w:val="24"/>
        </w:rPr>
        <w:t xml:space="preserve"> 29:4)</w:t>
      </w:r>
      <w:r w:rsidR="0034673E">
        <w:rPr>
          <w:rFonts w:asciiTheme="minorBidi" w:hAnsiTheme="minorBidi"/>
          <w:sz w:val="24"/>
          <w:szCs w:val="24"/>
        </w:rPr>
        <w:t xml:space="preserve"> — </w:t>
      </w:r>
      <w:r w:rsidR="00DC1AB1" w:rsidRPr="00F953B6">
        <w:rPr>
          <w:rFonts w:asciiTheme="minorBidi" w:hAnsiTheme="minorBidi"/>
          <w:sz w:val="24"/>
          <w:szCs w:val="24"/>
        </w:rPr>
        <w:t xml:space="preserve">this is the Jews, as it says, </w:t>
      </w:r>
      <w:r w:rsidRPr="00F953B6">
        <w:rPr>
          <w:rFonts w:asciiTheme="minorBidi" w:hAnsiTheme="minorBidi"/>
          <w:sz w:val="24"/>
          <w:szCs w:val="24"/>
        </w:rPr>
        <w:t>“</w:t>
      </w:r>
      <w:r w:rsidR="00DC1AB1" w:rsidRPr="00F953B6">
        <w:rPr>
          <w:rFonts w:asciiTheme="minorBidi" w:hAnsiTheme="minorBidi"/>
          <w:sz w:val="24"/>
          <w:szCs w:val="24"/>
        </w:rPr>
        <w:t xml:space="preserve">And you shall be for </w:t>
      </w:r>
      <w:r w:rsidR="00C53027">
        <w:rPr>
          <w:rFonts w:asciiTheme="minorBidi" w:hAnsiTheme="minorBidi"/>
          <w:sz w:val="24"/>
          <w:szCs w:val="24"/>
        </w:rPr>
        <w:t>M</w:t>
      </w:r>
      <w:r w:rsidR="00DC1AB1" w:rsidRPr="00F953B6">
        <w:rPr>
          <w:rFonts w:asciiTheme="minorBidi" w:hAnsiTheme="minorBidi"/>
          <w:sz w:val="24"/>
          <w:szCs w:val="24"/>
        </w:rPr>
        <w:t>e a kingdom of priests</w:t>
      </w:r>
      <w:r w:rsidRPr="00F953B6">
        <w:rPr>
          <w:rFonts w:asciiTheme="minorBidi" w:hAnsiTheme="minorBidi"/>
          <w:sz w:val="24"/>
          <w:szCs w:val="24"/>
        </w:rPr>
        <w:t>”</w:t>
      </w:r>
      <w:r w:rsidR="00DC1AB1" w:rsidRPr="00F953B6">
        <w:rPr>
          <w:rFonts w:asciiTheme="minorBidi" w:hAnsiTheme="minorBidi"/>
          <w:sz w:val="24"/>
          <w:szCs w:val="24"/>
        </w:rPr>
        <w:t xml:space="preserve"> (</w:t>
      </w:r>
      <w:r w:rsidR="00DC1AB1" w:rsidRPr="00F953B6">
        <w:rPr>
          <w:rFonts w:asciiTheme="minorBidi" w:hAnsiTheme="minorBidi"/>
          <w:i/>
          <w:iCs/>
          <w:sz w:val="24"/>
          <w:szCs w:val="24"/>
        </w:rPr>
        <w:t>Shemot</w:t>
      </w:r>
      <w:r w:rsidR="00DC1AB1" w:rsidRPr="00F953B6">
        <w:rPr>
          <w:rFonts w:asciiTheme="minorBidi" w:hAnsiTheme="minorBidi"/>
          <w:sz w:val="24"/>
          <w:szCs w:val="24"/>
        </w:rPr>
        <w:t xml:space="preserve"> 1</w:t>
      </w:r>
      <w:r w:rsidRPr="00F953B6">
        <w:rPr>
          <w:rFonts w:asciiTheme="minorBidi" w:hAnsiTheme="minorBidi"/>
          <w:sz w:val="24"/>
          <w:szCs w:val="24"/>
        </w:rPr>
        <w:t>9:6). (</w:t>
      </w:r>
      <w:r w:rsidRPr="00F953B6">
        <w:rPr>
          <w:rFonts w:asciiTheme="minorBidi" w:hAnsiTheme="minorBidi"/>
          <w:i/>
          <w:iCs/>
          <w:sz w:val="24"/>
          <w:szCs w:val="24"/>
        </w:rPr>
        <w:t>Shemot Rabba</w:t>
      </w:r>
      <w:r w:rsidR="00932799" w:rsidRPr="00F953B6">
        <w:rPr>
          <w:rFonts w:asciiTheme="minorBidi" w:hAnsiTheme="minorBidi"/>
          <w:sz w:val="24"/>
          <w:szCs w:val="24"/>
        </w:rPr>
        <w:t xml:space="preserve"> 30:13)</w:t>
      </w:r>
    </w:p>
    <w:p w14:paraId="5E79B2FC" w14:textId="748D3E54" w:rsidR="009D2B79" w:rsidRPr="00F953B6" w:rsidRDefault="009D2B79" w:rsidP="00D601D8">
      <w:pPr>
        <w:spacing w:after="0" w:line="240" w:lineRule="auto"/>
        <w:jc w:val="both"/>
        <w:rPr>
          <w:rFonts w:asciiTheme="minorBidi" w:hAnsiTheme="minorBidi"/>
          <w:sz w:val="24"/>
          <w:szCs w:val="24"/>
        </w:rPr>
      </w:pPr>
    </w:p>
    <w:p w14:paraId="49335DC6" w14:textId="110515CB" w:rsidR="00596601" w:rsidRPr="00F953B6" w:rsidRDefault="0011646B" w:rsidP="00D601D8">
      <w:pPr>
        <w:spacing w:after="0" w:line="240" w:lineRule="auto"/>
        <w:jc w:val="both"/>
        <w:rPr>
          <w:rFonts w:asciiTheme="minorBidi" w:hAnsiTheme="minorBidi"/>
          <w:sz w:val="24"/>
          <w:szCs w:val="24"/>
          <w:rtl/>
        </w:rPr>
      </w:pPr>
      <w:r w:rsidRPr="00F953B6">
        <w:rPr>
          <w:rFonts w:asciiTheme="minorBidi" w:hAnsiTheme="minorBidi"/>
          <w:sz w:val="24"/>
          <w:szCs w:val="24"/>
        </w:rPr>
        <w:t xml:space="preserve">If so, then </w:t>
      </w:r>
      <w:r w:rsidR="00932799" w:rsidRPr="00F953B6">
        <w:rPr>
          <w:rFonts w:asciiTheme="minorBidi" w:hAnsiTheme="minorBidi"/>
          <w:sz w:val="24"/>
          <w:szCs w:val="24"/>
        </w:rPr>
        <w:t>e</w:t>
      </w:r>
      <w:r w:rsidR="00596601" w:rsidRPr="00F953B6">
        <w:rPr>
          <w:rFonts w:asciiTheme="minorBidi" w:hAnsiTheme="minorBidi"/>
          <w:sz w:val="24"/>
          <w:szCs w:val="24"/>
        </w:rPr>
        <w:t xml:space="preserve">ven if we do not </w:t>
      </w:r>
      <w:r w:rsidR="00724ABC" w:rsidRPr="00F953B6">
        <w:rPr>
          <w:rFonts w:asciiTheme="minorBidi" w:hAnsiTheme="minorBidi"/>
          <w:sz w:val="24"/>
          <w:szCs w:val="24"/>
        </w:rPr>
        <w:t>bear</w:t>
      </w:r>
      <w:r w:rsidR="002C1F9F" w:rsidRPr="00F953B6">
        <w:rPr>
          <w:rFonts w:asciiTheme="minorBidi" w:hAnsiTheme="minorBidi"/>
          <w:sz w:val="24"/>
          <w:szCs w:val="24"/>
        </w:rPr>
        <w:t xml:space="preserve"> </w:t>
      </w:r>
      <w:r w:rsidR="00596601" w:rsidRPr="00F953B6">
        <w:rPr>
          <w:rFonts w:asciiTheme="minorBidi" w:hAnsiTheme="minorBidi"/>
          <w:sz w:val="24"/>
          <w:szCs w:val="24"/>
        </w:rPr>
        <w:t xml:space="preserve">the king’s technical requirement to wear a Torah scroll on his arm, we are similarly charged by the verse which dictates this practice, especially as we navigate the </w:t>
      </w:r>
      <w:r w:rsidR="002C1F9F" w:rsidRPr="00F953B6">
        <w:rPr>
          <w:rFonts w:asciiTheme="minorBidi" w:hAnsiTheme="minorBidi"/>
          <w:sz w:val="24"/>
          <w:szCs w:val="24"/>
        </w:rPr>
        <w:t xml:space="preserve">less </w:t>
      </w:r>
      <w:r w:rsidR="00596601" w:rsidRPr="00F953B6">
        <w:rPr>
          <w:rFonts w:asciiTheme="minorBidi" w:hAnsiTheme="minorBidi"/>
          <w:sz w:val="24"/>
          <w:szCs w:val="24"/>
        </w:rPr>
        <w:t>legislated parts of our lives:</w:t>
      </w:r>
      <w:r w:rsidR="00C53027">
        <w:rPr>
          <w:rFonts w:asciiTheme="minorBidi" w:hAnsiTheme="minorBidi"/>
          <w:sz w:val="24"/>
          <w:szCs w:val="24"/>
        </w:rPr>
        <w:t xml:space="preserve"> </w:t>
      </w:r>
    </w:p>
    <w:p w14:paraId="52A154B0" w14:textId="77777777" w:rsidR="00596601" w:rsidRPr="00F953B6" w:rsidRDefault="00596601" w:rsidP="00D601D8">
      <w:pPr>
        <w:spacing w:after="0" w:line="240" w:lineRule="auto"/>
        <w:jc w:val="both"/>
        <w:rPr>
          <w:rFonts w:asciiTheme="minorBidi" w:hAnsiTheme="minorBidi"/>
          <w:sz w:val="24"/>
          <w:szCs w:val="24"/>
        </w:rPr>
      </w:pPr>
    </w:p>
    <w:p w14:paraId="123AC306" w14:textId="77777777" w:rsidR="00596601" w:rsidRPr="00F953B6" w:rsidRDefault="00596601" w:rsidP="00D601D8">
      <w:pPr>
        <w:spacing w:after="0" w:line="240" w:lineRule="auto"/>
        <w:ind w:left="720"/>
        <w:jc w:val="both"/>
        <w:rPr>
          <w:rFonts w:asciiTheme="minorBidi" w:hAnsiTheme="minorBidi"/>
          <w:sz w:val="24"/>
          <w:szCs w:val="24"/>
        </w:rPr>
      </w:pPr>
      <w:r w:rsidRPr="00F953B6">
        <w:rPr>
          <w:rFonts w:asciiTheme="minorBidi" w:hAnsiTheme="minorBidi"/>
          <w:sz w:val="24"/>
          <w:szCs w:val="24"/>
        </w:rPr>
        <w:t>He fashions [the scroll] into an amulet and hangs it on his arm, as it says, “I have placed God before me, always” (</w:t>
      </w:r>
      <w:r w:rsidRPr="00F953B6">
        <w:rPr>
          <w:rFonts w:asciiTheme="minorBidi" w:hAnsiTheme="minorBidi"/>
          <w:i/>
          <w:iCs/>
          <w:sz w:val="24"/>
          <w:szCs w:val="24"/>
        </w:rPr>
        <w:t>Tehillim</w:t>
      </w:r>
      <w:r w:rsidRPr="00F953B6">
        <w:rPr>
          <w:rFonts w:asciiTheme="minorBidi" w:hAnsiTheme="minorBidi"/>
          <w:sz w:val="24"/>
          <w:szCs w:val="24"/>
        </w:rPr>
        <w:t xml:space="preserve"> 16:8). (</w:t>
      </w:r>
      <w:r w:rsidRPr="00F953B6">
        <w:rPr>
          <w:rFonts w:asciiTheme="minorBidi" w:hAnsiTheme="minorBidi"/>
          <w:i/>
          <w:iCs/>
          <w:sz w:val="24"/>
          <w:szCs w:val="24"/>
        </w:rPr>
        <w:t>Sanhedrin</w:t>
      </w:r>
      <w:r w:rsidRPr="00F953B6">
        <w:rPr>
          <w:rFonts w:asciiTheme="minorBidi" w:hAnsiTheme="minorBidi"/>
          <w:sz w:val="24"/>
          <w:szCs w:val="24"/>
        </w:rPr>
        <w:t xml:space="preserve"> 22a)</w:t>
      </w:r>
    </w:p>
    <w:p w14:paraId="735883E9" w14:textId="77777777" w:rsidR="00596601" w:rsidRPr="00F953B6" w:rsidRDefault="00596601" w:rsidP="00D601D8">
      <w:pPr>
        <w:spacing w:after="0" w:line="240" w:lineRule="auto"/>
        <w:jc w:val="both"/>
        <w:rPr>
          <w:rFonts w:asciiTheme="minorBidi" w:hAnsiTheme="minorBidi"/>
          <w:sz w:val="24"/>
          <w:szCs w:val="24"/>
        </w:rPr>
      </w:pPr>
    </w:p>
    <w:p w14:paraId="2233FB67" w14:textId="6E559373" w:rsidR="003B188B" w:rsidRPr="00F953B6" w:rsidRDefault="003B145D"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Out of contemplation of </w:t>
      </w:r>
      <w:r w:rsidR="00CD2BF4" w:rsidRPr="00F953B6">
        <w:rPr>
          <w:rFonts w:asciiTheme="minorBidi" w:hAnsiTheme="minorBidi"/>
          <w:sz w:val="24"/>
          <w:szCs w:val="24"/>
        </w:rPr>
        <w:t>the</w:t>
      </w:r>
      <w:r w:rsidRPr="00F953B6">
        <w:rPr>
          <w:rFonts w:asciiTheme="minorBidi" w:hAnsiTheme="minorBidi"/>
          <w:sz w:val="24"/>
          <w:szCs w:val="24"/>
        </w:rPr>
        <w:t xml:space="preserve"> law </w:t>
      </w:r>
      <w:r w:rsidR="00DB6483">
        <w:rPr>
          <w:rFonts w:asciiTheme="minorBidi" w:hAnsiTheme="minorBidi"/>
          <w:sz w:val="24"/>
          <w:szCs w:val="24"/>
        </w:rPr>
        <w:t>sprouts</w:t>
      </w:r>
      <w:r w:rsidRPr="00F953B6">
        <w:rPr>
          <w:rFonts w:asciiTheme="minorBidi" w:hAnsiTheme="minorBidi"/>
          <w:sz w:val="24"/>
          <w:szCs w:val="24"/>
        </w:rPr>
        <w:t xml:space="preserve"> spontaneous intuition; from its minutiae can we discern guiding values</w:t>
      </w:r>
      <w:r w:rsidR="0082142E" w:rsidRPr="00F953B6">
        <w:rPr>
          <w:rFonts w:asciiTheme="minorBidi" w:hAnsiTheme="minorBidi"/>
          <w:sz w:val="24"/>
          <w:szCs w:val="24"/>
        </w:rPr>
        <w:t xml:space="preserve"> for ourselves</w:t>
      </w:r>
      <w:r w:rsidRPr="00F953B6">
        <w:rPr>
          <w:rFonts w:asciiTheme="minorBidi" w:hAnsiTheme="minorBidi"/>
          <w:sz w:val="24"/>
          <w:szCs w:val="24"/>
        </w:rPr>
        <w:t xml:space="preserve">. </w:t>
      </w:r>
      <w:r w:rsidR="00130386" w:rsidRPr="00F953B6">
        <w:rPr>
          <w:rFonts w:asciiTheme="minorBidi" w:hAnsiTheme="minorBidi"/>
          <w:sz w:val="24"/>
          <w:szCs w:val="24"/>
        </w:rPr>
        <w:t>Standing before God</w:t>
      </w:r>
      <w:r w:rsidR="00B51ECC" w:rsidRPr="00F953B6">
        <w:rPr>
          <w:rFonts w:asciiTheme="minorBidi" w:hAnsiTheme="minorBidi"/>
          <w:sz w:val="24"/>
          <w:szCs w:val="24"/>
        </w:rPr>
        <w:t xml:space="preserve"> </w:t>
      </w:r>
      <w:r w:rsidR="00CD2BF4" w:rsidRPr="00F953B6">
        <w:rPr>
          <w:rFonts w:asciiTheme="minorBidi" w:hAnsiTheme="minorBidi"/>
          <w:sz w:val="24"/>
          <w:szCs w:val="24"/>
        </w:rPr>
        <w:t xml:space="preserve">and his Torah </w:t>
      </w:r>
      <w:r w:rsidR="00B51ECC" w:rsidRPr="00F953B6">
        <w:rPr>
          <w:rFonts w:asciiTheme="minorBidi" w:hAnsiTheme="minorBidi"/>
          <w:sz w:val="24"/>
          <w:szCs w:val="24"/>
        </w:rPr>
        <w:t>w</w:t>
      </w:r>
      <w:r w:rsidR="00130386" w:rsidRPr="00F953B6">
        <w:rPr>
          <w:rFonts w:asciiTheme="minorBidi" w:hAnsiTheme="minorBidi"/>
          <w:sz w:val="24"/>
          <w:szCs w:val="24"/>
        </w:rPr>
        <w:t xml:space="preserve">ith </w:t>
      </w:r>
      <w:r w:rsidR="00B13D58" w:rsidRPr="00F953B6">
        <w:rPr>
          <w:rFonts w:asciiTheme="minorBidi" w:hAnsiTheme="minorBidi"/>
          <w:sz w:val="24"/>
          <w:szCs w:val="24"/>
        </w:rPr>
        <w:t xml:space="preserve">humility “fit for a king,” </w:t>
      </w:r>
      <w:r w:rsidR="00974215" w:rsidRPr="00F953B6">
        <w:rPr>
          <w:rFonts w:asciiTheme="minorBidi" w:hAnsiTheme="minorBidi"/>
          <w:sz w:val="24"/>
          <w:szCs w:val="24"/>
        </w:rPr>
        <w:t xml:space="preserve">we </w:t>
      </w:r>
      <w:r w:rsidR="00713B51" w:rsidRPr="00F953B6">
        <w:rPr>
          <w:rFonts w:asciiTheme="minorBidi" w:hAnsiTheme="minorBidi"/>
          <w:sz w:val="24"/>
          <w:szCs w:val="24"/>
        </w:rPr>
        <w:t xml:space="preserve">want to </w:t>
      </w:r>
      <w:r w:rsidR="004649EA" w:rsidRPr="00F953B6">
        <w:rPr>
          <w:rFonts w:asciiTheme="minorBidi" w:hAnsiTheme="minorBidi"/>
          <w:sz w:val="24"/>
          <w:szCs w:val="24"/>
        </w:rPr>
        <w:t xml:space="preserve">be </w:t>
      </w:r>
      <w:r w:rsidR="001142E9" w:rsidRPr="00F953B6">
        <w:rPr>
          <w:rFonts w:asciiTheme="minorBidi" w:hAnsiTheme="minorBidi"/>
          <w:sz w:val="24"/>
          <w:szCs w:val="24"/>
        </w:rPr>
        <w:t>bold and assertive</w:t>
      </w:r>
      <w:r w:rsidR="00FE35D6" w:rsidRPr="00F953B6">
        <w:rPr>
          <w:rFonts w:asciiTheme="minorBidi" w:hAnsiTheme="minorBidi"/>
          <w:sz w:val="24"/>
          <w:szCs w:val="24"/>
        </w:rPr>
        <w:t xml:space="preserve"> with our best moral intuition</w:t>
      </w:r>
      <w:r w:rsidR="004649EA" w:rsidRPr="00F953B6">
        <w:rPr>
          <w:rFonts w:asciiTheme="minorBidi" w:hAnsiTheme="minorBidi"/>
          <w:sz w:val="24"/>
          <w:szCs w:val="24"/>
        </w:rPr>
        <w:t xml:space="preserve">, but </w:t>
      </w:r>
      <w:r w:rsidR="00B64CC5" w:rsidRPr="00F953B6">
        <w:rPr>
          <w:rFonts w:asciiTheme="minorBidi" w:hAnsiTheme="minorBidi"/>
          <w:sz w:val="24"/>
          <w:szCs w:val="24"/>
        </w:rPr>
        <w:t>never</w:t>
      </w:r>
      <w:r w:rsidR="001142E9" w:rsidRPr="00F953B6">
        <w:rPr>
          <w:rFonts w:asciiTheme="minorBidi" w:hAnsiTheme="minorBidi"/>
          <w:sz w:val="24"/>
          <w:szCs w:val="24"/>
        </w:rPr>
        <w:t xml:space="preserve">, Heaven forbid, </w:t>
      </w:r>
      <w:r w:rsidR="007A77F5" w:rsidRPr="00F953B6">
        <w:rPr>
          <w:rFonts w:asciiTheme="minorBidi" w:hAnsiTheme="minorBidi"/>
          <w:sz w:val="24"/>
          <w:szCs w:val="24"/>
        </w:rPr>
        <w:t>in ways that</w:t>
      </w:r>
      <w:r w:rsidR="0064324E" w:rsidRPr="00F953B6">
        <w:rPr>
          <w:rFonts w:asciiTheme="minorBidi" w:hAnsiTheme="minorBidi"/>
          <w:sz w:val="24"/>
          <w:szCs w:val="24"/>
        </w:rPr>
        <w:t xml:space="preserve"> </w:t>
      </w:r>
      <w:r w:rsidR="00525DD7" w:rsidRPr="00F953B6">
        <w:rPr>
          <w:rFonts w:asciiTheme="minorBidi" w:hAnsiTheme="minorBidi"/>
          <w:sz w:val="24"/>
          <w:szCs w:val="24"/>
        </w:rPr>
        <w:t xml:space="preserve">negate or </w:t>
      </w:r>
      <w:r w:rsidR="00A908D7" w:rsidRPr="00F953B6">
        <w:rPr>
          <w:rFonts w:asciiTheme="minorBidi" w:hAnsiTheme="minorBidi"/>
          <w:sz w:val="24"/>
          <w:szCs w:val="24"/>
        </w:rPr>
        <w:t xml:space="preserve">compete with </w:t>
      </w:r>
      <w:r w:rsidR="0064324E" w:rsidRPr="00F953B6">
        <w:rPr>
          <w:rFonts w:asciiTheme="minorBidi" w:hAnsiTheme="minorBidi"/>
          <w:sz w:val="24"/>
          <w:szCs w:val="24"/>
        </w:rPr>
        <w:t>the law</w:t>
      </w:r>
      <w:r w:rsidR="00F45D6F" w:rsidRPr="00F953B6">
        <w:rPr>
          <w:rFonts w:asciiTheme="minorBidi" w:hAnsiTheme="minorBidi"/>
          <w:sz w:val="24"/>
          <w:szCs w:val="24"/>
        </w:rPr>
        <w:t xml:space="preserve">. </w:t>
      </w:r>
      <w:r w:rsidR="00962FEB" w:rsidRPr="00F953B6">
        <w:rPr>
          <w:rFonts w:asciiTheme="minorBidi" w:hAnsiTheme="minorBidi"/>
          <w:sz w:val="24"/>
          <w:szCs w:val="24"/>
        </w:rPr>
        <w:t>To the contrary</w:t>
      </w:r>
      <w:r w:rsidR="00F45D6F" w:rsidRPr="00F953B6">
        <w:rPr>
          <w:rFonts w:asciiTheme="minorBidi" w:hAnsiTheme="minorBidi"/>
          <w:sz w:val="24"/>
          <w:szCs w:val="24"/>
        </w:rPr>
        <w:t>,</w:t>
      </w:r>
      <w:r w:rsidR="00B64CC5" w:rsidRPr="00F953B6">
        <w:rPr>
          <w:rFonts w:asciiTheme="minorBidi" w:hAnsiTheme="minorBidi"/>
          <w:sz w:val="24"/>
          <w:szCs w:val="24"/>
        </w:rPr>
        <w:t xml:space="preserve"> </w:t>
      </w:r>
      <w:r w:rsidR="00A44216" w:rsidRPr="00F953B6">
        <w:rPr>
          <w:rFonts w:asciiTheme="minorBidi" w:hAnsiTheme="minorBidi"/>
          <w:sz w:val="24"/>
          <w:szCs w:val="24"/>
        </w:rPr>
        <w:t>we</w:t>
      </w:r>
      <w:r w:rsidR="0094320C" w:rsidRPr="00F953B6">
        <w:rPr>
          <w:rFonts w:asciiTheme="minorBidi" w:hAnsiTheme="minorBidi"/>
          <w:sz w:val="24"/>
          <w:szCs w:val="24"/>
        </w:rPr>
        <w:t xml:space="preserve"> </w:t>
      </w:r>
      <w:r w:rsidR="00713B51" w:rsidRPr="00F953B6">
        <w:rPr>
          <w:rFonts w:asciiTheme="minorBidi" w:hAnsiTheme="minorBidi"/>
          <w:sz w:val="24"/>
          <w:szCs w:val="24"/>
        </w:rPr>
        <w:t xml:space="preserve">seek to be its </w:t>
      </w:r>
      <w:r w:rsidR="005D6ED7" w:rsidRPr="00F953B6">
        <w:rPr>
          <w:rFonts w:asciiTheme="minorBidi" w:hAnsiTheme="minorBidi"/>
          <w:sz w:val="24"/>
          <w:szCs w:val="24"/>
        </w:rPr>
        <w:t xml:space="preserve">proud </w:t>
      </w:r>
      <w:r w:rsidR="00780DED" w:rsidRPr="00F953B6">
        <w:rPr>
          <w:rFonts w:asciiTheme="minorBidi" w:hAnsiTheme="minorBidi"/>
          <w:sz w:val="24"/>
          <w:szCs w:val="24"/>
        </w:rPr>
        <w:t>champion</w:t>
      </w:r>
      <w:r w:rsidR="00497235" w:rsidRPr="00F953B6">
        <w:rPr>
          <w:rFonts w:asciiTheme="minorBidi" w:hAnsiTheme="minorBidi"/>
          <w:sz w:val="24"/>
          <w:szCs w:val="24"/>
        </w:rPr>
        <w:t>s</w:t>
      </w:r>
      <w:r w:rsidR="00780DED" w:rsidRPr="00F953B6">
        <w:rPr>
          <w:rFonts w:asciiTheme="minorBidi" w:hAnsiTheme="minorBidi"/>
          <w:sz w:val="24"/>
          <w:szCs w:val="24"/>
        </w:rPr>
        <w:t xml:space="preserve">, </w:t>
      </w:r>
      <w:r w:rsidR="005C192B" w:rsidRPr="00F953B6">
        <w:rPr>
          <w:rFonts w:asciiTheme="minorBidi" w:hAnsiTheme="minorBidi"/>
          <w:sz w:val="24"/>
          <w:szCs w:val="24"/>
        </w:rPr>
        <w:t xml:space="preserve">ambitiously </w:t>
      </w:r>
      <w:r w:rsidR="0094320C" w:rsidRPr="00F953B6">
        <w:rPr>
          <w:rFonts w:asciiTheme="minorBidi" w:hAnsiTheme="minorBidi"/>
          <w:sz w:val="24"/>
          <w:szCs w:val="24"/>
        </w:rPr>
        <w:t>in</w:t>
      </w:r>
      <w:r w:rsidR="0064324E" w:rsidRPr="00F953B6">
        <w:rPr>
          <w:rFonts w:asciiTheme="minorBidi" w:hAnsiTheme="minorBidi"/>
          <w:sz w:val="24"/>
          <w:szCs w:val="24"/>
        </w:rPr>
        <w:t>fus</w:t>
      </w:r>
      <w:r w:rsidR="0094320C" w:rsidRPr="00F953B6">
        <w:rPr>
          <w:rFonts w:asciiTheme="minorBidi" w:hAnsiTheme="minorBidi"/>
          <w:sz w:val="24"/>
          <w:szCs w:val="24"/>
        </w:rPr>
        <w:t>ing</w:t>
      </w:r>
      <w:r w:rsidR="00C23A2E" w:rsidRPr="00F953B6">
        <w:rPr>
          <w:rFonts w:asciiTheme="minorBidi" w:hAnsiTheme="minorBidi"/>
          <w:sz w:val="24"/>
          <w:szCs w:val="24"/>
        </w:rPr>
        <w:t xml:space="preserve"> </w:t>
      </w:r>
      <w:r w:rsidR="0064324E" w:rsidRPr="00F953B6">
        <w:rPr>
          <w:rFonts w:asciiTheme="minorBidi" w:hAnsiTheme="minorBidi"/>
          <w:sz w:val="24"/>
          <w:szCs w:val="24"/>
        </w:rPr>
        <w:t xml:space="preserve">its spirit into </w:t>
      </w:r>
      <w:r w:rsidR="001F5795" w:rsidRPr="00F953B6">
        <w:rPr>
          <w:rFonts w:asciiTheme="minorBidi" w:hAnsiTheme="minorBidi"/>
          <w:sz w:val="24"/>
          <w:szCs w:val="24"/>
        </w:rPr>
        <w:t xml:space="preserve">every </w:t>
      </w:r>
      <w:r w:rsidR="0064324E" w:rsidRPr="00F953B6">
        <w:rPr>
          <w:rFonts w:asciiTheme="minorBidi" w:hAnsiTheme="minorBidi"/>
          <w:sz w:val="24"/>
          <w:szCs w:val="24"/>
        </w:rPr>
        <w:t>realm</w:t>
      </w:r>
      <w:r w:rsidR="001F5795" w:rsidRPr="00F953B6">
        <w:rPr>
          <w:rFonts w:asciiTheme="minorBidi" w:hAnsiTheme="minorBidi"/>
          <w:sz w:val="24"/>
          <w:szCs w:val="24"/>
        </w:rPr>
        <w:t xml:space="preserve"> we touch.</w:t>
      </w:r>
    </w:p>
    <w:p w14:paraId="24BD2B65" w14:textId="04B83CC2" w:rsidR="003B188B" w:rsidRDefault="003B188B" w:rsidP="00D601D8">
      <w:pPr>
        <w:spacing w:after="0" w:line="240" w:lineRule="auto"/>
        <w:jc w:val="both"/>
        <w:rPr>
          <w:rFonts w:asciiTheme="minorBidi" w:hAnsiTheme="minorBidi"/>
          <w:sz w:val="24"/>
          <w:szCs w:val="24"/>
        </w:rPr>
      </w:pPr>
    </w:p>
    <w:p w14:paraId="024FB44D" w14:textId="4D9F0F27" w:rsidR="003B145D" w:rsidRPr="00F953B6" w:rsidRDefault="003B145D" w:rsidP="00D601D8">
      <w:pPr>
        <w:spacing w:after="0" w:line="240" w:lineRule="auto"/>
        <w:jc w:val="both"/>
        <w:rPr>
          <w:rFonts w:asciiTheme="minorBidi" w:hAnsiTheme="minorBidi"/>
          <w:b/>
          <w:bCs/>
          <w:sz w:val="24"/>
          <w:szCs w:val="24"/>
        </w:rPr>
      </w:pPr>
    </w:p>
    <w:p w14:paraId="3B7956C2" w14:textId="456D046D" w:rsidR="00596601" w:rsidRPr="00F953B6" w:rsidRDefault="00596601" w:rsidP="00D601D8">
      <w:pPr>
        <w:spacing w:after="0" w:line="240" w:lineRule="auto"/>
        <w:jc w:val="both"/>
        <w:rPr>
          <w:rFonts w:asciiTheme="minorBidi" w:hAnsiTheme="minorBidi"/>
          <w:b/>
          <w:bCs/>
          <w:sz w:val="24"/>
          <w:szCs w:val="24"/>
        </w:rPr>
      </w:pPr>
      <w:r w:rsidRPr="00F953B6">
        <w:rPr>
          <w:rFonts w:asciiTheme="minorBidi" w:hAnsiTheme="minorBidi"/>
          <w:b/>
          <w:bCs/>
          <w:sz w:val="24"/>
          <w:szCs w:val="24"/>
        </w:rPr>
        <w:t>Conclusion</w:t>
      </w:r>
    </w:p>
    <w:p w14:paraId="390212DD" w14:textId="77777777" w:rsidR="00596601" w:rsidRPr="00F953B6" w:rsidRDefault="00596601" w:rsidP="00D601D8">
      <w:pPr>
        <w:spacing w:after="0" w:line="240" w:lineRule="auto"/>
        <w:jc w:val="both"/>
        <w:rPr>
          <w:rFonts w:asciiTheme="minorBidi" w:hAnsiTheme="minorBidi"/>
          <w:sz w:val="24"/>
          <w:szCs w:val="24"/>
        </w:rPr>
      </w:pPr>
    </w:p>
    <w:p w14:paraId="1F9A7F94" w14:textId="44866083" w:rsidR="00596601" w:rsidRPr="00F953B6" w:rsidRDefault="00596601" w:rsidP="00D601D8">
      <w:pPr>
        <w:spacing w:after="0" w:line="240" w:lineRule="auto"/>
        <w:jc w:val="both"/>
        <w:rPr>
          <w:rFonts w:asciiTheme="minorBidi" w:hAnsiTheme="minorBidi"/>
          <w:sz w:val="24"/>
          <w:szCs w:val="24"/>
        </w:rPr>
      </w:pPr>
      <w:r w:rsidRPr="00F953B6">
        <w:rPr>
          <w:rFonts w:asciiTheme="minorBidi" w:hAnsiTheme="minorBidi"/>
          <w:sz w:val="24"/>
          <w:szCs w:val="24"/>
        </w:rPr>
        <w:t xml:space="preserve">In the following shiur, we will return to our original question and explore if there is a specific connection between the king’s mandate to employ moral intuition and the </w:t>
      </w:r>
      <w:r w:rsidR="00224DC5" w:rsidRPr="00F953B6">
        <w:rPr>
          <w:rFonts w:asciiTheme="minorBidi" w:hAnsiTheme="minorBidi"/>
          <w:i/>
          <w:iCs/>
          <w:sz w:val="24"/>
          <w:szCs w:val="24"/>
        </w:rPr>
        <w:t>berit Avot</w:t>
      </w:r>
      <w:r w:rsidR="00224DC5" w:rsidRPr="00F953B6">
        <w:rPr>
          <w:rFonts w:asciiTheme="minorBidi" w:hAnsiTheme="minorBidi"/>
          <w:sz w:val="24"/>
          <w:szCs w:val="24"/>
        </w:rPr>
        <w:t xml:space="preserve"> </w:t>
      </w:r>
      <w:r w:rsidRPr="00F953B6">
        <w:rPr>
          <w:rFonts w:asciiTheme="minorBidi" w:hAnsiTheme="minorBidi"/>
          <w:sz w:val="24"/>
          <w:szCs w:val="24"/>
        </w:rPr>
        <w:t xml:space="preserve">value of </w:t>
      </w:r>
      <w:r w:rsidRPr="00F953B6">
        <w:rPr>
          <w:rFonts w:asciiTheme="minorBidi" w:hAnsiTheme="minorBidi"/>
          <w:i/>
          <w:iCs/>
          <w:sz w:val="24"/>
          <w:szCs w:val="24"/>
        </w:rPr>
        <w:t>tzedaka u-mishpat</w:t>
      </w:r>
      <w:r w:rsidRPr="00F953B6">
        <w:rPr>
          <w:rFonts w:asciiTheme="minorBidi" w:hAnsiTheme="minorBidi"/>
          <w:sz w:val="24"/>
          <w:szCs w:val="24"/>
        </w:rPr>
        <w:t>.</w:t>
      </w:r>
    </w:p>
    <w:p w14:paraId="051D1BB3" w14:textId="77777777" w:rsidR="00596601" w:rsidRPr="00F953B6" w:rsidRDefault="00596601" w:rsidP="00D601D8">
      <w:pPr>
        <w:spacing w:after="0" w:line="240" w:lineRule="auto"/>
        <w:jc w:val="both"/>
        <w:rPr>
          <w:rFonts w:asciiTheme="minorBidi" w:hAnsiTheme="minorBidi"/>
          <w:sz w:val="24"/>
          <w:szCs w:val="24"/>
        </w:rPr>
      </w:pPr>
    </w:p>
    <w:p w14:paraId="003D189C" w14:textId="77777777" w:rsidR="00F953B6" w:rsidRPr="00F953B6" w:rsidRDefault="00F953B6" w:rsidP="00D601D8">
      <w:pPr>
        <w:spacing w:after="0" w:line="240" w:lineRule="auto"/>
        <w:jc w:val="both"/>
        <w:rPr>
          <w:rFonts w:asciiTheme="minorBidi" w:hAnsiTheme="minorBidi"/>
          <w:sz w:val="24"/>
          <w:szCs w:val="24"/>
        </w:rPr>
      </w:pPr>
    </w:p>
    <w:p w14:paraId="7A181F54" w14:textId="77777777" w:rsidR="00596601" w:rsidRPr="00F953B6" w:rsidRDefault="00596601" w:rsidP="00D601D8">
      <w:pPr>
        <w:spacing w:after="0" w:line="240" w:lineRule="auto"/>
        <w:jc w:val="both"/>
        <w:rPr>
          <w:rFonts w:asciiTheme="minorBidi" w:hAnsiTheme="minorBidi"/>
          <w:b/>
          <w:bCs/>
          <w:sz w:val="24"/>
          <w:szCs w:val="24"/>
        </w:rPr>
      </w:pPr>
      <w:r w:rsidRPr="00F953B6">
        <w:rPr>
          <w:rFonts w:asciiTheme="minorBidi" w:hAnsiTheme="minorBidi"/>
          <w:b/>
          <w:bCs/>
          <w:sz w:val="24"/>
          <w:szCs w:val="24"/>
        </w:rPr>
        <w:t>Questions or Comments?</w:t>
      </w:r>
    </w:p>
    <w:p w14:paraId="0A76D048" w14:textId="77777777" w:rsidR="00596601" w:rsidRPr="00F953B6" w:rsidRDefault="00596601" w:rsidP="00D601D8">
      <w:pPr>
        <w:spacing w:after="0" w:line="240" w:lineRule="auto"/>
        <w:jc w:val="both"/>
        <w:rPr>
          <w:rFonts w:asciiTheme="minorBidi" w:hAnsiTheme="minorBidi"/>
          <w:sz w:val="24"/>
          <w:szCs w:val="24"/>
        </w:rPr>
      </w:pPr>
    </w:p>
    <w:p w14:paraId="310E74BE" w14:textId="418C47BE" w:rsidR="00596601" w:rsidRPr="00F953B6" w:rsidRDefault="00596601" w:rsidP="00D601D8">
      <w:pPr>
        <w:spacing w:after="0" w:line="240" w:lineRule="auto"/>
        <w:jc w:val="both"/>
        <w:rPr>
          <w:rFonts w:asciiTheme="minorBidi" w:hAnsiTheme="minorBidi"/>
          <w:b/>
          <w:bCs/>
          <w:sz w:val="24"/>
          <w:szCs w:val="24"/>
        </w:rPr>
      </w:pPr>
      <w:r w:rsidRPr="00F953B6">
        <w:rPr>
          <w:rFonts w:asciiTheme="minorBidi" w:hAnsiTheme="minorBidi"/>
          <w:sz w:val="24"/>
          <w:szCs w:val="24"/>
        </w:rPr>
        <w:t xml:space="preserve">Please email me directly with your feedback at </w:t>
      </w:r>
      <w:hyperlink r:id="rId9" w:history="1">
        <w:r w:rsidRPr="00F953B6">
          <w:rPr>
            <w:rStyle w:val="Hyperlink"/>
            <w:rFonts w:asciiTheme="minorBidi" w:hAnsiTheme="minorBidi"/>
            <w:sz w:val="24"/>
            <w:szCs w:val="24"/>
          </w:rPr>
          <w:t>judahlgoldberg@gmail.com</w:t>
        </w:r>
      </w:hyperlink>
      <w:r w:rsidRPr="00F953B6">
        <w:rPr>
          <w:rFonts w:asciiTheme="minorBidi" w:hAnsiTheme="minorBidi"/>
          <w:sz w:val="24"/>
          <w:szCs w:val="24"/>
        </w:rPr>
        <w:t>!</w:t>
      </w:r>
    </w:p>
    <w:sectPr w:rsidR="00596601" w:rsidRPr="00F953B6" w:rsidSect="00D601D8">
      <w:head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A370" w14:textId="77777777" w:rsidR="00262FBE" w:rsidRDefault="00262FBE" w:rsidP="00596601">
      <w:pPr>
        <w:spacing w:after="0" w:line="240" w:lineRule="auto"/>
      </w:pPr>
      <w:r>
        <w:separator/>
      </w:r>
    </w:p>
  </w:endnote>
  <w:endnote w:type="continuationSeparator" w:id="0">
    <w:p w14:paraId="05E38461" w14:textId="77777777" w:rsidR="00262FBE" w:rsidRDefault="00262FBE" w:rsidP="00596601">
      <w:pPr>
        <w:spacing w:after="0" w:line="240" w:lineRule="auto"/>
      </w:pPr>
      <w:r>
        <w:continuationSeparator/>
      </w:r>
    </w:p>
  </w:endnote>
  <w:endnote w:type="continuationNotice" w:id="1">
    <w:p w14:paraId="11C3FCE6" w14:textId="77777777" w:rsidR="00262FBE" w:rsidRDefault="00262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6E975" w14:textId="77777777" w:rsidR="00262FBE" w:rsidRDefault="00262FBE" w:rsidP="00596601">
      <w:pPr>
        <w:spacing w:after="0" w:line="240" w:lineRule="auto"/>
      </w:pPr>
      <w:r>
        <w:separator/>
      </w:r>
    </w:p>
  </w:footnote>
  <w:footnote w:type="continuationSeparator" w:id="0">
    <w:p w14:paraId="2926FB84" w14:textId="77777777" w:rsidR="00262FBE" w:rsidRDefault="00262FBE" w:rsidP="00596601">
      <w:pPr>
        <w:spacing w:after="0" w:line="240" w:lineRule="auto"/>
      </w:pPr>
      <w:r>
        <w:continuationSeparator/>
      </w:r>
    </w:p>
  </w:footnote>
  <w:footnote w:type="continuationNotice" w:id="1">
    <w:p w14:paraId="260FF8E0" w14:textId="77777777" w:rsidR="00262FBE" w:rsidRDefault="00262FBE">
      <w:pPr>
        <w:spacing w:after="0" w:line="240" w:lineRule="auto"/>
      </w:pPr>
    </w:p>
  </w:footnote>
  <w:footnote w:id="2">
    <w:p w14:paraId="43445CD4" w14:textId="0B21BBE1" w:rsidR="00CE6E09" w:rsidRPr="002F73F4" w:rsidRDefault="00CE6E09" w:rsidP="00D601D8">
      <w:pPr>
        <w:pStyle w:val="FootnoteText"/>
        <w:jc w:val="both"/>
        <w:rPr>
          <w:rFonts w:ascii="Arial" w:hAnsi="Arial" w:cs="Arial"/>
          <w:iCs/>
        </w:rPr>
      </w:pPr>
      <w:r w:rsidRPr="002F73F4">
        <w:rPr>
          <w:rStyle w:val="FootnoteReference"/>
          <w:rFonts w:ascii="Arial" w:hAnsi="Arial" w:cs="Arial"/>
        </w:rPr>
        <w:footnoteRef/>
      </w:r>
      <w:r w:rsidRPr="002F73F4">
        <w:rPr>
          <w:rFonts w:ascii="Arial" w:hAnsi="Arial" w:cs="Arial"/>
        </w:rPr>
        <w:t xml:space="preserve"> On the authorship of </w:t>
      </w:r>
      <w:r w:rsidRPr="002F73F4">
        <w:rPr>
          <w:rFonts w:ascii="Arial" w:hAnsi="Arial" w:cs="Arial"/>
          <w:i/>
        </w:rPr>
        <w:t>Derashot Ha-Ran</w:t>
      </w:r>
      <w:r w:rsidRPr="002F73F4">
        <w:rPr>
          <w:rFonts w:ascii="Arial" w:hAnsi="Arial" w:cs="Arial"/>
          <w:iCs/>
        </w:rPr>
        <w:t xml:space="preserve">, see </w:t>
      </w:r>
      <w:r w:rsidR="0022594F">
        <w:rPr>
          <w:rFonts w:ascii="Arial" w:hAnsi="Arial" w:cs="Arial"/>
          <w:iCs/>
        </w:rPr>
        <w:t>Prof. Leon A.</w:t>
      </w:r>
      <w:r w:rsidRPr="002F73F4">
        <w:rPr>
          <w:rFonts w:ascii="Arial" w:hAnsi="Arial" w:cs="Arial"/>
          <w:iCs/>
        </w:rPr>
        <w:t xml:space="preserve"> Feldman’s introduction to the Mo</w:t>
      </w:r>
      <w:r w:rsidR="00DB695A">
        <w:rPr>
          <w:rFonts w:ascii="Arial" w:hAnsi="Arial" w:cs="Arial"/>
          <w:iCs/>
        </w:rPr>
        <w:t>s</w:t>
      </w:r>
      <w:r w:rsidRPr="002F73F4">
        <w:rPr>
          <w:rFonts w:ascii="Arial" w:hAnsi="Arial" w:cs="Arial"/>
          <w:iCs/>
        </w:rPr>
        <w:t>sad Ha</w:t>
      </w:r>
      <w:r w:rsidR="00C53027">
        <w:rPr>
          <w:rFonts w:ascii="Arial" w:hAnsi="Arial" w:cs="Arial"/>
          <w:iCs/>
        </w:rPr>
        <w:t>R</w:t>
      </w:r>
      <w:r w:rsidRPr="002F73F4">
        <w:rPr>
          <w:rFonts w:ascii="Arial" w:hAnsi="Arial" w:cs="Arial"/>
          <w:iCs/>
        </w:rPr>
        <w:t>av Kook edition (Jerusalem</w:t>
      </w:r>
      <w:r w:rsidR="00DB695A">
        <w:rPr>
          <w:rFonts w:ascii="Arial" w:hAnsi="Arial" w:cs="Arial"/>
          <w:iCs/>
        </w:rPr>
        <w:t>:</w:t>
      </w:r>
      <w:r w:rsidRPr="002F73F4">
        <w:rPr>
          <w:rFonts w:ascii="Arial" w:hAnsi="Arial" w:cs="Arial"/>
          <w:iCs/>
        </w:rPr>
        <w:t xml:space="preserve"> 2003).</w:t>
      </w:r>
    </w:p>
  </w:footnote>
  <w:footnote w:id="3">
    <w:p w14:paraId="45F62C89" w14:textId="7FAAC895" w:rsidR="00596601" w:rsidRPr="002F73F4" w:rsidRDefault="00596601" w:rsidP="00D601D8">
      <w:pPr>
        <w:pStyle w:val="FootnoteText"/>
        <w:jc w:val="both"/>
        <w:rPr>
          <w:rFonts w:ascii="Arial" w:hAnsi="Arial" w:cs="Arial"/>
        </w:rPr>
      </w:pPr>
      <w:r w:rsidRPr="002F73F4">
        <w:rPr>
          <w:rStyle w:val="FootnoteReference"/>
          <w:rFonts w:ascii="Arial" w:hAnsi="Arial" w:cs="Arial"/>
        </w:rPr>
        <w:footnoteRef/>
      </w:r>
      <w:r w:rsidRPr="002F73F4">
        <w:rPr>
          <w:rFonts w:ascii="Arial" w:hAnsi="Arial" w:cs="Arial"/>
        </w:rPr>
        <w:t xml:space="preserve"> The </w:t>
      </w:r>
      <w:r w:rsidRPr="00873051">
        <w:rPr>
          <w:rFonts w:ascii="Arial" w:hAnsi="Arial" w:cs="Arial"/>
          <w:i/>
          <w:iCs/>
        </w:rPr>
        <w:t>Shela</w:t>
      </w:r>
      <w:r w:rsidRPr="002F73F4">
        <w:rPr>
          <w:rFonts w:ascii="Arial" w:hAnsi="Arial" w:cs="Arial"/>
        </w:rPr>
        <w:t xml:space="preserve">, however, references </w:t>
      </w:r>
      <w:r w:rsidR="00C53027" w:rsidRPr="00C53027">
        <w:rPr>
          <w:rFonts w:ascii="Arial" w:hAnsi="Arial" w:cs="Arial"/>
          <w:i/>
        </w:rPr>
        <w:t>Derashot</w:t>
      </w:r>
      <w:r w:rsidRPr="002F73F4">
        <w:rPr>
          <w:rFonts w:ascii="Arial" w:hAnsi="Arial" w:cs="Arial"/>
          <w:i/>
          <w:iCs/>
        </w:rPr>
        <w:t xml:space="preserve"> Ha-Ran</w:t>
      </w:r>
      <w:r w:rsidR="009D6927">
        <w:rPr>
          <w:rFonts w:ascii="Arial" w:hAnsi="Arial" w:cs="Arial"/>
        </w:rPr>
        <w:t xml:space="preserve"> in this regard</w:t>
      </w:r>
      <w:r w:rsidRPr="002F73F4">
        <w:rPr>
          <w:rFonts w:ascii="Arial" w:hAnsi="Arial" w:cs="Arial"/>
        </w:rPr>
        <w:t xml:space="preserve">. On the king’s authority, also see </w:t>
      </w:r>
      <w:r w:rsidRPr="00873051">
        <w:rPr>
          <w:rFonts w:ascii="Arial" w:hAnsi="Arial" w:cs="Arial"/>
          <w:i/>
          <w:iCs/>
        </w:rPr>
        <w:t>Responsa</w:t>
      </w:r>
      <w:r w:rsidRPr="002F73F4">
        <w:rPr>
          <w:rFonts w:ascii="Arial" w:hAnsi="Arial" w:cs="Arial"/>
        </w:rPr>
        <w:t xml:space="preserve"> </w:t>
      </w:r>
      <w:r w:rsidRPr="002F73F4">
        <w:rPr>
          <w:rFonts w:ascii="Arial" w:hAnsi="Arial" w:cs="Arial"/>
          <w:i/>
          <w:iCs/>
        </w:rPr>
        <w:t>Avnei Nezer</w:t>
      </w:r>
      <w:r w:rsidRPr="002F73F4">
        <w:rPr>
          <w:rFonts w:ascii="Arial" w:hAnsi="Arial" w:cs="Arial"/>
        </w:rPr>
        <w:t xml:space="preserve">, </w:t>
      </w:r>
      <w:r w:rsidRPr="002F73F4">
        <w:rPr>
          <w:rFonts w:ascii="Arial" w:hAnsi="Arial" w:cs="Arial"/>
          <w:i/>
          <w:iCs/>
        </w:rPr>
        <w:t>YD</w:t>
      </w:r>
      <w:r w:rsidRPr="002F73F4">
        <w:rPr>
          <w:rFonts w:ascii="Arial" w:hAnsi="Arial" w:cs="Arial"/>
        </w:rPr>
        <w:t xml:space="preserve">, 312:47-52 and </w:t>
      </w:r>
      <w:r w:rsidRPr="002F73F4">
        <w:rPr>
          <w:rFonts w:ascii="Arial" w:hAnsi="Arial" w:cs="Arial"/>
          <w:i/>
          <w:iCs/>
        </w:rPr>
        <w:t>Tumim</w:t>
      </w:r>
      <w:r w:rsidRPr="002F73F4">
        <w:rPr>
          <w:rFonts w:ascii="Arial" w:hAnsi="Arial" w:cs="Arial"/>
        </w:rPr>
        <w:t xml:space="preserve">, </w:t>
      </w:r>
      <w:r w:rsidRPr="002F73F4">
        <w:rPr>
          <w:rFonts w:ascii="Arial" w:hAnsi="Arial" w:cs="Arial"/>
          <w:i/>
          <w:iCs/>
        </w:rPr>
        <w:t>CM</w:t>
      </w:r>
      <w:r w:rsidRPr="002F73F4">
        <w:rPr>
          <w:rFonts w:ascii="Arial" w:hAnsi="Arial" w:cs="Arial"/>
        </w:rPr>
        <w:t>, 7:1.</w:t>
      </w:r>
    </w:p>
  </w:footnote>
  <w:footnote w:id="4">
    <w:p w14:paraId="101765A1" w14:textId="06BE9D6E" w:rsidR="00596601" w:rsidRPr="002F73F4" w:rsidRDefault="00596601" w:rsidP="00D601D8">
      <w:pPr>
        <w:pStyle w:val="FootnoteText"/>
        <w:jc w:val="both"/>
        <w:rPr>
          <w:rFonts w:ascii="Arial" w:hAnsi="Arial" w:cs="Arial"/>
        </w:rPr>
      </w:pPr>
      <w:r w:rsidRPr="002F73F4">
        <w:rPr>
          <w:rStyle w:val="FootnoteReference"/>
          <w:rFonts w:ascii="Arial" w:hAnsi="Arial" w:cs="Arial"/>
        </w:rPr>
        <w:footnoteRef/>
      </w:r>
      <w:r w:rsidRPr="002F73F4">
        <w:rPr>
          <w:rFonts w:ascii="Arial" w:hAnsi="Arial" w:cs="Arial"/>
        </w:rPr>
        <w:t xml:space="preserve"> “</w:t>
      </w:r>
      <w:r w:rsidRPr="002F73F4">
        <w:rPr>
          <w:rFonts w:ascii="Arial" w:hAnsi="Arial" w:cs="Arial"/>
          <w:i/>
          <w:iCs/>
        </w:rPr>
        <w:t>Batei Ha-mishpat Be-Eretz Yisrael</w:t>
      </w:r>
      <w:r w:rsidRPr="002F73F4">
        <w:rPr>
          <w:rFonts w:ascii="Arial" w:hAnsi="Arial" w:cs="Arial"/>
        </w:rPr>
        <w:t xml:space="preserve">,” </w:t>
      </w:r>
      <w:r w:rsidR="00070E71">
        <w:rPr>
          <w:rFonts w:ascii="Arial" w:hAnsi="Arial" w:cs="Arial"/>
        </w:rPr>
        <w:t>in</w:t>
      </w:r>
      <w:r w:rsidR="00070E71" w:rsidRPr="002F73F4">
        <w:rPr>
          <w:rFonts w:ascii="Arial" w:hAnsi="Arial" w:cs="Arial"/>
        </w:rPr>
        <w:t xml:space="preserve"> </w:t>
      </w:r>
      <w:r w:rsidR="00070E71" w:rsidRPr="002F73F4">
        <w:rPr>
          <w:rFonts w:ascii="Arial" w:hAnsi="Arial" w:cs="Arial"/>
          <w:i/>
          <w:iCs/>
        </w:rPr>
        <w:t xml:space="preserve">Tal Techiyya </w:t>
      </w:r>
      <w:r w:rsidR="00070E71" w:rsidRPr="002F73F4">
        <w:rPr>
          <w:rFonts w:ascii="Arial" w:hAnsi="Arial" w:cs="Arial"/>
        </w:rPr>
        <w:t>(</w:t>
      </w:r>
      <w:r w:rsidR="00070E71" w:rsidRPr="002F73F4">
        <w:rPr>
          <w:rFonts w:ascii="Arial" w:hAnsi="Arial" w:cs="Arial"/>
          <w:i/>
          <w:iCs/>
        </w:rPr>
        <w:t>Be’er Sheva</w:t>
      </w:r>
      <w:r w:rsidR="00070E71" w:rsidRPr="002F73F4">
        <w:rPr>
          <w:rFonts w:ascii="Arial" w:hAnsi="Arial" w:cs="Arial"/>
        </w:rPr>
        <w:t xml:space="preserve">: 2008), </w:t>
      </w:r>
      <w:r w:rsidRPr="002F73F4">
        <w:rPr>
          <w:rFonts w:ascii="Arial" w:hAnsi="Arial" w:cs="Arial"/>
        </w:rPr>
        <w:t xml:space="preserve">4-18. </w:t>
      </w:r>
      <w:r w:rsidR="00AA5BE1">
        <w:rPr>
          <w:rFonts w:ascii="Arial" w:hAnsi="Arial" w:cs="Arial"/>
        </w:rPr>
        <w:t>R. Margolies</w:t>
      </w:r>
      <w:r w:rsidRPr="007128A9">
        <w:rPr>
          <w:rFonts w:ascii="Arial" w:hAnsi="Arial" w:cs="Arial"/>
        </w:rPr>
        <w:t xml:space="preserve"> interprets the Rambam along similar lines (9).</w:t>
      </w:r>
      <w:r w:rsidR="00C53027">
        <w:rPr>
          <w:rFonts w:ascii="Arial" w:hAnsi="Arial" w:cs="Arial"/>
        </w:rPr>
        <w:t xml:space="preserve"> </w:t>
      </w:r>
    </w:p>
  </w:footnote>
  <w:footnote w:id="5">
    <w:p w14:paraId="6CA28D81" w14:textId="1CE7FD4B" w:rsidR="00596601" w:rsidRPr="00582E2C" w:rsidRDefault="00596601" w:rsidP="00D601D8">
      <w:pPr>
        <w:spacing w:after="0" w:line="240" w:lineRule="auto"/>
        <w:jc w:val="both"/>
        <w:rPr>
          <w:rFonts w:ascii="Arial" w:hAnsi="Arial" w:cs="Arial"/>
          <w:sz w:val="20"/>
          <w:szCs w:val="20"/>
        </w:rPr>
      </w:pPr>
      <w:r w:rsidRPr="002F73F4">
        <w:rPr>
          <w:rStyle w:val="FootnoteReference"/>
          <w:rFonts w:ascii="Arial" w:hAnsi="Arial" w:cs="Arial"/>
          <w:sz w:val="20"/>
          <w:szCs w:val="20"/>
        </w:rPr>
        <w:footnoteRef/>
      </w:r>
      <w:r w:rsidRPr="002F73F4">
        <w:rPr>
          <w:rFonts w:ascii="Arial" w:hAnsi="Arial" w:cs="Arial"/>
          <w:sz w:val="20"/>
          <w:szCs w:val="20"/>
        </w:rPr>
        <w:t xml:space="preserve"> “</w:t>
      </w:r>
      <w:r w:rsidRPr="002F73F4">
        <w:rPr>
          <w:rFonts w:ascii="Arial" w:hAnsi="Arial" w:cs="Arial"/>
          <w:i/>
          <w:iCs/>
          <w:sz w:val="20"/>
          <w:szCs w:val="20"/>
        </w:rPr>
        <w:t xml:space="preserve">Chuka Toranit Keitzad </w:t>
      </w:r>
      <w:r w:rsidRPr="002F73F4">
        <w:rPr>
          <w:rFonts w:ascii="Arial" w:hAnsi="Arial" w:cs="Arial"/>
          <w:sz w:val="20"/>
          <w:szCs w:val="20"/>
        </w:rPr>
        <w:t xml:space="preserve">(2)?” </w:t>
      </w:r>
      <w:r w:rsidRPr="002F73F4">
        <w:rPr>
          <w:rFonts w:ascii="Arial" w:hAnsi="Arial" w:cs="Arial"/>
          <w:i/>
          <w:iCs/>
          <w:sz w:val="20"/>
          <w:szCs w:val="20"/>
        </w:rPr>
        <w:t>Ha-Tzofe</w:t>
      </w:r>
      <w:r w:rsidRPr="002F73F4">
        <w:rPr>
          <w:rFonts w:ascii="Arial" w:hAnsi="Arial" w:cs="Arial"/>
          <w:sz w:val="20"/>
          <w:szCs w:val="20"/>
        </w:rPr>
        <w:t>, 3 Adar 5708 (</w:t>
      </w:r>
      <w:r w:rsidR="00C53027">
        <w:rPr>
          <w:rFonts w:ascii="Arial" w:hAnsi="Arial" w:cs="Arial"/>
          <w:sz w:val="20"/>
          <w:szCs w:val="20"/>
        </w:rPr>
        <w:t xml:space="preserve">13 </w:t>
      </w:r>
      <w:r w:rsidRPr="002F73F4">
        <w:rPr>
          <w:rFonts w:ascii="Arial" w:hAnsi="Arial" w:cs="Arial"/>
          <w:sz w:val="20"/>
          <w:szCs w:val="20"/>
        </w:rPr>
        <w:t xml:space="preserve">February 1948), 4; reprinted in </w:t>
      </w:r>
      <w:r w:rsidR="00D06581" w:rsidRPr="00D06581">
        <w:rPr>
          <w:rFonts w:ascii="Arial" w:hAnsi="Arial" w:cs="Arial"/>
          <w:i/>
          <w:iCs/>
          <w:sz w:val="20"/>
          <w:szCs w:val="20"/>
        </w:rPr>
        <w:t>Techuka Le-Yisrael</w:t>
      </w:r>
      <w:r w:rsidRPr="002F73F4">
        <w:rPr>
          <w:rFonts w:ascii="Arial" w:hAnsi="Arial" w:cs="Arial"/>
          <w:sz w:val="20"/>
          <w:szCs w:val="20"/>
        </w:rPr>
        <w:t>, Vol. 1, 151-152.</w:t>
      </w:r>
      <w:r w:rsidR="00C53027">
        <w:rPr>
          <w:rFonts w:ascii="Arial" w:hAnsi="Arial" w:cs="Arial"/>
          <w:sz w:val="20"/>
          <w:szCs w:val="20"/>
        </w:rPr>
        <w:t xml:space="preserve"> </w:t>
      </w:r>
      <w:r w:rsidRPr="002F73F4">
        <w:rPr>
          <w:rFonts w:ascii="Arial" w:hAnsi="Arial" w:cs="Arial"/>
          <w:sz w:val="20"/>
          <w:szCs w:val="20"/>
        </w:rPr>
        <w:t xml:space="preserve">Also see R. Goren’s </w:t>
      </w:r>
      <w:r w:rsidRPr="002F73F4">
        <w:rPr>
          <w:rFonts w:ascii="Arial" w:hAnsi="Arial" w:cs="Arial"/>
          <w:i/>
          <w:iCs/>
          <w:sz w:val="20"/>
          <w:szCs w:val="20"/>
        </w:rPr>
        <w:t>Torat Ha-philosophiya</w:t>
      </w:r>
      <w:r w:rsidRPr="002F73F4">
        <w:rPr>
          <w:rFonts w:ascii="Arial" w:hAnsi="Arial" w:cs="Arial"/>
          <w:sz w:val="20"/>
          <w:szCs w:val="20"/>
        </w:rPr>
        <w:t xml:space="preserve"> (Jerusalem: 1998), 61 </w:t>
      </w:r>
      <w:r w:rsidRPr="00582E2C">
        <w:rPr>
          <w:rFonts w:ascii="Arial" w:hAnsi="Arial" w:cs="Arial"/>
          <w:sz w:val="20"/>
          <w:szCs w:val="20"/>
        </w:rPr>
        <w:t xml:space="preserve">and </w:t>
      </w:r>
      <w:r w:rsidRPr="00582E2C">
        <w:rPr>
          <w:rFonts w:ascii="Arial" w:hAnsi="Arial" w:cs="Arial"/>
          <w:i/>
          <w:iCs/>
          <w:sz w:val="20"/>
          <w:szCs w:val="20"/>
        </w:rPr>
        <w:t>Torat Ha-mikra</w:t>
      </w:r>
      <w:r w:rsidRPr="00582E2C">
        <w:rPr>
          <w:rFonts w:ascii="Arial" w:hAnsi="Arial" w:cs="Arial"/>
          <w:sz w:val="20"/>
          <w:szCs w:val="20"/>
        </w:rPr>
        <w:t xml:space="preserve"> (Jerusalem: 1996), 293-295.</w:t>
      </w:r>
      <w:r w:rsidR="003B6CCB" w:rsidRPr="003B6CCB">
        <w:rPr>
          <w:rFonts w:ascii="Arial" w:hAnsi="Arial" w:cs="Arial"/>
        </w:rPr>
        <w:t xml:space="preserve"> </w:t>
      </w:r>
    </w:p>
  </w:footnote>
  <w:footnote w:id="6">
    <w:p w14:paraId="4AD8601F" w14:textId="47A2E091" w:rsidR="00F25DFF" w:rsidRPr="00104A20" w:rsidRDefault="00F25DFF" w:rsidP="00D601D8">
      <w:pPr>
        <w:pStyle w:val="FootnoteText"/>
        <w:jc w:val="both"/>
        <w:rPr>
          <w:rFonts w:asciiTheme="minorBidi" w:hAnsiTheme="minorBidi"/>
        </w:rPr>
      </w:pPr>
      <w:r w:rsidRPr="00582E2C">
        <w:rPr>
          <w:rStyle w:val="FootnoteReference"/>
          <w:rFonts w:ascii="Arial" w:hAnsi="Arial" w:cs="Arial"/>
        </w:rPr>
        <w:footnoteRef/>
      </w:r>
      <w:r w:rsidRPr="00582E2C">
        <w:rPr>
          <w:rFonts w:ascii="Arial" w:hAnsi="Arial" w:cs="Arial"/>
        </w:rPr>
        <w:t xml:space="preserve"> For further discussion of this debate, see </w:t>
      </w:r>
      <w:r w:rsidR="00EA2378" w:rsidRPr="00582E2C">
        <w:rPr>
          <w:rFonts w:ascii="Arial" w:hAnsi="Arial" w:cs="Arial"/>
        </w:rPr>
        <w:t>Prof</w:t>
      </w:r>
      <w:r w:rsidRPr="00582E2C">
        <w:rPr>
          <w:rFonts w:ascii="Arial" w:hAnsi="Arial" w:cs="Arial"/>
        </w:rPr>
        <w:t>. Alexander</w:t>
      </w:r>
      <w:r w:rsidR="00A44FD9" w:rsidRPr="00582E2C">
        <w:rPr>
          <w:rFonts w:ascii="Arial" w:hAnsi="Arial" w:cs="Arial"/>
        </w:rPr>
        <w:t xml:space="preserve"> Kaye, “The Legal Philosophies of Religious Zionism 1937-1967</w:t>
      </w:r>
      <w:r w:rsidR="00DF66AB" w:rsidRPr="00582E2C">
        <w:rPr>
          <w:rFonts w:ascii="Arial" w:hAnsi="Arial" w:cs="Arial"/>
        </w:rPr>
        <w:t>” (doctoral dissertation</w:t>
      </w:r>
      <w:r w:rsidR="00265EC4" w:rsidRPr="00582E2C">
        <w:rPr>
          <w:rFonts w:ascii="Arial" w:hAnsi="Arial" w:cs="Arial"/>
        </w:rPr>
        <w:t>, Columbia University</w:t>
      </w:r>
      <w:r w:rsidR="00C53027">
        <w:rPr>
          <w:rFonts w:ascii="Arial" w:hAnsi="Arial" w:cs="Arial"/>
        </w:rPr>
        <w:t>,</w:t>
      </w:r>
      <w:r w:rsidR="00265EC4" w:rsidRPr="00582E2C">
        <w:rPr>
          <w:rFonts w:ascii="Arial" w:hAnsi="Arial" w:cs="Arial"/>
        </w:rPr>
        <w:t xml:space="preserve"> 2013</w:t>
      </w:r>
      <w:r w:rsidR="00987057" w:rsidRPr="00582E2C">
        <w:rPr>
          <w:rFonts w:ascii="Arial" w:hAnsi="Arial" w:cs="Arial"/>
        </w:rPr>
        <w:t xml:space="preserve">), available </w:t>
      </w:r>
      <w:hyperlink r:id="rId1" w:history="1">
        <w:r w:rsidR="00987057" w:rsidRPr="00582E2C">
          <w:rPr>
            <w:rStyle w:val="Hyperlink"/>
            <w:rFonts w:ascii="Arial" w:hAnsi="Arial" w:cs="Arial"/>
          </w:rPr>
          <w:t>here</w:t>
        </w:r>
      </w:hyperlink>
      <w:r w:rsidR="00987057" w:rsidRPr="00582E2C">
        <w:rPr>
          <w:rFonts w:ascii="Arial" w:hAnsi="Arial" w:cs="Arial"/>
        </w:rPr>
        <w:t>.</w:t>
      </w:r>
    </w:p>
  </w:footnote>
  <w:footnote w:id="7">
    <w:p w14:paraId="19EC5C55" w14:textId="3CF670F6" w:rsidR="003D723A" w:rsidRPr="00582E2C" w:rsidRDefault="003D723A" w:rsidP="00D601D8">
      <w:pPr>
        <w:spacing w:after="0" w:line="240" w:lineRule="auto"/>
        <w:jc w:val="both"/>
        <w:rPr>
          <w:rFonts w:ascii="Arial" w:hAnsi="Arial" w:cs="Arial"/>
          <w:sz w:val="20"/>
          <w:szCs w:val="20"/>
          <w:rtl/>
        </w:rPr>
      </w:pPr>
      <w:r w:rsidRPr="002F73F4">
        <w:rPr>
          <w:rStyle w:val="FootnoteReference"/>
          <w:rFonts w:ascii="Arial" w:hAnsi="Arial" w:cs="Arial"/>
          <w:sz w:val="20"/>
          <w:szCs w:val="20"/>
        </w:rPr>
        <w:footnoteRef/>
      </w:r>
      <w:r w:rsidRPr="002F73F4">
        <w:rPr>
          <w:rFonts w:ascii="Arial" w:hAnsi="Arial" w:cs="Arial"/>
          <w:sz w:val="20"/>
          <w:szCs w:val="20"/>
        </w:rPr>
        <w:t xml:space="preserve"> </w:t>
      </w:r>
      <w:r w:rsidRPr="003B6CCB">
        <w:rPr>
          <w:rFonts w:ascii="Arial" w:hAnsi="Arial" w:cs="Arial"/>
          <w:sz w:val="20"/>
          <w:szCs w:val="20"/>
        </w:rPr>
        <w:t xml:space="preserve">On this issue, see his “Communal Governance, Lay and Rabbinic: An Overview,” </w:t>
      </w:r>
      <w:r w:rsidRPr="003B6CCB">
        <w:rPr>
          <w:rFonts w:ascii="Arial" w:hAnsi="Arial" w:cs="Arial"/>
          <w:i/>
          <w:iCs/>
          <w:sz w:val="20"/>
          <w:szCs w:val="20"/>
        </w:rPr>
        <w:t xml:space="preserve">Varieties of Jewish Experience </w:t>
      </w:r>
      <w:r w:rsidRPr="003B6CCB">
        <w:rPr>
          <w:rFonts w:ascii="Arial" w:hAnsi="Arial" w:cs="Arial"/>
          <w:sz w:val="20"/>
          <w:szCs w:val="20"/>
        </w:rPr>
        <w:t>(Jersey City: 2011), 69-70.</w:t>
      </w:r>
    </w:p>
  </w:footnote>
  <w:footnote w:id="8">
    <w:p w14:paraId="4330A6F4" w14:textId="72314CAA" w:rsidR="00D21B6B" w:rsidRPr="00104A20" w:rsidRDefault="00D21B6B" w:rsidP="00D601D8">
      <w:pPr>
        <w:pStyle w:val="FootnoteText"/>
        <w:jc w:val="both"/>
        <w:rPr>
          <w:rFonts w:asciiTheme="minorBidi" w:hAnsiTheme="minorBidi"/>
        </w:rPr>
      </w:pPr>
      <w:r w:rsidRPr="00582E2C">
        <w:rPr>
          <w:rStyle w:val="FootnoteReference"/>
          <w:rFonts w:ascii="Arial" w:hAnsi="Arial" w:cs="Arial"/>
        </w:rPr>
        <w:footnoteRef/>
      </w:r>
      <w:r w:rsidRPr="00582E2C">
        <w:rPr>
          <w:rFonts w:ascii="Arial" w:hAnsi="Arial" w:cs="Arial"/>
        </w:rPr>
        <w:t xml:space="preserve"> </w:t>
      </w:r>
      <w:r w:rsidR="00D63364">
        <w:rPr>
          <w:rFonts w:ascii="Arial" w:hAnsi="Arial" w:cs="Arial"/>
        </w:rPr>
        <w:t xml:space="preserve">On the nature of the king’s relationship to Torah, also see </w:t>
      </w:r>
      <w:r w:rsidR="00D63364" w:rsidRPr="00F165C1">
        <w:rPr>
          <w:rFonts w:ascii="Arial" w:hAnsi="Arial" w:cs="Arial"/>
        </w:rPr>
        <w:t>R. Ido Reichnitz</w:t>
      </w:r>
      <w:r w:rsidR="00D63364">
        <w:rPr>
          <w:rFonts w:ascii="Arial" w:hAnsi="Arial" w:cs="Arial"/>
        </w:rPr>
        <w:t>,</w:t>
      </w:r>
      <w:r w:rsidR="00D63364" w:rsidRPr="00F165C1">
        <w:rPr>
          <w:rFonts w:ascii="Arial" w:hAnsi="Arial" w:cs="Arial"/>
        </w:rPr>
        <w:t xml:space="preserve"> </w:t>
      </w:r>
      <w:r w:rsidR="00D63364" w:rsidRPr="00F165C1">
        <w:rPr>
          <w:rFonts w:ascii="Arial" w:hAnsi="Arial" w:cs="Arial"/>
          <w:i/>
          <w:iCs/>
        </w:rPr>
        <w:t>Medina Ke-</w:t>
      </w:r>
      <w:r w:rsidR="00CC3DBF">
        <w:rPr>
          <w:rFonts w:ascii="Arial" w:hAnsi="Arial" w:cs="Arial"/>
          <w:i/>
          <w:iCs/>
        </w:rPr>
        <w:t>h</w:t>
      </w:r>
      <w:r w:rsidR="00D63364" w:rsidRPr="00F165C1">
        <w:rPr>
          <w:rFonts w:ascii="Arial" w:hAnsi="Arial" w:cs="Arial"/>
          <w:i/>
          <w:iCs/>
        </w:rPr>
        <w:t>alakha</w:t>
      </w:r>
      <w:r w:rsidR="00ED171C">
        <w:rPr>
          <w:rFonts w:ascii="Arial" w:hAnsi="Arial" w:cs="Arial"/>
          <w:i/>
          <w:iCs/>
        </w:rPr>
        <w:t>,</w:t>
      </w:r>
      <w:r w:rsidR="00D63364">
        <w:rPr>
          <w:rFonts w:ascii="Arial" w:hAnsi="Arial" w:cs="Arial"/>
          <w:i/>
          <w:iCs/>
        </w:rPr>
        <w:t xml:space="preserve"> </w:t>
      </w:r>
      <w:r w:rsidR="00D63364">
        <w:rPr>
          <w:rFonts w:ascii="Arial" w:hAnsi="Arial" w:cs="Arial"/>
        </w:rPr>
        <w:t>44-47.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51370"/>
      <w:docPartObj>
        <w:docPartGallery w:val="Page Numbers (Top of Page)"/>
        <w:docPartUnique/>
      </w:docPartObj>
    </w:sdtPr>
    <w:sdtEndPr>
      <w:rPr>
        <w:noProof/>
      </w:rPr>
    </w:sdtEndPr>
    <w:sdtContent>
      <w:p w14:paraId="5AD2A5A4" w14:textId="780BD304" w:rsidR="00D601D8" w:rsidRDefault="00D601D8">
        <w:pPr>
          <w:pStyle w:val="Header"/>
          <w:jc w:val="center"/>
        </w:pPr>
        <w:r>
          <w:fldChar w:fldCharType="begin"/>
        </w:r>
        <w:r>
          <w:instrText xml:space="preserve"> PAGE   \* MERGEFORMAT </w:instrText>
        </w:r>
        <w:r>
          <w:fldChar w:fldCharType="separate"/>
        </w:r>
        <w:r w:rsidR="001D6300">
          <w:rPr>
            <w:noProof/>
          </w:rPr>
          <w:t>1</w:t>
        </w:r>
        <w:r>
          <w:rPr>
            <w:noProof/>
          </w:rPr>
          <w:fldChar w:fldCharType="end"/>
        </w:r>
      </w:p>
    </w:sdtContent>
  </w:sdt>
  <w:p w14:paraId="27AB447B" w14:textId="77777777" w:rsidR="00D601D8" w:rsidRDefault="00D60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01"/>
    <w:rsid w:val="000001ED"/>
    <w:rsid w:val="00000736"/>
    <w:rsid w:val="00010FD8"/>
    <w:rsid w:val="00040F72"/>
    <w:rsid w:val="00043ABA"/>
    <w:rsid w:val="00054420"/>
    <w:rsid w:val="000571DF"/>
    <w:rsid w:val="00064137"/>
    <w:rsid w:val="000657CB"/>
    <w:rsid w:val="00070053"/>
    <w:rsid w:val="000708B3"/>
    <w:rsid w:val="00070E71"/>
    <w:rsid w:val="00086B9E"/>
    <w:rsid w:val="00086FAA"/>
    <w:rsid w:val="00087056"/>
    <w:rsid w:val="00093AFE"/>
    <w:rsid w:val="000B6367"/>
    <w:rsid w:val="000C19DD"/>
    <w:rsid w:val="000C4723"/>
    <w:rsid w:val="000C7C02"/>
    <w:rsid w:val="000D1347"/>
    <w:rsid w:val="000D47C2"/>
    <w:rsid w:val="000D67BC"/>
    <w:rsid w:val="000E2F55"/>
    <w:rsid w:val="000F4092"/>
    <w:rsid w:val="00104A20"/>
    <w:rsid w:val="00106623"/>
    <w:rsid w:val="0011322E"/>
    <w:rsid w:val="001142E9"/>
    <w:rsid w:val="0011646B"/>
    <w:rsid w:val="00130386"/>
    <w:rsid w:val="001329DE"/>
    <w:rsid w:val="001358F6"/>
    <w:rsid w:val="00172736"/>
    <w:rsid w:val="00177C03"/>
    <w:rsid w:val="00181366"/>
    <w:rsid w:val="001912EF"/>
    <w:rsid w:val="001A3462"/>
    <w:rsid w:val="001A44FC"/>
    <w:rsid w:val="001A6132"/>
    <w:rsid w:val="001B2094"/>
    <w:rsid w:val="001B5A3D"/>
    <w:rsid w:val="001C0555"/>
    <w:rsid w:val="001C0FC3"/>
    <w:rsid w:val="001C17F5"/>
    <w:rsid w:val="001D6300"/>
    <w:rsid w:val="001E7803"/>
    <w:rsid w:val="001F2527"/>
    <w:rsid w:val="001F5795"/>
    <w:rsid w:val="00211C0B"/>
    <w:rsid w:val="00217031"/>
    <w:rsid w:val="002173C2"/>
    <w:rsid w:val="00223CDA"/>
    <w:rsid w:val="00224DC5"/>
    <w:rsid w:val="0022594F"/>
    <w:rsid w:val="00225A7E"/>
    <w:rsid w:val="0022690E"/>
    <w:rsid w:val="00233CD7"/>
    <w:rsid w:val="00234BAE"/>
    <w:rsid w:val="00251DC0"/>
    <w:rsid w:val="002549F7"/>
    <w:rsid w:val="00256B3F"/>
    <w:rsid w:val="00256F98"/>
    <w:rsid w:val="0026162B"/>
    <w:rsid w:val="00262FBE"/>
    <w:rsid w:val="00265EC4"/>
    <w:rsid w:val="00266691"/>
    <w:rsid w:val="00266D44"/>
    <w:rsid w:val="00271F55"/>
    <w:rsid w:val="00272F6A"/>
    <w:rsid w:val="002918B8"/>
    <w:rsid w:val="002A2EA6"/>
    <w:rsid w:val="002A64C9"/>
    <w:rsid w:val="002B1542"/>
    <w:rsid w:val="002B65C5"/>
    <w:rsid w:val="002C086F"/>
    <w:rsid w:val="002C0E23"/>
    <w:rsid w:val="002C1F9F"/>
    <w:rsid w:val="002C60D1"/>
    <w:rsid w:val="002D0C3F"/>
    <w:rsid w:val="002D7F5C"/>
    <w:rsid w:val="002F0794"/>
    <w:rsid w:val="003057E5"/>
    <w:rsid w:val="003342BD"/>
    <w:rsid w:val="0034673E"/>
    <w:rsid w:val="00347194"/>
    <w:rsid w:val="003725E1"/>
    <w:rsid w:val="00395E10"/>
    <w:rsid w:val="003A114F"/>
    <w:rsid w:val="003B0167"/>
    <w:rsid w:val="003B145D"/>
    <w:rsid w:val="003B188B"/>
    <w:rsid w:val="003B6CCB"/>
    <w:rsid w:val="003D723A"/>
    <w:rsid w:val="003F3A98"/>
    <w:rsid w:val="003F42AE"/>
    <w:rsid w:val="0040120C"/>
    <w:rsid w:val="0040744A"/>
    <w:rsid w:val="00431BE6"/>
    <w:rsid w:val="00433F32"/>
    <w:rsid w:val="004649EA"/>
    <w:rsid w:val="004948A2"/>
    <w:rsid w:val="00497235"/>
    <w:rsid w:val="004C1E13"/>
    <w:rsid w:val="004C6DAA"/>
    <w:rsid w:val="004D3799"/>
    <w:rsid w:val="004D7588"/>
    <w:rsid w:val="005033BB"/>
    <w:rsid w:val="00516E4F"/>
    <w:rsid w:val="00525DD7"/>
    <w:rsid w:val="005340E8"/>
    <w:rsid w:val="00541219"/>
    <w:rsid w:val="00541C92"/>
    <w:rsid w:val="00545BD6"/>
    <w:rsid w:val="00567C9C"/>
    <w:rsid w:val="00580C22"/>
    <w:rsid w:val="005818A5"/>
    <w:rsid w:val="00582E2C"/>
    <w:rsid w:val="0058353A"/>
    <w:rsid w:val="00585C9E"/>
    <w:rsid w:val="00590232"/>
    <w:rsid w:val="00596601"/>
    <w:rsid w:val="00596DBB"/>
    <w:rsid w:val="005A7881"/>
    <w:rsid w:val="005B3134"/>
    <w:rsid w:val="005B7CED"/>
    <w:rsid w:val="005C192B"/>
    <w:rsid w:val="005D6ED7"/>
    <w:rsid w:val="005F4377"/>
    <w:rsid w:val="005F6BF7"/>
    <w:rsid w:val="006036F7"/>
    <w:rsid w:val="006212D7"/>
    <w:rsid w:val="00633CD5"/>
    <w:rsid w:val="006374BD"/>
    <w:rsid w:val="00640885"/>
    <w:rsid w:val="00642A7F"/>
    <w:rsid w:val="00642D42"/>
    <w:rsid w:val="0064324E"/>
    <w:rsid w:val="00646452"/>
    <w:rsid w:val="00683684"/>
    <w:rsid w:val="00683D06"/>
    <w:rsid w:val="00696AEC"/>
    <w:rsid w:val="006A0ABD"/>
    <w:rsid w:val="006C0979"/>
    <w:rsid w:val="006C2CDA"/>
    <w:rsid w:val="006D341D"/>
    <w:rsid w:val="006F2185"/>
    <w:rsid w:val="006F603D"/>
    <w:rsid w:val="00705333"/>
    <w:rsid w:val="00712883"/>
    <w:rsid w:val="007128A9"/>
    <w:rsid w:val="00713B51"/>
    <w:rsid w:val="00724A7A"/>
    <w:rsid w:val="00724ABC"/>
    <w:rsid w:val="00737562"/>
    <w:rsid w:val="00757CFA"/>
    <w:rsid w:val="0076213A"/>
    <w:rsid w:val="007719ED"/>
    <w:rsid w:val="00780DED"/>
    <w:rsid w:val="00784D75"/>
    <w:rsid w:val="007856FF"/>
    <w:rsid w:val="00797053"/>
    <w:rsid w:val="00797F36"/>
    <w:rsid w:val="007A02EA"/>
    <w:rsid w:val="007A77F5"/>
    <w:rsid w:val="007B1EE6"/>
    <w:rsid w:val="007B5194"/>
    <w:rsid w:val="007B55BF"/>
    <w:rsid w:val="007C207A"/>
    <w:rsid w:val="007C2B26"/>
    <w:rsid w:val="007C389F"/>
    <w:rsid w:val="007C3CED"/>
    <w:rsid w:val="008207D5"/>
    <w:rsid w:val="0082142E"/>
    <w:rsid w:val="0082351E"/>
    <w:rsid w:val="0083014D"/>
    <w:rsid w:val="0083389A"/>
    <w:rsid w:val="00842F4E"/>
    <w:rsid w:val="00847FA8"/>
    <w:rsid w:val="00851931"/>
    <w:rsid w:val="00857D9E"/>
    <w:rsid w:val="00873051"/>
    <w:rsid w:val="0088039A"/>
    <w:rsid w:val="008921E8"/>
    <w:rsid w:val="00892EDC"/>
    <w:rsid w:val="008A6C17"/>
    <w:rsid w:val="008D0B31"/>
    <w:rsid w:val="008D3C35"/>
    <w:rsid w:val="008E3A19"/>
    <w:rsid w:val="008F217C"/>
    <w:rsid w:val="00915AA4"/>
    <w:rsid w:val="00917EF6"/>
    <w:rsid w:val="00921D8F"/>
    <w:rsid w:val="009248E9"/>
    <w:rsid w:val="00924DA3"/>
    <w:rsid w:val="00932799"/>
    <w:rsid w:val="009356D1"/>
    <w:rsid w:val="0094320C"/>
    <w:rsid w:val="0094349C"/>
    <w:rsid w:val="00950100"/>
    <w:rsid w:val="00954ACF"/>
    <w:rsid w:val="00961445"/>
    <w:rsid w:val="00962FEB"/>
    <w:rsid w:val="00964166"/>
    <w:rsid w:val="00974215"/>
    <w:rsid w:val="0098554F"/>
    <w:rsid w:val="00987057"/>
    <w:rsid w:val="009871A7"/>
    <w:rsid w:val="00997EBC"/>
    <w:rsid w:val="009A59CF"/>
    <w:rsid w:val="009A5DA4"/>
    <w:rsid w:val="009B3EDF"/>
    <w:rsid w:val="009C39B8"/>
    <w:rsid w:val="009D2B79"/>
    <w:rsid w:val="009D6927"/>
    <w:rsid w:val="009E51A1"/>
    <w:rsid w:val="009E5280"/>
    <w:rsid w:val="009F2AE9"/>
    <w:rsid w:val="00A16A5C"/>
    <w:rsid w:val="00A17FB3"/>
    <w:rsid w:val="00A24B4E"/>
    <w:rsid w:val="00A44216"/>
    <w:rsid w:val="00A44FD9"/>
    <w:rsid w:val="00A61962"/>
    <w:rsid w:val="00A8162E"/>
    <w:rsid w:val="00A85D96"/>
    <w:rsid w:val="00A908D7"/>
    <w:rsid w:val="00A912D7"/>
    <w:rsid w:val="00A95E59"/>
    <w:rsid w:val="00AA526C"/>
    <w:rsid w:val="00AA5BE1"/>
    <w:rsid w:val="00AD2E38"/>
    <w:rsid w:val="00B063A2"/>
    <w:rsid w:val="00B1083F"/>
    <w:rsid w:val="00B13D58"/>
    <w:rsid w:val="00B15BC2"/>
    <w:rsid w:val="00B33313"/>
    <w:rsid w:val="00B51ECC"/>
    <w:rsid w:val="00B532D1"/>
    <w:rsid w:val="00B55467"/>
    <w:rsid w:val="00B64CC5"/>
    <w:rsid w:val="00B75319"/>
    <w:rsid w:val="00B93C61"/>
    <w:rsid w:val="00BA7721"/>
    <w:rsid w:val="00BC2228"/>
    <w:rsid w:val="00BC6DF8"/>
    <w:rsid w:val="00BD205F"/>
    <w:rsid w:val="00BD2F36"/>
    <w:rsid w:val="00BF148F"/>
    <w:rsid w:val="00BF2970"/>
    <w:rsid w:val="00C14F2F"/>
    <w:rsid w:val="00C23A2E"/>
    <w:rsid w:val="00C40C48"/>
    <w:rsid w:val="00C509BF"/>
    <w:rsid w:val="00C50F8E"/>
    <w:rsid w:val="00C53027"/>
    <w:rsid w:val="00C65EE6"/>
    <w:rsid w:val="00C70EF2"/>
    <w:rsid w:val="00C94ECD"/>
    <w:rsid w:val="00C9522A"/>
    <w:rsid w:val="00C96C3B"/>
    <w:rsid w:val="00CA4DAE"/>
    <w:rsid w:val="00CB5201"/>
    <w:rsid w:val="00CC3DBF"/>
    <w:rsid w:val="00CD0732"/>
    <w:rsid w:val="00CD2BF4"/>
    <w:rsid w:val="00CE6E09"/>
    <w:rsid w:val="00CF30F3"/>
    <w:rsid w:val="00D06581"/>
    <w:rsid w:val="00D20B49"/>
    <w:rsid w:val="00D21B6B"/>
    <w:rsid w:val="00D37C24"/>
    <w:rsid w:val="00D403EF"/>
    <w:rsid w:val="00D601D8"/>
    <w:rsid w:val="00D63364"/>
    <w:rsid w:val="00D73676"/>
    <w:rsid w:val="00D9225C"/>
    <w:rsid w:val="00DA2AF2"/>
    <w:rsid w:val="00DA2C91"/>
    <w:rsid w:val="00DB457D"/>
    <w:rsid w:val="00DB6483"/>
    <w:rsid w:val="00DB695A"/>
    <w:rsid w:val="00DC0CC9"/>
    <w:rsid w:val="00DC1AB1"/>
    <w:rsid w:val="00DD13F6"/>
    <w:rsid w:val="00DE251C"/>
    <w:rsid w:val="00DE43E5"/>
    <w:rsid w:val="00DE56D9"/>
    <w:rsid w:val="00DE7D8C"/>
    <w:rsid w:val="00DF0397"/>
    <w:rsid w:val="00DF5EC9"/>
    <w:rsid w:val="00DF66AB"/>
    <w:rsid w:val="00E01E22"/>
    <w:rsid w:val="00E143A0"/>
    <w:rsid w:val="00E21B8E"/>
    <w:rsid w:val="00E27B5A"/>
    <w:rsid w:val="00E31CAF"/>
    <w:rsid w:val="00E449D2"/>
    <w:rsid w:val="00E52252"/>
    <w:rsid w:val="00E57653"/>
    <w:rsid w:val="00E654D6"/>
    <w:rsid w:val="00EA2378"/>
    <w:rsid w:val="00EC3541"/>
    <w:rsid w:val="00EC48ED"/>
    <w:rsid w:val="00ED171C"/>
    <w:rsid w:val="00ED5438"/>
    <w:rsid w:val="00EE0DFF"/>
    <w:rsid w:val="00EF54E2"/>
    <w:rsid w:val="00EF5522"/>
    <w:rsid w:val="00F14C41"/>
    <w:rsid w:val="00F165C1"/>
    <w:rsid w:val="00F21A27"/>
    <w:rsid w:val="00F22090"/>
    <w:rsid w:val="00F248C3"/>
    <w:rsid w:val="00F25DFF"/>
    <w:rsid w:val="00F30307"/>
    <w:rsid w:val="00F34FC9"/>
    <w:rsid w:val="00F4538A"/>
    <w:rsid w:val="00F45D6F"/>
    <w:rsid w:val="00F67AA3"/>
    <w:rsid w:val="00F75C71"/>
    <w:rsid w:val="00F80E39"/>
    <w:rsid w:val="00F87B72"/>
    <w:rsid w:val="00F953B6"/>
    <w:rsid w:val="00FB0B82"/>
    <w:rsid w:val="00FC296F"/>
    <w:rsid w:val="00FC3342"/>
    <w:rsid w:val="00FC49ED"/>
    <w:rsid w:val="00FD6461"/>
    <w:rsid w:val="00FE16C1"/>
    <w:rsid w:val="00FE3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6601"/>
    <w:pPr>
      <w:spacing w:after="0" w:line="240" w:lineRule="auto"/>
    </w:pPr>
    <w:rPr>
      <w:sz w:val="20"/>
      <w:szCs w:val="20"/>
    </w:rPr>
  </w:style>
  <w:style w:type="character" w:customStyle="1" w:styleId="FootnoteTextChar">
    <w:name w:val="Footnote Text Char"/>
    <w:basedOn w:val="DefaultParagraphFont"/>
    <w:link w:val="FootnoteText"/>
    <w:uiPriority w:val="99"/>
    <w:rsid w:val="00596601"/>
    <w:rPr>
      <w:sz w:val="20"/>
      <w:szCs w:val="20"/>
    </w:rPr>
  </w:style>
  <w:style w:type="character" w:styleId="FootnoteReference">
    <w:name w:val="footnote reference"/>
    <w:basedOn w:val="DefaultParagraphFont"/>
    <w:uiPriority w:val="99"/>
    <w:semiHidden/>
    <w:unhideWhenUsed/>
    <w:rsid w:val="00596601"/>
    <w:rPr>
      <w:vertAlign w:val="superscript"/>
    </w:rPr>
  </w:style>
  <w:style w:type="character" w:styleId="Hyperlink">
    <w:name w:val="Hyperlink"/>
    <w:basedOn w:val="DefaultParagraphFont"/>
    <w:uiPriority w:val="99"/>
    <w:unhideWhenUsed/>
    <w:rsid w:val="00596601"/>
    <w:rPr>
      <w:color w:val="0563C1" w:themeColor="hyperlink"/>
      <w:u w:val="single"/>
    </w:rPr>
  </w:style>
  <w:style w:type="paragraph" w:customStyle="1" w:styleId="CC">
    <w:name w:val="CC"/>
    <w:basedOn w:val="BodyText"/>
    <w:rsid w:val="0059660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596601"/>
    <w:pPr>
      <w:spacing w:after="120"/>
    </w:pPr>
  </w:style>
  <w:style w:type="character" w:customStyle="1" w:styleId="BodyTextChar">
    <w:name w:val="Body Text Char"/>
    <w:basedOn w:val="DefaultParagraphFont"/>
    <w:link w:val="BodyText"/>
    <w:uiPriority w:val="99"/>
    <w:semiHidden/>
    <w:rsid w:val="00596601"/>
  </w:style>
  <w:style w:type="character" w:customStyle="1" w:styleId="UnresolvedMention">
    <w:name w:val="Unresolved Mention"/>
    <w:basedOn w:val="DefaultParagraphFont"/>
    <w:uiPriority w:val="99"/>
    <w:semiHidden/>
    <w:unhideWhenUsed/>
    <w:rsid w:val="00987057"/>
    <w:rPr>
      <w:color w:val="605E5C"/>
      <w:shd w:val="clear" w:color="auto" w:fill="E1DFDD"/>
    </w:rPr>
  </w:style>
  <w:style w:type="character" w:styleId="FollowedHyperlink">
    <w:name w:val="FollowedHyperlink"/>
    <w:basedOn w:val="DefaultParagraphFont"/>
    <w:uiPriority w:val="99"/>
    <w:semiHidden/>
    <w:unhideWhenUsed/>
    <w:rsid w:val="00987057"/>
    <w:rPr>
      <w:color w:val="954F72" w:themeColor="followedHyperlink"/>
      <w:u w:val="single"/>
    </w:rPr>
  </w:style>
  <w:style w:type="paragraph" w:styleId="Header">
    <w:name w:val="header"/>
    <w:basedOn w:val="Normal"/>
    <w:link w:val="HeaderChar"/>
    <w:uiPriority w:val="99"/>
    <w:unhideWhenUsed/>
    <w:rsid w:val="0017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03"/>
  </w:style>
  <w:style w:type="paragraph" w:styleId="Footer">
    <w:name w:val="footer"/>
    <w:basedOn w:val="Normal"/>
    <w:link w:val="FooterChar"/>
    <w:uiPriority w:val="99"/>
    <w:unhideWhenUsed/>
    <w:rsid w:val="0017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C03"/>
  </w:style>
  <w:style w:type="paragraph" w:styleId="Revision">
    <w:name w:val="Revision"/>
    <w:hidden/>
    <w:uiPriority w:val="99"/>
    <w:semiHidden/>
    <w:rsid w:val="007719ED"/>
    <w:pPr>
      <w:spacing w:after="0" w:line="240" w:lineRule="auto"/>
    </w:pPr>
  </w:style>
  <w:style w:type="paragraph" w:styleId="BalloonText">
    <w:name w:val="Balloon Text"/>
    <w:basedOn w:val="Normal"/>
    <w:link w:val="BalloonTextChar"/>
    <w:uiPriority w:val="99"/>
    <w:semiHidden/>
    <w:unhideWhenUsed/>
    <w:rsid w:val="0077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6601"/>
    <w:pPr>
      <w:spacing w:after="0" w:line="240" w:lineRule="auto"/>
    </w:pPr>
    <w:rPr>
      <w:sz w:val="20"/>
      <w:szCs w:val="20"/>
    </w:rPr>
  </w:style>
  <w:style w:type="character" w:customStyle="1" w:styleId="FootnoteTextChar">
    <w:name w:val="Footnote Text Char"/>
    <w:basedOn w:val="DefaultParagraphFont"/>
    <w:link w:val="FootnoteText"/>
    <w:uiPriority w:val="99"/>
    <w:rsid w:val="00596601"/>
    <w:rPr>
      <w:sz w:val="20"/>
      <w:szCs w:val="20"/>
    </w:rPr>
  </w:style>
  <w:style w:type="character" w:styleId="FootnoteReference">
    <w:name w:val="footnote reference"/>
    <w:basedOn w:val="DefaultParagraphFont"/>
    <w:uiPriority w:val="99"/>
    <w:semiHidden/>
    <w:unhideWhenUsed/>
    <w:rsid w:val="00596601"/>
    <w:rPr>
      <w:vertAlign w:val="superscript"/>
    </w:rPr>
  </w:style>
  <w:style w:type="character" w:styleId="Hyperlink">
    <w:name w:val="Hyperlink"/>
    <w:basedOn w:val="DefaultParagraphFont"/>
    <w:uiPriority w:val="99"/>
    <w:unhideWhenUsed/>
    <w:rsid w:val="00596601"/>
    <w:rPr>
      <w:color w:val="0563C1" w:themeColor="hyperlink"/>
      <w:u w:val="single"/>
    </w:rPr>
  </w:style>
  <w:style w:type="paragraph" w:customStyle="1" w:styleId="CC">
    <w:name w:val="CC"/>
    <w:basedOn w:val="BodyText"/>
    <w:rsid w:val="0059660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596601"/>
    <w:pPr>
      <w:spacing w:after="120"/>
    </w:pPr>
  </w:style>
  <w:style w:type="character" w:customStyle="1" w:styleId="BodyTextChar">
    <w:name w:val="Body Text Char"/>
    <w:basedOn w:val="DefaultParagraphFont"/>
    <w:link w:val="BodyText"/>
    <w:uiPriority w:val="99"/>
    <w:semiHidden/>
    <w:rsid w:val="00596601"/>
  </w:style>
  <w:style w:type="character" w:customStyle="1" w:styleId="UnresolvedMention">
    <w:name w:val="Unresolved Mention"/>
    <w:basedOn w:val="DefaultParagraphFont"/>
    <w:uiPriority w:val="99"/>
    <w:semiHidden/>
    <w:unhideWhenUsed/>
    <w:rsid w:val="00987057"/>
    <w:rPr>
      <w:color w:val="605E5C"/>
      <w:shd w:val="clear" w:color="auto" w:fill="E1DFDD"/>
    </w:rPr>
  </w:style>
  <w:style w:type="character" w:styleId="FollowedHyperlink">
    <w:name w:val="FollowedHyperlink"/>
    <w:basedOn w:val="DefaultParagraphFont"/>
    <w:uiPriority w:val="99"/>
    <w:semiHidden/>
    <w:unhideWhenUsed/>
    <w:rsid w:val="00987057"/>
    <w:rPr>
      <w:color w:val="954F72" w:themeColor="followedHyperlink"/>
      <w:u w:val="single"/>
    </w:rPr>
  </w:style>
  <w:style w:type="paragraph" w:styleId="Header">
    <w:name w:val="header"/>
    <w:basedOn w:val="Normal"/>
    <w:link w:val="HeaderChar"/>
    <w:uiPriority w:val="99"/>
    <w:unhideWhenUsed/>
    <w:rsid w:val="0017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03"/>
  </w:style>
  <w:style w:type="paragraph" w:styleId="Footer">
    <w:name w:val="footer"/>
    <w:basedOn w:val="Normal"/>
    <w:link w:val="FooterChar"/>
    <w:uiPriority w:val="99"/>
    <w:unhideWhenUsed/>
    <w:rsid w:val="0017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C03"/>
  </w:style>
  <w:style w:type="paragraph" w:styleId="Revision">
    <w:name w:val="Revision"/>
    <w:hidden/>
    <w:uiPriority w:val="99"/>
    <w:semiHidden/>
    <w:rsid w:val="007719ED"/>
    <w:pPr>
      <w:spacing w:after="0" w:line="240" w:lineRule="auto"/>
    </w:pPr>
  </w:style>
  <w:style w:type="paragraph" w:styleId="BalloonText">
    <w:name w:val="Balloon Text"/>
    <w:basedOn w:val="Normal"/>
    <w:link w:val="BalloonTextChar"/>
    <w:uiPriority w:val="99"/>
    <w:semiHidden/>
    <w:unhideWhenUsed/>
    <w:rsid w:val="0077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37-pursuit-ethical-life-8-moral-intuition-3-role-monarch-par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2&amp;ved=2ahUKEwjls4uj9_bfAhVL_aQKHSEbBAoQFjABegQICRAC&amp;url=https%3A%2F%2Facademiccommons.columbia.edu%2Fdoi%2F10.7916%2FD893119P%2Fdownload&amp;usg=AOvVaw0RxWDvMmetJnZ4dQDUYV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4F1C-DCAC-4748-BEB9-FB9754CB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3</cp:revision>
  <dcterms:created xsi:type="dcterms:W3CDTF">2019-01-31T08:26:00Z</dcterms:created>
  <dcterms:modified xsi:type="dcterms:W3CDTF">2019-01-31T08:38:00Z</dcterms:modified>
</cp:coreProperties>
</file>