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41FDD" w14:textId="7347141E" w:rsidR="00D306F8" w:rsidRPr="00344316" w:rsidRDefault="00D306F8" w:rsidP="00227792">
      <w:pPr>
        <w:pStyle w:val="CC"/>
        <w:keepLines w:val="0"/>
        <w:tabs>
          <w:tab w:val="left" w:pos="720"/>
        </w:tabs>
        <w:spacing w:after="0"/>
        <w:ind w:left="0" w:firstLine="0"/>
        <w:jc w:val="center"/>
        <w:rPr>
          <w:rFonts w:asciiTheme="minorBidi" w:hAnsiTheme="minorBidi" w:cstheme="minorBidi"/>
          <w:sz w:val="24"/>
          <w:szCs w:val="24"/>
        </w:rPr>
      </w:pPr>
      <w:bookmarkStart w:id="0" w:name="_Hlk3966134"/>
      <w:r w:rsidRPr="00344316">
        <w:rPr>
          <w:rFonts w:asciiTheme="minorBidi" w:hAnsiTheme="minorBidi" w:cstheme="minorBidi"/>
          <w:sz w:val="24"/>
          <w:szCs w:val="24"/>
        </w:rPr>
        <w:t>YESHIVAT</w:t>
      </w:r>
      <w:bookmarkStart w:id="1" w:name="_GoBack"/>
      <w:bookmarkEnd w:id="1"/>
      <w:r w:rsidRPr="00344316">
        <w:rPr>
          <w:rFonts w:asciiTheme="minorBidi" w:hAnsiTheme="minorBidi" w:cstheme="minorBidi"/>
          <w:sz w:val="24"/>
          <w:szCs w:val="24"/>
        </w:rPr>
        <w:t xml:space="preserve"> HAR ETZION</w:t>
      </w:r>
    </w:p>
    <w:p w14:paraId="0C19030C" w14:textId="77777777" w:rsidR="00D306F8" w:rsidRPr="00344316" w:rsidRDefault="00D306F8" w:rsidP="00227792">
      <w:pPr>
        <w:pStyle w:val="CC"/>
        <w:keepLines w:val="0"/>
        <w:tabs>
          <w:tab w:val="left" w:pos="720"/>
        </w:tabs>
        <w:spacing w:after="0"/>
        <w:ind w:left="0" w:firstLine="0"/>
        <w:jc w:val="center"/>
        <w:rPr>
          <w:rFonts w:asciiTheme="minorBidi" w:hAnsiTheme="minorBidi" w:cstheme="minorBidi"/>
          <w:sz w:val="24"/>
          <w:szCs w:val="24"/>
          <w:lang w:val="en-GB"/>
        </w:rPr>
      </w:pPr>
      <w:r w:rsidRPr="00344316">
        <w:rPr>
          <w:rFonts w:asciiTheme="minorBidi" w:hAnsiTheme="minorBidi" w:cstheme="minorBidi"/>
          <w:sz w:val="24"/>
          <w:szCs w:val="24"/>
          <w:lang w:val="en-GB"/>
        </w:rPr>
        <w:t>ISRAEL KOSCHITZKY VIRTUAL BEIT MIDRASH (VBM)</w:t>
      </w:r>
    </w:p>
    <w:p w14:paraId="36968C1F" w14:textId="77777777" w:rsidR="00D306F8" w:rsidRPr="00344316" w:rsidRDefault="00D306F8" w:rsidP="00227792">
      <w:pPr>
        <w:pStyle w:val="CC"/>
        <w:keepLines w:val="0"/>
        <w:tabs>
          <w:tab w:val="left" w:pos="720"/>
        </w:tabs>
        <w:spacing w:after="0"/>
        <w:ind w:left="0" w:firstLine="0"/>
        <w:jc w:val="center"/>
        <w:rPr>
          <w:rFonts w:asciiTheme="minorBidi" w:hAnsiTheme="minorBidi" w:cstheme="minorBidi"/>
          <w:sz w:val="24"/>
          <w:szCs w:val="24"/>
          <w:lang w:val="en-GB"/>
        </w:rPr>
      </w:pPr>
      <w:r w:rsidRPr="00344316">
        <w:rPr>
          <w:rFonts w:asciiTheme="minorBidi" w:hAnsiTheme="minorBidi" w:cstheme="minorBidi"/>
          <w:sz w:val="24"/>
          <w:szCs w:val="24"/>
          <w:lang w:val="en-GB"/>
        </w:rPr>
        <w:t>*********************************************************</w:t>
      </w:r>
    </w:p>
    <w:p w14:paraId="1FA1964A" w14:textId="77777777" w:rsidR="00344316" w:rsidRPr="00344316" w:rsidRDefault="00344316" w:rsidP="00227792">
      <w:pPr>
        <w:pStyle w:val="CC"/>
        <w:keepLines w:val="0"/>
        <w:tabs>
          <w:tab w:val="left" w:pos="720"/>
        </w:tabs>
        <w:spacing w:after="0"/>
        <w:ind w:left="0" w:firstLine="0"/>
        <w:jc w:val="center"/>
        <w:rPr>
          <w:rFonts w:asciiTheme="minorBidi" w:hAnsiTheme="minorBidi" w:cstheme="minorBidi"/>
          <w:sz w:val="24"/>
          <w:szCs w:val="24"/>
        </w:rPr>
      </w:pPr>
    </w:p>
    <w:p w14:paraId="7DC1D287" w14:textId="77777777" w:rsidR="00D306F8" w:rsidRPr="00344316" w:rsidRDefault="00D306F8" w:rsidP="00227792">
      <w:pPr>
        <w:spacing w:after="0" w:line="240" w:lineRule="auto"/>
        <w:jc w:val="center"/>
        <w:rPr>
          <w:rFonts w:asciiTheme="minorBidi" w:hAnsiTheme="minorBidi"/>
          <w:b/>
          <w:bCs/>
          <w:sz w:val="24"/>
          <w:szCs w:val="24"/>
        </w:rPr>
      </w:pPr>
      <w:r w:rsidRPr="00344316">
        <w:rPr>
          <w:rFonts w:asciiTheme="minorBidi" w:hAnsiTheme="minorBidi"/>
          <w:b/>
          <w:bCs/>
          <w:sz w:val="24"/>
          <w:szCs w:val="24"/>
        </w:rPr>
        <w:t>Before Sinai: Jewish Values and Jewish Law</w:t>
      </w:r>
    </w:p>
    <w:p w14:paraId="0FB690CA" w14:textId="77777777" w:rsidR="00D306F8" w:rsidRPr="00344316" w:rsidRDefault="00D306F8" w:rsidP="00227792">
      <w:pPr>
        <w:spacing w:after="0" w:line="240" w:lineRule="auto"/>
        <w:jc w:val="center"/>
        <w:rPr>
          <w:rFonts w:asciiTheme="minorBidi" w:hAnsiTheme="minorBidi"/>
          <w:b/>
          <w:bCs/>
          <w:sz w:val="24"/>
          <w:szCs w:val="24"/>
        </w:rPr>
      </w:pPr>
      <w:r w:rsidRPr="00344316">
        <w:rPr>
          <w:rFonts w:asciiTheme="minorBidi" w:hAnsiTheme="minorBidi"/>
          <w:b/>
          <w:bCs/>
          <w:sz w:val="24"/>
          <w:szCs w:val="24"/>
        </w:rPr>
        <w:t>By Rav Dr. Judah Goldberg</w:t>
      </w:r>
    </w:p>
    <w:p w14:paraId="6DF2B6F2" w14:textId="77777777" w:rsidR="00D306F8" w:rsidRPr="00344316" w:rsidRDefault="00D306F8" w:rsidP="00227792">
      <w:pPr>
        <w:spacing w:after="0" w:line="240" w:lineRule="auto"/>
        <w:jc w:val="center"/>
        <w:rPr>
          <w:rFonts w:asciiTheme="minorBidi" w:hAnsiTheme="minorBidi"/>
          <w:b/>
          <w:bCs/>
          <w:sz w:val="24"/>
          <w:szCs w:val="24"/>
          <w:lang w:val="en-GB"/>
        </w:rPr>
      </w:pPr>
    </w:p>
    <w:p w14:paraId="1726AB71" w14:textId="77777777" w:rsidR="00D306F8" w:rsidRPr="00344316" w:rsidRDefault="00D306F8" w:rsidP="00227792">
      <w:pPr>
        <w:spacing w:after="0" w:line="240" w:lineRule="auto"/>
        <w:jc w:val="center"/>
        <w:rPr>
          <w:rFonts w:asciiTheme="minorBidi" w:hAnsiTheme="minorBidi"/>
          <w:b/>
          <w:bCs/>
          <w:sz w:val="24"/>
          <w:szCs w:val="24"/>
          <w:lang w:val="en-GB"/>
        </w:rPr>
      </w:pPr>
    </w:p>
    <w:p w14:paraId="40EB45E5" w14:textId="6B4D0D4A" w:rsidR="00344316" w:rsidRPr="00344316" w:rsidRDefault="00D306F8" w:rsidP="00227792">
      <w:pPr>
        <w:spacing w:after="0" w:line="240" w:lineRule="auto"/>
        <w:jc w:val="center"/>
        <w:rPr>
          <w:rFonts w:asciiTheme="minorBidi" w:hAnsiTheme="minorBidi"/>
          <w:b/>
          <w:bCs/>
          <w:sz w:val="24"/>
          <w:szCs w:val="24"/>
        </w:rPr>
      </w:pPr>
      <w:r w:rsidRPr="00344316">
        <w:rPr>
          <w:rFonts w:asciiTheme="minorBidi" w:hAnsiTheme="minorBidi"/>
          <w:b/>
          <w:bCs/>
          <w:sz w:val="24"/>
          <w:szCs w:val="24"/>
        </w:rPr>
        <w:t>Shiur #43:</w:t>
      </w:r>
      <w:r w:rsidR="00344316">
        <w:rPr>
          <w:rFonts w:asciiTheme="minorBidi" w:hAnsiTheme="minorBidi"/>
          <w:b/>
          <w:bCs/>
          <w:sz w:val="24"/>
          <w:szCs w:val="24"/>
        </w:rPr>
        <w:t xml:space="preserve"> </w:t>
      </w:r>
    </w:p>
    <w:p w14:paraId="418BD5D5" w14:textId="0603B7AA" w:rsidR="00D306F8" w:rsidRPr="00344316" w:rsidRDefault="00D306F8" w:rsidP="00227792">
      <w:pPr>
        <w:spacing w:after="0" w:line="240" w:lineRule="auto"/>
        <w:jc w:val="center"/>
        <w:rPr>
          <w:rFonts w:asciiTheme="minorBidi" w:hAnsiTheme="minorBidi"/>
          <w:b/>
          <w:bCs/>
          <w:sz w:val="24"/>
          <w:szCs w:val="24"/>
        </w:rPr>
      </w:pPr>
      <w:r w:rsidRPr="00344316">
        <w:rPr>
          <w:rFonts w:asciiTheme="minorBidi" w:hAnsiTheme="minorBidi"/>
          <w:b/>
          <w:bCs/>
          <w:sz w:val="24"/>
          <w:szCs w:val="24"/>
        </w:rPr>
        <w:t>Pursuit of the Ethical Life (</w:t>
      </w:r>
      <w:r w:rsidR="001E480A" w:rsidRPr="00344316">
        <w:rPr>
          <w:rFonts w:asciiTheme="minorBidi" w:hAnsiTheme="minorBidi"/>
          <w:b/>
          <w:bCs/>
          <w:sz w:val="24"/>
          <w:szCs w:val="24"/>
        </w:rPr>
        <w:t>14</w:t>
      </w:r>
      <w:r w:rsidRPr="00344316">
        <w:rPr>
          <w:rFonts w:asciiTheme="minorBidi" w:hAnsiTheme="minorBidi"/>
          <w:b/>
          <w:bCs/>
          <w:sz w:val="24"/>
          <w:szCs w:val="24"/>
        </w:rPr>
        <w:t>):</w:t>
      </w:r>
      <w:r w:rsidR="00344316">
        <w:rPr>
          <w:rFonts w:asciiTheme="minorBidi" w:hAnsiTheme="minorBidi"/>
          <w:b/>
          <w:bCs/>
          <w:sz w:val="24"/>
          <w:szCs w:val="24"/>
        </w:rPr>
        <w:t xml:space="preserve"> </w:t>
      </w:r>
    </w:p>
    <w:p w14:paraId="2139F0B6" w14:textId="77777777" w:rsidR="00344316" w:rsidRPr="00344316" w:rsidRDefault="00D306F8" w:rsidP="00227792">
      <w:pPr>
        <w:spacing w:after="0" w:line="240" w:lineRule="auto"/>
        <w:jc w:val="center"/>
        <w:rPr>
          <w:rFonts w:asciiTheme="minorBidi" w:hAnsiTheme="minorBidi"/>
          <w:b/>
          <w:bCs/>
          <w:sz w:val="24"/>
          <w:szCs w:val="24"/>
        </w:rPr>
      </w:pPr>
      <w:r w:rsidRPr="00344316">
        <w:rPr>
          <w:rFonts w:asciiTheme="minorBidi" w:hAnsiTheme="minorBidi"/>
          <w:b/>
          <w:bCs/>
          <w:sz w:val="24"/>
          <w:szCs w:val="24"/>
        </w:rPr>
        <w:t xml:space="preserve">Living with </w:t>
      </w:r>
      <w:r w:rsidRPr="00344316">
        <w:rPr>
          <w:rFonts w:asciiTheme="minorBidi" w:hAnsiTheme="minorBidi"/>
          <w:b/>
          <w:bCs/>
          <w:i/>
          <w:iCs/>
          <w:sz w:val="24"/>
          <w:szCs w:val="24"/>
        </w:rPr>
        <w:t>Tzedaka U-Mishpat</w:t>
      </w:r>
    </w:p>
    <w:p w14:paraId="2C9726AB" w14:textId="0AABCAF3" w:rsidR="00D306F8" w:rsidRPr="00344316" w:rsidRDefault="00D306F8" w:rsidP="00227792">
      <w:pPr>
        <w:spacing w:after="0" w:line="240" w:lineRule="auto"/>
        <w:jc w:val="center"/>
        <w:rPr>
          <w:rFonts w:asciiTheme="minorBidi" w:hAnsiTheme="minorBidi"/>
          <w:b/>
          <w:bCs/>
          <w:sz w:val="24"/>
          <w:szCs w:val="24"/>
          <w:rtl/>
        </w:rPr>
      </w:pPr>
      <w:r w:rsidRPr="00344316">
        <w:rPr>
          <w:rFonts w:asciiTheme="minorBidi" w:hAnsiTheme="minorBidi"/>
          <w:b/>
          <w:bCs/>
          <w:sz w:val="24"/>
          <w:szCs w:val="24"/>
        </w:rPr>
        <w:t xml:space="preserve">Part </w:t>
      </w:r>
      <w:r w:rsidR="009D23B9" w:rsidRPr="00344316">
        <w:rPr>
          <w:rFonts w:asciiTheme="minorBidi" w:hAnsiTheme="minorBidi"/>
          <w:b/>
          <w:bCs/>
          <w:sz w:val="24"/>
          <w:szCs w:val="24"/>
        </w:rPr>
        <w:t>II</w:t>
      </w:r>
      <w:r w:rsidR="00344316" w:rsidRPr="00344316">
        <w:rPr>
          <w:rFonts w:asciiTheme="minorBidi" w:hAnsiTheme="minorBidi"/>
          <w:b/>
          <w:bCs/>
          <w:sz w:val="24"/>
          <w:szCs w:val="24"/>
        </w:rPr>
        <w:t xml:space="preserve">: </w:t>
      </w:r>
      <w:r w:rsidR="002A2116" w:rsidRPr="00344316">
        <w:rPr>
          <w:rFonts w:asciiTheme="minorBidi" w:hAnsiTheme="minorBidi"/>
          <w:b/>
          <w:bCs/>
          <w:sz w:val="24"/>
          <w:szCs w:val="24"/>
        </w:rPr>
        <w:t>Halakhic and Communal Policy</w:t>
      </w:r>
    </w:p>
    <w:bookmarkEnd w:id="0"/>
    <w:p w14:paraId="7E747662" w14:textId="540FA4DF" w:rsidR="00D306F8" w:rsidRPr="00344316" w:rsidRDefault="00D306F8" w:rsidP="00227792">
      <w:pPr>
        <w:spacing w:after="0" w:line="240" w:lineRule="auto"/>
        <w:jc w:val="both"/>
        <w:rPr>
          <w:rFonts w:asciiTheme="minorBidi" w:hAnsiTheme="minorBidi"/>
          <w:b/>
          <w:bCs/>
          <w:sz w:val="24"/>
          <w:szCs w:val="24"/>
        </w:rPr>
      </w:pPr>
    </w:p>
    <w:p w14:paraId="5384B78F" w14:textId="77777777" w:rsidR="00810CBA" w:rsidRPr="00344316" w:rsidRDefault="00810CBA" w:rsidP="00227792">
      <w:pPr>
        <w:spacing w:after="0" w:line="240" w:lineRule="auto"/>
        <w:jc w:val="both"/>
        <w:rPr>
          <w:rFonts w:asciiTheme="minorBidi" w:hAnsiTheme="minorBidi"/>
          <w:b/>
          <w:bCs/>
          <w:sz w:val="24"/>
          <w:szCs w:val="24"/>
        </w:rPr>
      </w:pPr>
    </w:p>
    <w:p w14:paraId="2682A6B3" w14:textId="3FEC4D4B" w:rsidR="00F408D1" w:rsidRPr="00344316" w:rsidRDefault="00F408D1"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This </w:t>
      </w:r>
      <w:r w:rsidRPr="00344316">
        <w:rPr>
          <w:rFonts w:asciiTheme="minorBidi" w:hAnsiTheme="minorBidi"/>
          <w:i/>
          <w:iCs/>
          <w:sz w:val="24"/>
          <w:szCs w:val="24"/>
        </w:rPr>
        <w:t>shiur</w:t>
      </w:r>
      <w:r w:rsidRPr="00344316">
        <w:rPr>
          <w:rFonts w:asciiTheme="minorBidi" w:hAnsiTheme="minorBidi"/>
          <w:sz w:val="24"/>
          <w:szCs w:val="24"/>
        </w:rPr>
        <w:t xml:space="preserve"> continues our discussion of </w:t>
      </w:r>
      <w:r w:rsidR="00974C73" w:rsidRPr="00344316">
        <w:rPr>
          <w:rFonts w:asciiTheme="minorBidi" w:hAnsiTheme="minorBidi"/>
          <w:sz w:val="24"/>
          <w:szCs w:val="24"/>
        </w:rPr>
        <w:t>roles</w:t>
      </w:r>
      <w:r w:rsidR="001222E0" w:rsidRPr="00344316">
        <w:rPr>
          <w:rFonts w:asciiTheme="minorBidi" w:hAnsiTheme="minorBidi"/>
          <w:sz w:val="24"/>
          <w:szCs w:val="24"/>
        </w:rPr>
        <w:t xml:space="preserve"> </w:t>
      </w:r>
      <w:r w:rsidR="00974C73" w:rsidRPr="00344316">
        <w:rPr>
          <w:rFonts w:asciiTheme="minorBidi" w:hAnsiTheme="minorBidi"/>
          <w:sz w:val="24"/>
          <w:szCs w:val="24"/>
        </w:rPr>
        <w:t>for</w:t>
      </w:r>
      <w:r w:rsidR="001222E0" w:rsidRPr="00344316">
        <w:rPr>
          <w:rFonts w:asciiTheme="minorBidi" w:hAnsiTheme="minorBidi"/>
          <w:sz w:val="24"/>
          <w:szCs w:val="24"/>
        </w:rPr>
        <w:t xml:space="preserve"> moral intuition </w:t>
      </w:r>
      <w:r w:rsidR="00E932B2" w:rsidRPr="00344316">
        <w:rPr>
          <w:rFonts w:asciiTheme="minorBidi" w:hAnsiTheme="minorBidi"/>
          <w:sz w:val="24"/>
          <w:szCs w:val="24"/>
        </w:rPr>
        <w:t>in J</w:t>
      </w:r>
      <w:r w:rsidR="006115DE" w:rsidRPr="00344316">
        <w:rPr>
          <w:rFonts w:asciiTheme="minorBidi" w:hAnsiTheme="minorBidi"/>
          <w:sz w:val="24"/>
          <w:szCs w:val="24"/>
        </w:rPr>
        <w:t>ewish life</w:t>
      </w:r>
      <w:r w:rsidR="00E932B2" w:rsidRPr="00344316">
        <w:rPr>
          <w:rFonts w:asciiTheme="minorBidi" w:hAnsiTheme="minorBidi"/>
          <w:sz w:val="24"/>
          <w:szCs w:val="24"/>
        </w:rPr>
        <w:t xml:space="preserve">. </w:t>
      </w:r>
      <w:r w:rsidR="00730199" w:rsidRPr="00344316">
        <w:rPr>
          <w:rFonts w:asciiTheme="minorBidi" w:hAnsiTheme="minorBidi"/>
          <w:sz w:val="24"/>
          <w:szCs w:val="24"/>
        </w:rPr>
        <w:t xml:space="preserve">It addresses two further areas </w:t>
      </w:r>
      <w:r w:rsidR="00E65908" w:rsidRPr="00344316">
        <w:rPr>
          <w:rFonts w:asciiTheme="minorBidi" w:hAnsiTheme="minorBidi"/>
          <w:sz w:val="24"/>
          <w:szCs w:val="24"/>
        </w:rPr>
        <w:t xml:space="preserve">in which the values of </w:t>
      </w:r>
      <w:r w:rsidR="00E65908" w:rsidRPr="00344316">
        <w:rPr>
          <w:rFonts w:asciiTheme="minorBidi" w:hAnsiTheme="minorBidi"/>
          <w:i/>
          <w:iCs/>
          <w:sz w:val="24"/>
          <w:szCs w:val="24"/>
        </w:rPr>
        <w:t>tzedaka u-mishpat</w:t>
      </w:r>
      <w:r w:rsidR="00E65908" w:rsidRPr="00344316">
        <w:rPr>
          <w:rFonts w:asciiTheme="minorBidi" w:hAnsiTheme="minorBidi"/>
          <w:sz w:val="24"/>
          <w:szCs w:val="24"/>
        </w:rPr>
        <w:t xml:space="preserve"> can be relevant: </w:t>
      </w:r>
      <w:r w:rsidR="00B26B0C" w:rsidRPr="00344316">
        <w:rPr>
          <w:rFonts w:asciiTheme="minorBidi" w:hAnsiTheme="minorBidi"/>
          <w:sz w:val="24"/>
          <w:szCs w:val="24"/>
        </w:rPr>
        <w:t xml:space="preserve">in complementing </w:t>
      </w:r>
      <w:r w:rsidR="00DE1191" w:rsidRPr="00344316">
        <w:rPr>
          <w:rFonts w:asciiTheme="minorBidi" w:hAnsiTheme="minorBidi"/>
          <w:sz w:val="24"/>
          <w:szCs w:val="24"/>
        </w:rPr>
        <w:t>halakhic analys</w:t>
      </w:r>
      <w:r w:rsidR="001370E7">
        <w:rPr>
          <w:rFonts w:asciiTheme="minorBidi" w:hAnsiTheme="minorBidi"/>
          <w:sz w:val="24"/>
          <w:szCs w:val="24"/>
        </w:rPr>
        <w:t>i</w:t>
      </w:r>
      <w:r w:rsidR="00DE1191" w:rsidRPr="00344316">
        <w:rPr>
          <w:rFonts w:asciiTheme="minorBidi" w:hAnsiTheme="minorBidi"/>
          <w:sz w:val="24"/>
          <w:szCs w:val="24"/>
        </w:rPr>
        <w:t>s of ethically</w:t>
      </w:r>
      <w:r w:rsidR="00BE6769">
        <w:rPr>
          <w:rFonts w:asciiTheme="minorBidi" w:hAnsiTheme="minorBidi"/>
          <w:sz w:val="24"/>
          <w:szCs w:val="24"/>
        </w:rPr>
        <w:t>-</w:t>
      </w:r>
      <w:r w:rsidR="009A1864" w:rsidRPr="00344316">
        <w:rPr>
          <w:rFonts w:asciiTheme="minorBidi" w:hAnsiTheme="minorBidi"/>
          <w:sz w:val="24"/>
          <w:szCs w:val="24"/>
        </w:rPr>
        <w:t xml:space="preserve">laden subjects </w:t>
      </w:r>
      <w:r w:rsidR="00726CD9" w:rsidRPr="00344316">
        <w:rPr>
          <w:rFonts w:asciiTheme="minorBidi" w:hAnsiTheme="minorBidi"/>
          <w:sz w:val="24"/>
          <w:szCs w:val="24"/>
        </w:rPr>
        <w:t xml:space="preserve">with </w:t>
      </w:r>
      <w:r w:rsidR="001370E7">
        <w:rPr>
          <w:rFonts w:asciiTheme="minorBidi" w:hAnsiTheme="minorBidi"/>
          <w:sz w:val="24"/>
          <w:szCs w:val="24"/>
        </w:rPr>
        <w:t xml:space="preserve">deep </w:t>
      </w:r>
      <w:r w:rsidR="00726CD9" w:rsidRPr="00344316">
        <w:rPr>
          <w:rFonts w:asciiTheme="minorBidi" w:hAnsiTheme="minorBidi"/>
          <w:sz w:val="24"/>
          <w:szCs w:val="24"/>
        </w:rPr>
        <w:t>moral reflection</w:t>
      </w:r>
      <w:r w:rsidR="00BE6769">
        <w:rPr>
          <w:rFonts w:asciiTheme="minorBidi" w:hAnsiTheme="minorBidi"/>
          <w:sz w:val="24"/>
          <w:szCs w:val="24"/>
        </w:rPr>
        <w:t>;</w:t>
      </w:r>
      <w:r w:rsidR="00726CD9" w:rsidRPr="00344316">
        <w:rPr>
          <w:rFonts w:asciiTheme="minorBidi" w:hAnsiTheme="minorBidi"/>
          <w:sz w:val="24"/>
          <w:szCs w:val="24"/>
        </w:rPr>
        <w:t xml:space="preserve"> </w:t>
      </w:r>
      <w:r w:rsidR="009A1864" w:rsidRPr="00344316">
        <w:rPr>
          <w:rFonts w:asciiTheme="minorBidi" w:hAnsiTheme="minorBidi"/>
          <w:sz w:val="24"/>
          <w:szCs w:val="24"/>
        </w:rPr>
        <w:t>and</w:t>
      </w:r>
      <w:r w:rsidR="00295914" w:rsidRPr="00344316">
        <w:rPr>
          <w:rFonts w:asciiTheme="minorBidi" w:hAnsiTheme="minorBidi"/>
          <w:sz w:val="24"/>
          <w:szCs w:val="24"/>
        </w:rPr>
        <w:t xml:space="preserve"> in formulating policies for </w:t>
      </w:r>
      <w:r w:rsidR="009A1864" w:rsidRPr="00344316">
        <w:rPr>
          <w:rFonts w:asciiTheme="minorBidi" w:hAnsiTheme="minorBidi"/>
          <w:sz w:val="24"/>
          <w:szCs w:val="24"/>
        </w:rPr>
        <w:t>communal governance</w:t>
      </w:r>
      <w:r w:rsidR="00810CBA" w:rsidRPr="00344316">
        <w:rPr>
          <w:rFonts w:asciiTheme="minorBidi" w:hAnsiTheme="minorBidi"/>
          <w:sz w:val="24"/>
          <w:szCs w:val="24"/>
        </w:rPr>
        <w:t>, at both the local and national levels.</w:t>
      </w:r>
      <w:r w:rsidR="00E65908" w:rsidRPr="00344316">
        <w:rPr>
          <w:rFonts w:asciiTheme="minorBidi" w:hAnsiTheme="minorBidi"/>
          <w:sz w:val="24"/>
          <w:szCs w:val="24"/>
        </w:rPr>
        <w:t xml:space="preserve"> </w:t>
      </w:r>
    </w:p>
    <w:p w14:paraId="2E5A6211" w14:textId="5C70F42D" w:rsidR="00974C73" w:rsidRPr="00344316" w:rsidRDefault="00974C73" w:rsidP="00227792">
      <w:pPr>
        <w:spacing w:after="0" w:line="240" w:lineRule="auto"/>
        <w:jc w:val="both"/>
        <w:rPr>
          <w:rFonts w:asciiTheme="minorBidi" w:hAnsiTheme="minorBidi"/>
          <w:sz w:val="24"/>
          <w:szCs w:val="24"/>
        </w:rPr>
      </w:pPr>
    </w:p>
    <w:p w14:paraId="6AB3BA68" w14:textId="77777777" w:rsidR="00227792" w:rsidRDefault="00227792" w:rsidP="00227792">
      <w:pPr>
        <w:spacing w:after="0" w:line="240" w:lineRule="auto"/>
        <w:jc w:val="both"/>
        <w:rPr>
          <w:rFonts w:asciiTheme="minorBidi" w:hAnsiTheme="minorBidi"/>
          <w:b/>
          <w:bCs/>
          <w:sz w:val="24"/>
          <w:szCs w:val="24"/>
        </w:rPr>
      </w:pPr>
    </w:p>
    <w:p w14:paraId="4C61F2F9" w14:textId="7CA9B191" w:rsidR="00D306F8" w:rsidRPr="00344316" w:rsidRDefault="00D306F8" w:rsidP="00227792">
      <w:pPr>
        <w:spacing w:after="0" w:line="240" w:lineRule="auto"/>
        <w:jc w:val="both"/>
        <w:rPr>
          <w:rFonts w:asciiTheme="minorBidi" w:hAnsiTheme="minorBidi"/>
          <w:b/>
          <w:bCs/>
          <w:sz w:val="24"/>
          <w:szCs w:val="24"/>
        </w:rPr>
      </w:pPr>
      <w:r w:rsidRPr="00344316">
        <w:rPr>
          <w:rFonts w:asciiTheme="minorBidi" w:hAnsiTheme="minorBidi"/>
          <w:b/>
          <w:bCs/>
          <w:sz w:val="24"/>
          <w:szCs w:val="24"/>
        </w:rPr>
        <w:t>Morality in Halakhic Thinking</w:t>
      </w:r>
    </w:p>
    <w:p w14:paraId="64B30768" w14:textId="77777777" w:rsidR="00D306F8" w:rsidRPr="00344316" w:rsidRDefault="00D306F8" w:rsidP="00227792">
      <w:pPr>
        <w:spacing w:after="0" w:line="240" w:lineRule="auto"/>
        <w:jc w:val="both"/>
        <w:rPr>
          <w:rFonts w:asciiTheme="minorBidi" w:hAnsiTheme="minorBidi"/>
          <w:b/>
          <w:bCs/>
          <w:sz w:val="24"/>
          <w:szCs w:val="24"/>
        </w:rPr>
      </w:pPr>
    </w:p>
    <w:p w14:paraId="05F5F40B" w14:textId="77777777" w:rsidR="00944232"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Sometimes we encounter phenomena which a halakhic radar clearly senses and captures, but which have additional ethical dimensions that do not easily translate into legal concepts or arguments. Thus, a halakhic treatment may not address them at all. </w:t>
      </w:r>
    </w:p>
    <w:p w14:paraId="60A372EE" w14:textId="77777777" w:rsidR="00944232" w:rsidRDefault="00944232" w:rsidP="00227792">
      <w:pPr>
        <w:spacing w:after="0" w:line="240" w:lineRule="auto"/>
        <w:jc w:val="both"/>
        <w:rPr>
          <w:rFonts w:asciiTheme="minorBidi" w:hAnsiTheme="minorBidi"/>
          <w:sz w:val="24"/>
          <w:szCs w:val="24"/>
        </w:rPr>
      </w:pPr>
    </w:p>
    <w:p w14:paraId="43300F87" w14:textId="4014166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The result can be discourse that feels incomplete</w:t>
      </w:r>
      <w:r w:rsidR="00D67B89" w:rsidRPr="00344316">
        <w:rPr>
          <w:rFonts w:asciiTheme="minorBidi" w:hAnsiTheme="minorBidi"/>
          <w:sz w:val="24"/>
          <w:szCs w:val="24"/>
        </w:rPr>
        <w:t xml:space="preserve">; </w:t>
      </w:r>
      <w:r w:rsidR="00E85A83" w:rsidRPr="00344316">
        <w:rPr>
          <w:rFonts w:asciiTheme="minorBidi" w:hAnsiTheme="minorBidi"/>
          <w:sz w:val="24"/>
          <w:szCs w:val="24"/>
        </w:rPr>
        <w:t>i</w:t>
      </w:r>
      <w:r w:rsidRPr="00344316">
        <w:rPr>
          <w:rFonts w:asciiTheme="minorBidi" w:hAnsiTheme="minorBidi"/>
          <w:sz w:val="24"/>
          <w:szCs w:val="24"/>
        </w:rPr>
        <w:t xml:space="preserve">t is faithful to </w:t>
      </w:r>
      <w:r w:rsidRPr="00344316">
        <w:rPr>
          <w:rFonts w:asciiTheme="minorBidi" w:hAnsiTheme="minorBidi"/>
          <w:i/>
          <w:iCs/>
          <w:sz w:val="24"/>
          <w:szCs w:val="24"/>
        </w:rPr>
        <w:t xml:space="preserve">berit Sinai </w:t>
      </w:r>
      <w:r w:rsidRPr="00344316">
        <w:rPr>
          <w:rFonts w:asciiTheme="minorBidi" w:hAnsiTheme="minorBidi"/>
          <w:sz w:val="24"/>
          <w:szCs w:val="24"/>
        </w:rPr>
        <w:t xml:space="preserve">but silent about </w:t>
      </w:r>
      <w:r w:rsidRPr="00344316">
        <w:rPr>
          <w:rFonts w:asciiTheme="minorBidi" w:hAnsiTheme="minorBidi"/>
          <w:i/>
          <w:iCs/>
          <w:sz w:val="24"/>
          <w:szCs w:val="24"/>
        </w:rPr>
        <w:t>berit Avot</w:t>
      </w:r>
      <w:r w:rsidRPr="00344316">
        <w:rPr>
          <w:rFonts w:asciiTheme="minorBidi" w:hAnsiTheme="minorBidi"/>
          <w:sz w:val="24"/>
          <w:szCs w:val="24"/>
        </w:rPr>
        <w:t xml:space="preserve">. It hits all the benchmarks with regard to sound and rigorous legal analysis, but by comparison feels lightweight with regard to considerations of </w:t>
      </w:r>
      <w:r w:rsidRPr="00344316">
        <w:rPr>
          <w:rFonts w:asciiTheme="minorBidi" w:hAnsiTheme="minorBidi"/>
          <w:i/>
          <w:iCs/>
          <w:sz w:val="24"/>
          <w:szCs w:val="24"/>
        </w:rPr>
        <w:t>tzedaka</w:t>
      </w:r>
      <w:r w:rsidRPr="00344316">
        <w:rPr>
          <w:rFonts w:asciiTheme="minorBidi" w:hAnsiTheme="minorBidi"/>
          <w:sz w:val="24"/>
          <w:szCs w:val="24"/>
        </w:rPr>
        <w:t xml:space="preserve"> </w:t>
      </w:r>
      <w:r w:rsidRPr="00344316">
        <w:rPr>
          <w:rFonts w:asciiTheme="minorBidi" w:hAnsiTheme="minorBidi"/>
          <w:i/>
          <w:iCs/>
          <w:sz w:val="24"/>
          <w:szCs w:val="24"/>
        </w:rPr>
        <w:t>u-mishpat</w:t>
      </w:r>
      <w:r w:rsidRPr="00344316">
        <w:rPr>
          <w:rFonts w:asciiTheme="minorBidi" w:hAnsiTheme="minorBidi"/>
          <w:sz w:val="24"/>
          <w:szCs w:val="24"/>
        </w:rPr>
        <w:t>.</w:t>
      </w:r>
    </w:p>
    <w:p w14:paraId="25D0735B" w14:textId="77777777" w:rsidR="00D306F8" w:rsidRPr="00344316" w:rsidRDefault="00D306F8" w:rsidP="00227792">
      <w:pPr>
        <w:spacing w:after="0" w:line="240" w:lineRule="auto"/>
        <w:jc w:val="both"/>
        <w:rPr>
          <w:rFonts w:asciiTheme="minorBidi" w:hAnsiTheme="minorBidi"/>
          <w:sz w:val="24"/>
          <w:szCs w:val="24"/>
        </w:rPr>
      </w:pPr>
    </w:p>
    <w:p w14:paraId="48E61E35" w14:textId="51651E11"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In an essay entitled, “</w:t>
      </w:r>
      <w:hyperlink r:id="rId8" w:history="1">
        <w:r w:rsidRPr="00344316">
          <w:rPr>
            <w:rStyle w:val="Hyperlink"/>
            <w:rFonts w:asciiTheme="minorBidi" w:hAnsiTheme="minorBidi"/>
            <w:sz w:val="24"/>
            <w:szCs w:val="24"/>
          </w:rPr>
          <w:t>What Makes Halakhic Thinking Moral?</w:t>
        </w:r>
      </w:hyperlink>
      <w:r w:rsidRPr="00344316">
        <w:rPr>
          <w:rFonts w:asciiTheme="minorBidi" w:hAnsiTheme="minorBidi"/>
          <w:sz w:val="24"/>
          <w:szCs w:val="24"/>
        </w:rPr>
        <w:t>” R. Dr. Eugene Korn cites a few examples, in his opinion, of this type of imbalanced halakhic conclusion:</w:t>
      </w:r>
    </w:p>
    <w:p w14:paraId="3F21C147" w14:textId="77777777" w:rsidR="00D306F8" w:rsidRPr="00344316" w:rsidRDefault="00D306F8" w:rsidP="00227792">
      <w:pPr>
        <w:spacing w:after="0" w:line="240" w:lineRule="auto"/>
        <w:jc w:val="both"/>
        <w:rPr>
          <w:rFonts w:asciiTheme="minorBidi" w:hAnsiTheme="minorBidi"/>
          <w:sz w:val="24"/>
          <w:szCs w:val="24"/>
        </w:rPr>
      </w:pPr>
    </w:p>
    <w:p w14:paraId="0D009B76" w14:textId="77777777" w:rsidR="00D306F8" w:rsidRPr="00344316" w:rsidRDefault="00D306F8" w:rsidP="00227792">
      <w:pPr>
        <w:pStyle w:val="ListParagraph"/>
        <w:numPr>
          <w:ilvl w:val="0"/>
          <w:numId w:val="1"/>
        </w:numPr>
        <w:spacing w:after="0" w:line="240" w:lineRule="auto"/>
        <w:jc w:val="both"/>
        <w:rPr>
          <w:rFonts w:asciiTheme="minorBidi" w:hAnsiTheme="minorBidi"/>
          <w:sz w:val="24"/>
          <w:szCs w:val="24"/>
        </w:rPr>
      </w:pPr>
      <w:r w:rsidRPr="00344316">
        <w:rPr>
          <w:rFonts w:asciiTheme="minorBidi" w:hAnsiTheme="minorBidi"/>
          <w:sz w:val="24"/>
          <w:szCs w:val="24"/>
        </w:rPr>
        <w:t>A policy towards organ transplantation following brain death that discourages donation but allows receiving of an organ;</w:t>
      </w:r>
    </w:p>
    <w:p w14:paraId="6B58A919" w14:textId="77777777" w:rsidR="00D306F8" w:rsidRPr="00344316" w:rsidRDefault="00D306F8" w:rsidP="00227792">
      <w:pPr>
        <w:pStyle w:val="ListParagraph"/>
        <w:numPr>
          <w:ilvl w:val="0"/>
          <w:numId w:val="1"/>
        </w:numPr>
        <w:spacing w:after="0" w:line="240" w:lineRule="auto"/>
        <w:jc w:val="both"/>
        <w:rPr>
          <w:rFonts w:asciiTheme="minorBidi" w:hAnsiTheme="minorBidi"/>
          <w:sz w:val="24"/>
          <w:szCs w:val="24"/>
        </w:rPr>
      </w:pPr>
      <w:r w:rsidRPr="00344316">
        <w:rPr>
          <w:rFonts w:asciiTheme="minorBidi" w:hAnsiTheme="minorBidi"/>
          <w:sz w:val="24"/>
          <w:szCs w:val="24"/>
        </w:rPr>
        <w:t>Nonconcern for civilian casualties during a just war;</w:t>
      </w:r>
      <w:r w:rsidRPr="00344316">
        <w:rPr>
          <w:rStyle w:val="FootnoteReference"/>
          <w:rFonts w:asciiTheme="minorBidi" w:hAnsiTheme="minorBidi"/>
          <w:sz w:val="24"/>
          <w:szCs w:val="24"/>
        </w:rPr>
        <w:footnoteReference w:id="1"/>
      </w:r>
    </w:p>
    <w:p w14:paraId="435C1CDE" w14:textId="61D4F3E0" w:rsidR="00D306F8" w:rsidRPr="00344316" w:rsidRDefault="00D306F8" w:rsidP="00227792">
      <w:pPr>
        <w:pStyle w:val="ListParagraph"/>
        <w:numPr>
          <w:ilvl w:val="0"/>
          <w:numId w:val="1"/>
        </w:numPr>
        <w:spacing w:after="0" w:line="240" w:lineRule="auto"/>
        <w:jc w:val="both"/>
        <w:rPr>
          <w:rFonts w:asciiTheme="minorBidi" w:hAnsiTheme="minorBidi"/>
          <w:sz w:val="24"/>
          <w:szCs w:val="24"/>
        </w:rPr>
      </w:pPr>
      <w:r w:rsidRPr="00344316">
        <w:rPr>
          <w:rFonts w:asciiTheme="minorBidi" w:hAnsiTheme="minorBidi"/>
          <w:sz w:val="24"/>
          <w:szCs w:val="24"/>
        </w:rPr>
        <w:t>Encouragement of conversion therapy for lesbian, gay, bisexual</w:t>
      </w:r>
      <w:r w:rsidR="00944232">
        <w:rPr>
          <w:rFonts w:asciiTheme="minorBidi" w:hAnsiTheme="minorBidi"/>
          <w:sz w:val="24"/>
          <w:szCs w:val="24"/>
        </w:rPr>
        <w:t>,</w:t>
      </w:r>
      <w:r w:rsidRPr="00344316">
        <w:rPr>
          <w:rFonts w:asciiTheme="minorBidi" w:hAnsiTheme="minorBidi"/>
          <w:sz w:val="24"/>
          <w:szCs w:val="24"/>
        </w:rPr>
        <w:t xml:space="preserve"> and transgender (LGBT) individuals.</w:t>
      </w:r>
    </w:p>
    <w:p w14:paraId="3FCC42FF" w14:textId="77777777" w:rsidR="00D306F8" w:rsidRPr="00344316" w:rsidRDefault="00D306F8" w:rsidP="00227792">
      <w:pPr>
        <w:spacing w:after="0" w:line="240" w:lineRule="auto"/>
        <w:jc w:val="both"/>
        <w:rPr>
          <w:rFonts w:asciiTheme="minorBidi" w:hAnsiTheme="minorBidi"/>
          <w:sz w:val="24"/>
          <w:szCs w:val="24"/>
        </w:rPr>
      </w:pPr>
    </w:p>
    <w:p w14:paraId="1A32FC04" w14:textId="196C52BF"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lastRenderedPageBreak/>
        <w:t xml:space="preserve">In each case, R. Korn </w:t>
      </w:r>
      <w:r w:rsidR="00C7126A" w:rsidRPr="00344316">
        <w:rPr>
          <w:rFonts w:asciiTheme="minorBidi" w:hAnsiTheme="minorBidi"/>
          <w:sz w:val="24"/>
          <w:szCs w:val="24"/>
        </w:rPr>
        <w:t>argues</w:t>
      </w:r>
      <w:r w:rsidRPr="00344316">
        <w:rPr>
          <w:rFonts w:asciiTheme="minorBidi" w:hAnsiTheme="minorBidi"/>
          <w:sz w:val="24"/>
          <w:szCs w:val="24"/>
        </w:rPr>
        <w:t xml:space="preserve"> that the conclusions reached are ethically shallow. Without debating the specifics of each, I think we can easily intuit the moral gravity and complexity latent in each of these domains and the yearning for deliberation </w:t>
      </w:r>
      <w:r w:rsidR="00BE6769">
        <w:rPr>
          <w:rFonts w:asciiTheme="minorBidi" w:hAnsiTheme="minorBidi"/>
          <w:sz w:val="24"/>
          <w:szCs w:val="24"/>
        </w:rPr>
        <w:t>which</w:t>
      </w:r>
      <w:r w:rsidRPr="00344316">
        <w:rPr>
          <w:rFonts w:asciiTheme="minorBidi" w:hAnsiTheme="minorBidi"/>
          <w:sz w:val="24"/>
          <w:szCs w:val="24"/>
        </w:rPr>
        <w:t xml:space="preserve"> does equal justice to </w:t>
      </w:r>
      <w:r w:rsidRPr="00344316">
        <w:rPr>
          <w:rFonts w:asciiTheme="minorBidi" w:hAnsiTheme="minorBidi"/>
          <w:i/>
          <w:iCs/>
          <w:sz w:val="24"/>
          <w:szCs w:val="24"/>
        </w:rPr>
        <w:t>berit Sinai</w:t>
      </w:r>
      <w:r w:rsidRPr="00344316">
        <w:rPr>
          <w:rFonts w:asciiTheme="minorBidi" w:hAnsiTheme="minorBidi"/>
          <w:sz w:val="24"/>
          <w:szCs w:val="24"/>
        </w:rPr>
        <w:t xml:space="preserve"> and </w:t>
      </w:r>
      <w:r w:rsidRPr="00344316">
        <w:rPr>
          <w:rFonts w:asciiTheme="minorBidi" w:hAnsiTheme="minorBidi"/>
          <w:i/>
          <w:iCs/>
          <w:sz w:val="24"/>
          <w:szCs w:val="24"/>
        </w:rPr>
        <w:t>berit Avot</w:t>
      </w:r>
      <w:r w:rsidRPr="00344316">
        <w:rPr>
          <w:rFonts w:asciiTheme="minorBidi" w:hAnsiTheme="minorBidi"/>
          <w:sz w:val="24"/>
          <w:szCs w:val="24"/>
        </w:rPr>
        <w:t xml:space="preserve"> concerns. Thus, R. Korn would advocate for halakhic literature that is broader and more ambitious in its thinking. </w:t>
      </w:r>
    </w:p>
    <w:p w14:paraId="30FAF4F4" w14:textId="77777777" w:rsidR="00D306F8" w:rsidRPr="00344316" w:rsidRDefault="00D306F8" w:rsidP="00227792">
      <w:pPr>
        <w:spacing w:after="0" w:line="240" w:lineRule="auto"/>
        <w:jc w:val="both"/>
        <w:rPr>
          <w:rFonts w:asciiTheme="minorBidi" w:hAnsiTheme="minorBidi"/>
          <w:sz w:val="24"/>
          <w:szCs w:val="24"/>
        </w:rPr>
      </w:pPr>
    </w:p>
    <w:p w14:paraId="269403C4" w14:textId="19E4E86B" w:rsidR="00D306F8" w:rsidRPr="00344316" w:rsidRDefault="00A9295A" w:rsidP="00227792">
      <w:pPr>
        <w:spacing w:after="0" w:line="240" w:lineRule="auto"/>
        <w:jc w:val="both"/>
        <w:rPr>
          <w:rFonts w:asciiTheme="minorBidi" w:hAnsiTheme="minorBidi"/>
          <w:sz w:val="24"/>
          <w:szCs w:val="24"/>
        </w:rPr>
      </w:pPr>
      <w:r w:rsidRPr="00344316">
        <w:rPr>
          <w:rFonts w:asciiTheme="minorBidi" w:hAnsiTheme="minorBidi"/>
          <w:sz w:val="24"/>
          <w:szCs w:val="24"/>
        </w:rPr>
        <w:t>Other</w:t>
      </w:r>
      <w:r w:rsidR="00D306F8" w:rsidRPr="00344316">
        <w:rPr>
          <w:rFonts w:asciiTheme="minorBidi" w:hAnsiTheme="minorBidi"/>
          <w:sz w:val="24"/>
          <w:szCs w:val="24"/>
        </w:rPr>
        <w:t xml:space="preserve"> examples</w:t>
      </w:r>
      <w:r w:rsidRPr="00344316">
        <w:rPr>
          <w:rFonts w:asciiTheme="minorBidi" w:hAnsiTheme="minorBidi"/>
          <w:sz w:val="24"/>
          <w:szCs w:val="24"/>
        </w:rPr>
        <w:t>, in my opinion,</w:t>
      </w:r>
      <w:r w:rsidR="00D306F8" w:rsidRPr="00344316">
        <w:rPr>
          <w:rFonts w:asciiTheme="minorBidi" w:hAnsiTheme="minorBidi"/>
          <w:sz w:val="24"/>
          <w:szCs w:val="24"/>
        </w:rPr>
        <w:t xml:space="preserve"> of </w:t>
      </w:r>
      <w:r w:rsidR="000E1AB8" w:rsidRPr="00344316">
        <w:rPr>
          <w:rFonts w:asciiTheme="minorBidi" w:hAnsiTheme="minorBidi"/>
          <w:sz w:val="24"/>
          <w:szCs w:val="24"/>
        </w:rPr>
        <w:t xml:space="preserve">subjects that </w:t>
      </w:r>
      <w:r w:rsidR="00902289" w:rsidRPr="00344316">
        <w:rPr>
          <w:rFonts w:asciiTheme="minorBidi" w:hAnsiTheme="minorBidi"/>
          <w:sz w:val="24"/>
          <w:szCs w:val="24"/>
        </w:rPr>
        <w:t xml:space="preserve">would benefit from more comprehensive </w:t>
      </w:r>
      <w:r w:rsidR="008D14BE">
        <w:rPr>
          <w:rFonts w:asciiTheme="minorBidi" w:hAnsiTheme="minorBidi"/>
          <w:sz w:val="24"/>
          <w:szCs w:val="24"/>
        </w:rPr>
        <w:t>analysis</w:t>
      </w:r>
      <w:r w:rsidRPr="00344316">
        <w:rPr>
          <w:rFonts w:asciiTheme="minorBidi" w:hAnsiTheme="minorBidi"/>
          <w:sz w:val="24"/>
          <w:szCs w:val="24"/>
        </w:rPr>
        <w:t xml:space="preserve"> include</w:t>
      </w:r>
      <w:r w:rsidR="00792A43" w:rsidRPr="00344316">
        <w:rPr>
          <w:rFonts w:asciiTheme="minorBidi" w:hAnsiTheme="minorBidi"/>
          <w:sz w:val="24"/>
          <w:szCs w:val="24"/>
        </w:rPr>
        <w:t>:</w:t>
      </w:r>
      <w:r w:rsidR="00D306F8" w:rsidRPr="00344316">
        <w:rPr>
          <w:rFonts w:asciiTheme="minorBidi" w:hAnsiTheme="minorBidi"/>
          <w:sz w:val="24"/>
          <w:szCs w:val="24"/>
        </w:rPr>
        <w:t xml:space="preserve"> </w:t>
      </w:r>
    </w:p>
    <w:p w14:paraId="176148DA" w14:textId="77777777" w:rsidR="00D306F8" w:rsidRPr="00344316" w:rsidRDefault="00D306F8" w:rsidP="00227792">
      <w:pPr>
        <w:spacing w:after="0" w:line="240" w:lineRule="auto"/>
        <w:jc w:val="both"/>
        <w:rPr>
          <w:rFonts w:asciiTheme="minorBidi" w:hAnsiTheme="minorBidi"/>
          <w:sz w:val="24"/>
          <w:szCs w:val="24"/>
        </w:rPr>
      </w:pPr>
    </w:p>
    <w:p w14:paraId="0A349416" w14:textId="77777777" w:rsidR="00D306F8" w:rsidRPr="00344316" w:rsidRDefault="00D306F8" w:rsidP="00227792">
      <w:pPr>
        <w:pStyle w:val="ListParagraph"/>
        <w:numPr>
          <w:ilvl w:val="0"/>
          <w:numId w:val="2"/>
        </w:numPr>
        <w:spacing w:after="0" w:line="240" w:lineRule="auto"/>
        <w:jc w:val="both"/>
        <w:rPr>
          <w:rFonts w:asciiTheme="minorBidi" w:hAnsiTheme="minorBidi"/>
          <w:sz w:val="24"/>
          <w:szCs w:val="24"/>
        </w:rPr>
      </w:pPr>
      <w:r w:rsidRPr="00344316">
        <w:rPr>
          <w:rFonts w:asciiTheme="minorBidi" w:hAnsiTheme="minorBidi"/>
          <w:sz w:val="24"/>
          <w:szCs w:val="24"/>
        </w:rPr>
        <w:t>Buying and selling of organs;</w:t>
      </w:r>
    </w:p>
    <w:p w14:paraId="1E21CF02" w14:textId="7D91F402" w:rsidR="00D306F8" w:rsidRPr="00344316" w:rsidRDefault="00D306F8" w:rsidP="00227792">
      <w:pPr>
        <w:pStyle w:val="ListParagraph"/>
        <w:numPr>
          <w:ilvl w:val="0"/>
          <w:numId w:val="2"/>
        </w:numPr>
        <w:spacing w:after="0" w:line="240" w:lineRule="auto"/>
        <w:jc w:val="both"/>
        <w:rPr>
          <w:rFonts w:asciiTheme="minorBidi" w:hAnsiTheme="minorBidi"/>
          <w:sz w:val="24"/>
          <w:szCs w:val="24"/>
        </w:rPr>
      </w:pPr>
      <w:r w:rsidRPr="00344316">
        <w:rPr>
          <w:rFonts w:asciiTheme="minorBidi" w:hAnsiTheme="minorBidi"/>
          <w:sz w:val="24"/>
          <w:szCs w:val="24"/>
        </w:rPr>
        <w:t xml:space="preserve">Payment for </w:t>
      </w:r>
      <w:r w:rsidR="003202D8" w:rsidRPr="00344316">
        <w:rPr>
          <w:rFonts w:asciiTheme="minorBidi" w:hAnsiTheme="minorBidi"/>
          <w:sz w:val="24"/>
          <w:szCs w:val="24"/>
        </w:rPr>
        <w:t>surrogacy</w:t>
      </w:r>
      <w:r w:rsidRPr="00344316">
        <w:rPr>
          <w:rFonts w:asciiTheme="minorBidi" w:hAnsiTheme="minorBidi"/>
          <w:sz w:val="24"/>
          <w:szCs w:val="24"/>
        </w:rPr>
        <w:t>;</w:t>
      </w:r>
    </w:p>
    <w:p w14:paraId="120F505A" w14:textId="77777777" w:rsidR="00D306F8" w:rsidRPr="00344316" w:rsidRDefault="00D306F8" w:rsidP="00227792">
      <w:pPr>
        <w:pStyle w:val="ListParagraph"/>
        <w:numPr>
          <w:ilvl w:val="0"/>
          <w:numId w:val="2"/>
        </w:numPr>
        <w:spacing w:after="0" w:line="240" w:lineRule="auto"/>
        <w:jc w:val="both"/>
        <w:rPr>
          <w:rFonts w:asciiTheme="minorBidi" w:hAnsiTheme="minorBidi"/>
          <w:sz w:val="24"/>
          <w:szCs w:val="24"/>
        </w:rPr>
      </w:pPr>
      <w:r w:rsidRPr="00344316">
        <w:rPr>
          <w:rFonts w:asciiTheme="minorBidi" w:hAnsiTheme="minorBidi"/>
          <w:sz w:val="24"/>
          <w:szCs w:val="24"/>
        </w:rPr>
        <w:t>Equity in access to health care;</w:t>
      </w:r>
    </w:p>
    <w:p w14:paraId="708A5141" w14:textId="77777777" w:rsidR="00D306F8" w:rsidRPr="00344316" w:rsidRDefault="00D306F8" w:rsidP="00227792">
      <w:pPr>
        <w:pStyle w:val="ListParagraph"/>
        <w:numPr>
          <w:ilvl w:val="0"/>
          <w:numId w:val="2"/>
        </w:numPr>
        <w:spacing w:after="0" w:line="240" w:lineRule="auto"/>
        <w:jc w:val="both"/>
        <w:rPr>
          <w:rFonts w:asciiTheme="minorBidi" w:hAnsiTheme="minorBidi"/>
          <w:sz w:val="24"/>
          <w:szCs w:val="24"/>
        </w:rPr>
      </w:pPr>
      <w:r w:rsidRPr="00344316">
        <w:rPr>
          <w:rFonts w:asciiTheme="minorBidi" w:hAnsiTheme="minorBidi"/>
          <w:sz w:val="24"/>
          <w:szCs w:val="24"/>
        </w:rPr>
        <w:t>Arms sales to foreign militaries;</w:t>
      </w:r>
    </w:p>
    <w:p w14:paraId="055C0C2D" w14:textId="57DF74AE" w:rsidR="00D306F8" w:rsidRPr="00344316" w:rsidRDefault="00D306F8" w:rsidP="00227792">
      <w:pPr>
        <w:pStyle w:val="ListParagraph"/>
        <w:numPr>
          <w:ilvl w:val="0"/>
          <w:numId w:val="2"/>
        </w:numPr>
        <w:spacing w:after="0" w:line="240" w:lineRule="auto"/>
        <w:jc w:val="both"/>
        <w:rPr>
          <w:rFonts w:asciiTheme="minorBidi" w:hAnsiTheme="minorBidi"/>
          <w:sz w:val="24"/>
          <w:szCs w:val="24"/>
        </w:rPr>
      </w:pPr>
      <w:r w:rsidRPr="00344316">
        <w:rPr>
          <w:rFonts w:asciiTheme="minorBidi" w:hAnsiTheme="minorBidi"/>
          <w:sz w:val="24"/>
          <w:szCs w:val="24"/>
        </w:rPr>
        <w:t>Foie gras;</w:t>
      </w:r>
      <w:r w:rsidR="00344316">
        <w:rPr>
          <w:rFonts w:asciiTheme="minorBidi" w:hAnsiTheme="minorBidi"/>
          <w:sz w:val="24"/>
          <w:szCs w:val="24"/>
        </w:rPr>
        <w:t xml:space="preserve"> </w:t>
      </w:r>
    </w:p>
    <w:p w14:paraId="374BBAA5" w14:textId="27931BB4" w:rsidR="00D306F8" w:rsidRPr="00344316" w:rsidRDefault="00944232" w:rsidP="00227792">
      <w:pPr>
        <w:pStyle w:val="ListParagraph"/>
        <w:numPr>
          <w:ilvl w:val="0"/>
          <w:numId w:val="2"/>
        </w:numPr>
        <w:spacing w:after="0" w:line="240" w:lineRule="auto"/>
        <w:jc w:val="both"/>
        <w:rPr>
          <w:rFonts w:asciiTheme="minorBidi" w:hAnsiTheme="minorBidi"/>
          <w:sz w:val="24"/>
          <w:szCs w:val="24"/>
        </w:rPr>
      </w:pPr>
      <w:r>
        <w:rPr>
          <w:rFonts w:asciiTheme="minorBidi" w:hAnsiTheme="minorBidi"/>
          <w:sz w:val="24"/>
          <w:szCs w:val="24"/>
        </w:rPr>
        <w:t>Treatment</w:t>
      </w:r>
      <w:r w:rsidR="00D306F8" w:rsidRPr="00344316">
        <w:rPr>
          <w:rFonts w:asciiTheme="minorBidi" w:hAnsiTheme="minorBidi"/>
          <w:sz w:val="24"/>
          <w:szCs w:val="24"/>
        </w:rPr>
        <w:t xml:space="preserve"> of immigrants, refugees, and asylum</w:t>
      </w:r>
      <w:r w:rsidR="00BE6769">
        <w:rPr>
          <w:rFonts w:asciiTheme="minorBidi" w:hAnsiTheme="minorBidi"/>
          <w:sz w:val="24"/>
          <w:szCs w:val="24"/>
        </w:rPr>
        <w:t>-</w:t>
      </w:r>
      <w:r w:rsidR="00D306F8" w:rsidRPr="00344316">
        <w:rPr>
          <w:rFonts w:asciiTheme="minorBidi" w:hAnsiTheme="minorBidi"/>
          <w:sz w:val="24"/>
          <w:szCs w:val="24"/>
        </w:rPr>
        <w:t>seekers.</w:t>
      </w:r>
    </w:p>
    <w:p w14:paraId="6F440A6E" w14:textId="77777777" w:rsidR="00D306F8" w:rsidRPr="00344316" w:rsidRDefault="00D306F8" w:rsidP="00227792">
      <w:pPr>
        <w:spacing w:after="0" w:line="240" w:lineRule="auto"/>
        <w:jc w:val="both"/>
        <w:rPr>
          <w:rFonts w:asciiTheme="minorBidi" w:hAnsiTheme="minorBidi"/>
          <w:sz w:val="24"/>
          <w:szCs w:val="24"/>
        </w:rPr>
      </w:pPr>
    </w:p>
    <w:p w14:paraId="20510A89" w14:textId="1A0E3FC1"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Each of these topics invites serious halakhic analysis, and, as a devoted student of </w:t>
      </w:r>
      <w:r w:rsidRPr="00344316">
        <w:rPr>
          <w:rFonts w:asciiTheme="minorBidi" w:hAnsiTheme="minorBidi"/>
          <w:i/>
          <w:iCs/>
          <w:sz w:val="24"/>
          <w:szCs w:val="24"/>
        </w:rPr>
        <w:t>havayot de-Ab</w:t>
      </w:r>
      <w:r w:rsidR="00344316">
        <w:rPr>
          <w:rFonts w:asciiTheme="minorBidi" w:hAnsiTheme="minorBidi"/>
          <w:i/>
          <w:iCs/>
          <w:sz w:val="24"/>
          <w:szCs w:val="24"/>
        </w:rPr>
        <w:t>b</w:t>
      </w:r>
      <w:r w:rsidRPr="00344316">
        <w:rPr>
          <w:rFonts w:asciiTheme="minorBidi" w:hAnsiTheme="minorBidi"/>
          <w:i/>
          <w:iCs/>
          <w:sz w:val="24"/>
          <w:szCs w:val="24"/>
        </w:rPr>
        <w:t>aye</w:t>
      </w:r>
      <w:r w:rsidR="00344316">
        <w:rPr>
          <w:rFonts w:asciiTheme="minorBidi" w:hAnsiTheme="minorBidi"/>
          <w:i/>
          <w:iCs/>
          <w:sz w:val="24"/>
          <w:szCs w:val="24"/>
        </w:rPr>
        <w:t>i</w:t>
      </w:r>
      <w:r w:rsidRPr="00344316">
        <w:rPr>
          <w:rFonts w:asciiTheme="minorBidi" w:hAnsiTheme="minorBidi"/>
          <w:i/>
          <w:iCs/>
          <w:sz w:val="24"/>
          <w:szCs w:val="24"/>
        </w:rPr>
        <w:t xml:space="preserve"> ve-Rava</w:t>
      </w:r>
      <w:r w:rsidRPr="00344316">
        <w:rPr>
          <w:rFonts w:asciiTheme="minorBidi" w:hAnsiTheme="minorBidi"/>
          <w:sz w:val="24"/>
          <w:szCs w:val="24"/>
        </w:rPr>
        <w:t xml:space="preserve"> (traditional </w:t>
      </w:r>
      <w:r w:rsidRPr="00344316">
        <w:rPr>
          <w:rFonts w:asciiTheme="minorBidi" w:hAnsiTheme="minorBidi"/>
          <w:i/>
          <w:iCs/>
          <w:sz w:val="24"/>
          <w:szCs w:val="24"/>
        </w:rPr>
        <w:t xml:space="preserve">Torah </w:t>
      </w:r>
      <w:r w:rsidR="00344316">
        <w:rPr>
          <w:rFonts w:asciiTheme="minorBidi" w:hAnsiTheme="minorBidi"/>
          <w:i/>
          <w:iCs/>
          <w:sz w:val="24"/>
          <w:szCs w:val="24"/>
        </w:rPr>
        <w:t>S</w:t>
      </w:r>
      <w:r w:rsidRPr="00344316">
        <w:rPr>
          <w:rFonts w:asciiTheme="minorBidi" w:hAnsiTheme="minorBidi"/>
          <w:i/>
          <w:iCs/>
          <w:sz w:val="24"/>
          <w:szCs w:val="24"/>
        </w:rPr>
        <w:t xml:space="preserve">he-be’al </w:t>
      </w:r>
      <w:r w:rsidR="00344316">
        <w:rPr>
          <w:rFonts w:asciiTheme="minorBidi" w:hAnsiTheme="minorBidi"/>
          <w:i/>
          <w:iCs/>
          <w:sz w:val="24"/>
          <w:szCs w:val="24"/>
        </w:rPr>
        <w:t>P</w:t>
      </w:r>
      <w:r w:rsidRPr="00344316">
        <w:rPr>
          <w:rFonts w:asciiTheme="minorBidi" w:hAnsiTheme="minorBidi"/>
          <w:i/>
          <w:iCs/>
          <w:sz w:val="24"/>
          <w:szCs w:val="24"/>
        </w:rPr>
        <w:t>eh</w:t>
      </w:r>
      <w:r w:rsidRPr="00344316">
        <w:rPr>
          <w:rFonts w:asciiTheme="minorBidi" w:hAnsiTheme="minorBidi"/>
          <w:sz w:val="24"/>
          <w:szCs w:val="24"/>
        </w:rPr>
        <w:t xml:space="preserve"> study</w:t>
      </w:r>
      <w:r w:rsidR="00AE3D2A" w:rsidRPr="00344316">
        <w:rPr>
          <w:rFonts w:asciiTheme="minorBidi" w:hAnsiTheme="minorBidi"/>
          <w:sz w:val="24"/>
          <w:szCs w:val="24"/>
        </w:rPr>
        <w:t xml:space="preserve">; see </w:t>
      </w:r>
      <w:r w:rsidR="00AE3D2A" w:rsidRPr="00344316">
        <w:rPr>
          <w:rFonts w:asciiTheme="minorBidi" w:hAnsiTheme="minorBidi"/>
          <w:i/>
          <w:iCs/>
          <w:sz w:val="24"/>
          <w:szCs w:val="24"/>
        </w:rPr>
        <w:t>Sukka</w:t>
      </w:r>
      <w:r w:rsidR="00AE3D2A" w:rsidRPr="00344316">
        <w:rPr>
          <w:rFonts w:asciiTheme="minorBidi" w:hAnsiTheme="minorBidi"/>
          <w:sz w:val="24"/>
          <w:szCs w:val="24"/>
        </w:rPr>
        <w:t xml:space="preserve"> 28a</w:t>
      </w:r>
      <w:r w:rsidRPr="00344316">
        <w:rPr>
          <w:rFonts w:asciiTheme="minorBidi" w:hAnsiTheme="minorBidi"/>
          <w:sz w:val="24"/>
          <w:szCs w:val="24"/>
        </w:rPr>
        <w:t xml:space="preserve">), I strongly believe that such investigation needs to form the cornerstone of so-called Jewish thinking on any given subject. The content of </w:t>
      </w:r>
      <w:r w:rsidRPr="00344316">
        <w:rPr>
          <w:rFonts w:asciiTheme="minorBidi" w:hAnsiTheme="minorBidi"/>
          <w:i/>
          <w:iCs/>
          <w:sz w:val="24"/>
          <w:szCs w:val="24"/>
        </w:rPr>
        <w:t>berit Sinai</w:t>
      </w:r>
      <w:r w:rsidRPr="00344316">
        <w:rPr>
          <w:rFonts w:asciiTheme="minorBidi" w:hAnsiTheme="minorBidi"/>
          <w:sz w:val="24"/>
          <w:szCs w:val="24"/>
        </w:rPr>
        <w:t xml:space="preserve"> is “our lives and the length of our days,” and any posture that even indirectly diminishes its centrality or its binding force upon us is invalid from the outset. Nevertheless, where the law leaves </w:t>
      </w:r>
      <w:r w:rsidR="003C5E49" w:rsidRPr="00344316">
        <w:rPr>
          <w:rFonts w:asciiTheme="minorBidi" w:hAnsiTheme="minorBidi"/>
          <w:sz w:val="24"/>
          <w:szCs w:val="24"/>
        </w:rPr>
        <w:t xml:space="preserve">some </w:t>
      </w:r>
      <w:r w:rsidR="004511EC" w:rsidRPr="00344316">
        <w:rPr>
          <w:rFonts w:asciiTheme="minorBidi" w:hAnsiTheme="minorBidi"/>
          <w:sz w:val="24"/>
          <w:szCs w:val="24"/>
        </w:rPr>
        <w:t>facets</w:t>
      </w:r>
      <w:r w:rsidR="00D07632" w:rsidRPr="00344316">
        <w:rPr>
          <w:rFonts w:asciiTheme="minorBidi" w:hAnsiTheme="minorBidi"/>
          <w:sz w:val="24"/>
          <w:szCs w:val="24"/>
        </w:rPr>
        <w:t xml:space="preserve"> unaddressed,</w:t>
      </w:r>
      <w:r w:rsidRPr="00344316">
        <w:rPr>
          <w:rFonts w:asciiTheme="minorBidi" w:hAnsiTheme="minorBidi"/>
          <w:sz w:val="24"/>
          <w:szCs w:val="24"/>
        </w:rPr>
        <w:t xml:space="preserve"> halakhic argumentation ought to be complemented with equally thoughtful ethical reflection.</w:t>
      </w:r>
      <w:r w:rsidR="00453C66" w:rsidRPr="00344316">
        <w:rPr>
          <w:rFonts w:asciiTheme="minorBidi" w:hAnsiTheme="minorBidi"/>
          <w:sz w:val="24"/>
          <w:szCs w:val="24"/>
        </w:rPr>
        <w:t xml:space="preserve"> At the very least, </w:t>
      </w:r>
      <w:r w:rsidR="009A2AEB" w:rsidRPr="00344316">
        <w:rPr>
          <w:rFonts w:asciiTheme="minorBidi" w:hAnsiTheme="minorBidi"/>
          <w:sz w:val="24"/>
          <w:szCs w:val="24"/>
        </w:rPr>
        <w:t xml:space="preserve">a halakhic ruling, I think, ought to be </w:t>
      </w:r>
      <w:r w:rsidR="0080742C" w:rsidRPr="00344316">
        <w:rPr>
          <w:rFonts w:asciiTheme="minorBidi" w:hAnsiTheme="minorBidi"/>
          <w:sz w:val="24"/>
          <w:szCs w:val="24"/>
        </w:rPr>
        <w:t xml:space="preserve">explicitly </w:t>
      </w:r>
      <w:r w:rsidR="009A2AEB" w:rsidRPr="00344316">
        <w:rPr>
          <w:rFonts w:asciiTheme="minorBidi" w:hAnsiTheme="minorBidi"/>
          <w:sz w:val="24"/>
          <w:szCs w:val="24"/>
        </w:rPr>
        <w:t xml:space="preserve">self-aware of </w:t>
      </w:r>
      <w:r w:rsidR="0080742C" w:rsidRPr="00344316">
        <w:rPr>
          <w:rFonts w:asciiTheme="minorBidi" w:hAnsiTheme="minorBidi"/>
          <w:sz w:val="24"/>
          <w:szCs w:val="24"/>
        </w:rPr>
        <w:t>its</w:t>
      </w:r>
      <w:r w:rsidR="00A36A29" w:rsidRPr="00344316">
        <w:rPr>
          <w:rFonts w:asciiTheme="minorBidi" w:hAnsiTheme="minorBidi"/>
          <w:sz w:val="24"/>
          <w:szCs w:val="24"/>
        </w:rPr>
        <w:t xml:space="preserve"> own</w:t>
      </w:r>
      <w:r w:rsidR="009A2AEB" w:rsidRPr="00344316">
        <w:rPr>
          <w:rFonts w:asciiTheme="minorBidi" w:hAnsiTheme="minorBidi"/>
          <w:sz w:val="24"/>
          <w:szCs w:val="24"/>
        </w:rPr>
        <w:t xml:space="preserve"> ethical dimensions and implications</w:t>
      </w:r>
      <w:r w:rsidR="0080742C" w:rsidRPr="00344316">
        <w:rPr>
          <w:rFonts w:asciiTheme="minorBidi" w:hAnsiTheme="minorBidi"/>
          <w:sz w:val="24"/>
          <w:szCs w:val="24"/>
        </w:rPr>
        <w:t>, even if it finds no room for maneuvering or</w:t>
      </w:r>
      <w:r w:rsidR="00003036" w:rsidRPr="00344316">
        <w:rPr>
          <w:rFonts w:asciiTheme="minorBidi" w:hAnsiTheme="minorBidi"/>
          <w:sz w:val="24"/>
          <w:szCs w:val="24"/>
        </w:rPr>
        <w:t xml:space="preserve"> knowingly</w:t>
      </w:r>
      <w:r w:rsidR="0080742C" w:rsidRPr="00344316">
        <w:rPr>
          <w:rFonts w:asciiTheme="minorBidi" w:hAnsiTheme="minorBidi"/>
          <w:sz w:val="24"/>
          <w:szCs w:val="24"/>
        </w:rPr>
        <w:t xml:space="preserve"> </w:t>
      </w:r>
      <w:r w:rsidR="0088695E" w:rsidRPr="00344316">
        <w:rPr>
          <w:rFonts w:asciiTheme="minorBidi" w:hAnsiTheme="minorBidi"/>
          <w:sz w:val="24"/>
          <w:szCs w:val="24"/>
        </w:rPr>
        <w:t xml:space="preserve">declines to </w:t>
      </w:r>
      <w:r w:rsidR="001D570D" w:rsidRPr="00344316">
        <w:rPr>
          <w:rFonts w:asciiTheme="minorBidi" w:hAnsiTheme="minorBidi"/>
          <w:sz w:val="24"/>
          <w:szCs w:val="24"/>
        </w:rPr>
        <w:t>tackle the issues completely.</w:t>
      </w:r>
      <w:r w:rsidR="00CB58DF" w:rsidRPr="00344316">
        <w:rPr>
          <w:rStyle w:val="FootnoteReference"/>
          <w:rFonts w:asciiTheme="minorBidi" w:hAnsiTheme="minorBidi"/>
          <w:sz w:val="24"/>
          <w:szCs w:val="24"/>
        </w:rPr>
        <w:footnoteReference w:id="2"/>
      </w:r>
    </w:p>
    <w:p w14:paraId="600DE4E3" w14:textId="77777777" w:rsidR="00D306F8" w:rsidRPr="00344316" w:rsidRDefault="00D306F8" w:rsidP="00227792">
      <w:pPr>
        <w:spacing w:after="0" w:line="240" w:lineRule="auto"/>
        <w:jc w:val="both"/>
        <w:rPr>
          <w:rFonts w:asciiTheme="minorBidi" w:hAnsiTheme="minorBidi"/>
          <w:sz w:val="24"/>
          <w:szCs w:val="24"/>
        </w:rPr>
      </w:pPr>
    </w:p>
    <w:p w14:paraId="1012BE5F" w14:textId="7777777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Conveniently, R. Korn proposes “justice” and “compassion” as the two main guiding principles for ethical judgment, which just happen to correspond to the twin values of </w:t>
      </w:r>
      <w:r w:rsidRPr="00344316">
        <w:rPr>
          <w:rFonts w:asciiTheme="minorBidi" w:hAnsiTheme="minorBidi"/>
          <w:i/>
          <w:iCs/>
          <w:sz w:val="24"/>
          <w:szCs w:val="24"/>
        </w:rPr>
        <w:t>mishpat</w:t>
      </w:r>
      <w:r w:rsidRPr="00344316">
        <w:rPr>
          <w:rFonts w:asciiTheme="minorBidi" w:hAnsiTheme="minorBidi"/>
          <w:sz w:val="24"/>
          <w:szCs w:val="24"/>
        </w:rPr>
        <w:t xml:space="preserve"> and </w:t>
      </w:r>
      <w:r w:rsidRPr="00344316">
        <w:rPr>
          <w:rFonts w:asciiTheme="minorBidi" w:hAnsiTheme="minorBidi"/>
          <w:i/>
          <w:iCs/>
          <w:sz w:val="24"/>
          <w:szCs w:val="24"/>
        </w:rPr>
        <w:t>tzedaka</w:t>
      </w:r>
      <w:r w:rsidRPr="00344316">
        <w:rPr>
          <w:rFonts w:asciiTheme="minorBidi" w:hAnsiTheme="minorBidi"/>
          <w:sz w:val="24"/>
          <w:szCs w:val="24"/>
        </w:rPr>
        <w:t>. In other words, before reaching a conclusion or deciding upon a course of action, we ought to ask ourselves two questions:</w:t>
      </w:r>
    </w:p>
    <w:p w14:paraId="3A1DF730" w14:textId="77777777" w:rsidR="00D306F8" w:rsidRPr="00344316" w:rsidRDefault="00D306F8" w:rsidP="00227792">
      <w:pPr>
        <w:spacing w:after="0" w:line="240" w:lineRule="auto"/>
        <w:jc w:val="both"/>
        <w:rPr>
          <w:rFonts w:asciiTheme="minorBidi" w:hAnsiTheme="minorBidi"/>
          <w:sz w:val="24"/>
          <w:szCs w:val="24"/>
        </w:rPr>
      </w:pPr>
    </w:p>
    <w:p w14:paraId="2AA0BA84" w14:textId="77777777" w:rsidR="00D306F8" w:rsidRPr="00344316" w:rsidRDefault="00D306F8" w:rsidP="00227792">
      <w:pPr>
        <w:spacing w:after="0" w:line="240" w:lineRule="auto"/>
        <w:ind w:left="720"/>
        <w:jc w:val="both"/>
        <w:rPr>
          <w:rFonts w:asciiTheme="minorBidi" w:hAnsiTheme="minorBidi"/>
          <w:sz w:val="24"/>
          <w:szCs w:val="24"/>
        </w:rPr>
      </w:pPr>
      <w:r w:rsidRPr="00344316">
        <w:rPr>
          <w:rFonts w:asciiTheme="minorBidi" w:hAnsiTheme="minorBidi"/>
          <w:sz w:val="24"/>
          <w:szCs w:val="24"/>
        </w:rPr>
        <w:t>1. Is it fair?</w:t>
      </w:r>
    </w:p>
    <w:p w14:paraId="732017C4" w14:textId="77777777" w:rsidR="00D306F8" w:rsidRPr="00344316" w:rsidRDefault="00D306F8" w:rsidP="00227792">
      <w:pPr>
        <w:spacing w:after="0" w:line="240" w:lineRule="auto"/>
        <w:ind w:left="720"/>
        <w:jc w:val="both"/>
        <w:rPr>
          <w:rFonts w:asciiTheme="minorBidi" w:hAnsiTheme="minorBidi"/>
          <w:sz w:val="24"/>
          <w:szCs w:val="24"/>
        </w:rPr>
      </w:pPr>
      <w:r w:rsidRPr="00344316">
        <w:rPr>
          <w:rFonts w:asciiTheme="minorBidi" w:hAnsiTheme="minorBidi"/>
          <w:sz w:val="24"/>
          <w:szCs w:val="24"/>
        </w:rPr>
        <w:t>2. Is it empathetic?</w:t>
      </w:r>
    </w:p>
    <w:p w14:paraId="313CB4C9" w14:textId="520727DB" w:rsidR="00D306F8" w:rsidRPr="00344316" w:rsidRDefault="00D306F8" w:rsidP="00227792">
      <w:pPr>
        <w:spacing w:after="0" w:line="240" w:lineRule="auto"/>
        <w:jc w:val="both"/>
        <w:rPr>
          <w:rFonts w:asciiTheme="minorBidi" w:hAnsiTheme="minorBidi"/>
          <w:sz w:val="24"/>
          <w:szCs w:val="24"/>
        </w:rPr>
      </w:pPr>
    </w:p>
    <w:p w14:paraId="00F06328" w14:textId="22C6EC12"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When the law is explicitly not egalitarian (e.g., non-priests’ inability to partake in the Temple service), or when its demands run counter to compassionate instinct (e.g., execution of a criminal </w:t>
      </w:r>
      <w:r w:rsidR="0024433A" w:rsidRPr="00344316">
        <w:rPr>
          <w:rFonts w:asciiTheme="minorBidi" w:hAnsiTheme="minorBidi"/>
          <w:sz w:val="24"/>
          <w:szCs w:val="24"/>
        </w:rPr>
        <w:t>in the face of</w:t>
      </w:r>
      <w:r w:rsidRPr="00344316">
        <w:rPr>
          <w:rFonts w:asciiTheme="minorBidi" w:hAnsiTheme="minorBidi"/>
          <w:sz w:val="24"/>
          <w:szCs w:val="24"/>
        </w:rPr>
        <w:t xml:space="preserve"> incontrovertible evidence</w:t>
      </w:r>
      <w:r w:rsidRPr="00344316">
        <w:rPr>
          <w:rStyle w:val="FootnoteReference"/>
          <w:rFonts w:asciiTheme="minorBidi" w:hAnsiTheme="minorBidi"/>
          <w:sz w:val="24"/>
          <w:szCs w:val="24"/>
        </w:rPr>
        <w:footnoteReference w:id="3"/>
      </w:r>
      <w:r w:rsidRPr="00344316">
        <w:rPr>
          <w:rFonts w:asciiTheme="minorBidi" w:hAnsiTheme="minorBidi"/>
          <w:sz w:val="24"/>
          <w:szCs w:val="24"/>
        </w:rPr>
        <w:t xml:space="preserve">), we </w:t>
      </w:r>
      <w:r w:rsidRPr="00344316">
        <w:rPr>
          <w:rFonts w:asciiTheme="minorBidi" w:hAnsiTheme="minorBidi"/>
          <w:sz w:val="24"/>
          <w:szCs w:val="24"/>
        </w:rPr>
        <w:lastRenderedPageBreak/>
        <w:t xml:space="preserve">surrender to its authority. </w:t>
      </w:r>
      <w:r w:rsidR="00944232">
        <w:rPr>
          <w:rFonts w:asciiTheme="minorBidi" w:hAnsiTheme="minorBidi"/>
          <w:sz w:val="24"/>
          <w:szCs w:val="24"/>
        </w:rPr>
        <w:t>However,</w:t>
      </w:r>
      <w:r w:rsidRPr="00344316">
        <w:rPr>
          <w:rFonts w:asciiTheme="minorBidi" w:hAnsiTheme="minorBidi"/>
          <w:sz w:val="24"/>
          <w:szCs w:val="24"/>
        </w:rPr>
        <w:t xml:space="preserve"> when the law allows, we </w:t>
      </w:r>
      <w:r w:rsidR="00175168">
        <w:rPr>
          <w:rFonts w:asciiTheme="minorBidi" w:hAnsiTheme="minorBidi"/>
          <w:sz w:val="24"/>
          <w:szCs w:val="24"/>
        </w:rPr>
        <w:t>may</w:t>
      </w:r>
      <w:r w:rsidRPr="00344316">
        <w:rPr>
          <w:rFonts w:asciiTheme="minorBidi" w:hAnsiTheme="minorBidi"/>
          <w:sz w:val="24"/>
          <w:szCs w:val="24"/>
        </w:rPr>
        <w:t xml:space="preserve"> probe: </w:t>
      </w:r>
      <w:r w:rsidR="00944232">
        <w:rPr>
          <w:rFonts w:asciiTheme="minorBidi" w:hAnsiTheme="minorBidi"/>
          <w:sz w:val="24"/>
          <w:szCs w:val="24"/>
        </w:rPr>
        <w:t>H</w:t>
      </w:r>
      <w:r w:rsidRPr="00344316">
        <w:rPr>
          <w:rFonts w:asciiTheme="minorBidi" w:hAnsiTheme="minorBidi"/>
          <w:sz w:val="24"/>
          <w:szCs w:val="24"/>
        </w:rPr>
        <w:t xml:space="preserve">ow do the values of </w:t>
      </w:r>
      <w:r w:rsidRPr="00344316">
        <w:rPr>
          <w:rFonts w:asciiTheme="minorBidi" w:hAnsiTheme="minorBidi"/>
          <w:i/>
          <w:iCs/>
          <w:sz w:val="24"/>
          <w:szCs w:val="24"/>
        </w:rPr>
        <w:t>tzedaka</w:t>
      </w:r>
      <w:r w:rsidRPr="00344316">
        <w:rPr>
          <w:rFonts w:asciiTheme="minorBidi" w:hAnsiTheme="minorBidi"/>
          <w:sz w:val="24"/>
          <w:szCs w:val="24"/>
        </w:rPr>
        <w:t xml:space="preserve"> </w:t>
      </w:r>
      <w:r w:rsidR="00D73A53" w:rsidRPr="00D73A53">
        <w:rPr>
          <w:rFonts w:asciiTheme="minorBidi" w:hAnsiTheme="minorBidi"/>
          <w:i/>
          <w:iCs/>
          <w:sz w:val="24"/>
          <w:szCs w:val="24"/>
        </w:rPr>
        <w:t>u-</w:t>
      </w:r>
      <w:r w:rsidRPr="00344316">
        <w:rPr>
          <w:rFonts w:asciiTheme="minorBidi" w:hAnsiTheme="minorBidi"/>
          <w:i/>
          <w:iCs/>
          <w:sz w:val="24"/>
          <w:szCs w:val="24"/>
        </w:rPr>
        <w:t>mishpat</w:t>
      </w:r>
      <w:r w:rsidR="00344316">
        <w:rPr>
          <w:rFonts w:asciiTheme="minorBidi" w:hAnsiTheme="minorBidi"/>
          <w:sz w:val="24"/>
          <w:szCs w:val="24"/>
        </w:rPr>
        <w:t xml:space="preserve"> </w:t>
      </w:r>
      <w:r w:rsidRPr="00344316">
        <w:rPr>
          <w:rFonts w:asciiTheme="minorBidi" w:hAnsiTheme="minorBidi"/>
          <w:sz w:val="24"/>
          <w:szCs w:val="24"/>
        </w:rPr>
        <w:t>translate in these circumstances?</w:t>
      </w:r>
      <w:r w:rsidR="00344316">
        <w:rPr>
          <w:rFonts w:asciiTheme="minorBidi" w:hAnsiTheme="minorBidi"/>
          <w:sz w:val="24"/>
          <w:szCs w:val="24"/>
        </w:rPr>
        <w:t xml:space="preserve"> </w:t>
      </w:r>
      <w:r w:rsidRPr="00344316">
        <w:rPr>
          <w:rFonts w:asciiTheme="minorBidi" w:hAnsiTheme="minorBidi"/>
          <w:sz w:val="24"/>
          <w:szCs w:val="24"/>
        </w:rPr>
        <w:t>More to the point</w:t>
      </w:r>
      <w:r w:rsidR="002F2728">
        <w:rPr>
          <w:rFonts w:asciiTheme="minorBidi" w:hAnsiTheme="minorBidi"/>
          <w:sz w:val="24"/>
          <w:szCs w:val="24"/>
        </w:rPr>
        <w:t>,</w:t>
      </w:r>
      <w:r w:rsidRPr="00344316">
        <w:rPr>
          <w:rFonts w:asciiTheme="minorBidi" w:hAnsiTheme="minorBidi"/>
          <w:sz w:val="24"/>
          <w:szCs w:val="24"/>
        </w:rPr>
        <w:t xml:space="preserve"> what kind of decision might Avraham have made?</w:t>
      </w:r>
    </w:p>
    <w:p w14:paraId="2118AABC" w14:textId="77777777" w:rsidR="00D306F8" w:rsidRPr="00344316" w:rsidRDefault="00D306F8" w:rsidP="00227792">
      <w:pPr>
        <w:spacing w:after="0" w:line="240" w:lineRule="auto"/>
        <w:jc w:val="both"/>
        <w:rPr>
          <w:rFonts w:asciiTheme="minorBidi" w:hAnsiTheme="minorBidi"/>
          <w:sz w:val="24"/>
          <w:szCs w:val="24"/>
        </w:rPr>
      </w:pPr>
    </w:p>
    <w:p w14:paraId="4A5AA06D" w14:textId="77777777" w:rsidR="00D306F8" w:rsidRPr="00344316" w:rsidRDefault="00D306F8" w:rsidP="00227792">
      <w:pPr>
        <w:spacing w:after="0" w:line="240" w:lineRule="auto"/>
        <w:jc w:val="both"/>
        <w:rPr>
          <w:rFonts w:asciiTheme="minorBidi" w:hAnsiTheme="minorBidi"/>
          <w:sz w:val="24"/>
          <w:szCs w:val="24"/>
        </w:rPr>
      </w:pPr>
    </w:p>
    <w:p w14:paraId="11C9486F" w14:textId="0C183036" w:rsidR="00D306F8" w:rsidRPr="00344316" w:rsidRDefault="00D306F8" w:rsidP="00227792">
      <w:pPr>
        <w:spacing w:after="0" w:line="240" w:lineRule="auto"/>
        <w:jc w:val="both"/>
        <w:rPr>
          <w:rFonts w:asciiTheme="minorBidi" w:hAnsiTheme="minorBidi"/>
          <w:b/>
          <w:bCs/>
          <w:sz w:val="24"/>
          <w:szCs w:val="24"/>
        </w:rPr>
      </w:pPr>
      <w:r w:rsidRPr="00344316">
        <w:rPr>
          <w:rFonts w:asciiTheme="minorBidi" w:hAnsiTheme="minorBidi"/>
          <w:b/>
          <w:bCs/>
          <w:i/>
          <w:iCs/>
          <w:sz w:val="24"/>
          <w:szCs w:val="24"/>
        </w:rPr>
        <w:t xml:space="preserve">Tzedaka </w:t>
      </w:r>
      <w:r w:rsidR="00344316">
        <w:rPr>
          <w:rFonts w:asciiTheme="minorBidi" w:hAnsiTheme="minorBidi"/>
          <w:b/>
          <w:bCs/>
          <w:i/>
          <w:iCs/>
          <w:sz w:val="24"/>
          <w:szCs w:val="24"/>
        </w:rPr>
        <w:t>U</w:t>
      </w:r>
      <w:r w:rsidRPr="00344316">
        <w:rPr>
          <w:rFonts w:asciiTheme="minorBidi" w:hAnsiTheme="minorBidi"/>
          <w:b/>
          <w:bCs/>
          <w:i/>
          <w:iCs/>
          <w:sz w:val="24"/>
          <w:szCs w:val="24"/>
        </w:rPr>
        <w:t>-mishpat</w:t>
      </w:r>
      <w:r w:rsidRPr="00344316">
        <w:rPr>
          <w:rFonts w:asciiTheme="minorBidi" w:hAnsiTheme="minorBidi"/>
          <w:b/>
          <w:bCs/>
          <w:sz w:val="24"/>
          <w:szCs w:val="24"/>
        </w:rPr>
        <w:t xml:space="preserve"> as Guiding Values in Communal and National Policy</w:t>
      </w:r>
    </w:p>
    <w:p w14:paraId="71EC8969" w14:textId="77777777" w:rsidR="00D306F8" w:rsidRPr="00344316" w:rsidRDefault="00D306F8" w:rsidP="00227792">
      <w:pPr>
        <w:spacing w:after="0" w:line="240" w:lineRule="auto"/>
        <w:jc w:val="both"/>
        <w:rPr>
          <w:rFonts w:asciiTheme="minorBidi" w:hAnsiTheme="minorBidi"/>
          <w:b/>
          <w:bCs/>
          <w:sz w:val="24"/>
          <w:szCs w:val="24"/>
        </w:rPr>
      </w:pPr>
    </w:p>
    <w:p w14:paraId="1A607F1A" w14:textId="27E68FF4"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The need for guiding ethical values also arises in the context of communal governance, whether at the local or national level. To the extent that we find halakhic sanction of non-rabbinic, non-halakhic (though not anti-halakhic) policymaking, we still need to ask what principles should motivate, direct, and limit ethically</w:t>
      </w:r>
      <w:r w:rsidR="00944232">
        <w:rPr>
          <w:rFonts w:asciiTheme="minorBidi" w:hAnsiTheme="minorBidi"/>
          <w:sz w:val="24"/>
          <w:szCs w:val="24"/>
        </w:rPr>
        <w:t>-</w:t>
      </w:r>
      <w:r w:rsidRPr="00344316">
        <w:rPr>
          <w:rFonts w:asciiTheme="minorBidi" w:hAnsiTheme="minorBidi"/>
          <w:sz w:val="24"/>
          <w:szCs w:val="24"/>
        </w:rPr>
        <w:t>laden decisions.</w:t>
      </w:r>
      <w:r w:rsidR="00344316">
        <w:rPr>
          <w:rFonts w:asciiTheme="minorBidi" w:hAnsiTheme="minorBidi"/>
          <w:sz w:val="24"/>
          <w:szCs w:val="24"/>
        </w:rPr>
        <w:t xml:space="preserve"> </w:t>
      </w:r>
      <w:r w:rsidRPr="00344316">
        <w:rPr>
          <w:rFonts w:asciiTheme="minorBidi" w:hAnsiTheme="minorBidi"/>
          <w:sz w:val="24"/>
          <w:szCs w:val="24"/>
        </w:rPr>
        <w:t xml:space="preserve">The values of </w:t>
      </w:r>
      <w:r w:rsidR="00BE703E">
        <w:rPr>
          <w:rFonts w:asciiTheme="minorBidi" w:hAnsiTheme="minorBidi"/>
          <w:i/>
          <w:iCs/>
          <w:sz w:val="24"/>
          <w:szCs w:val="24"/>
        </w:rPr>
        <w:t>b</w:t>
      </w:r>
      <w:r w:rsidRPr="00344316">
        <w:rPr>
          <w:rFonts w:asciiTheme="minorBidi" w:hAnsiTheme="minorBidi"/>
          <w:i/>
          <w:iCs/>
          <w:sz w:val="24"/>
          <w:szCs w:val="24"/>
        </w:rPr>
        <w:t>erit Avot</w:t>
      </w:r>
      <w:r w:rsidRPr="00344316">
        <w:rPr>
          <w:rFonts w:asciiTheme="minorBidi" w:hAnsiTheme="minorBidi"/>
          <w:sz w:val="24"/>
          <w:szCs w:val="24"/>
        </w:rPr>
        <w:t>, I think, can be part of that.</w:t>
      </w:r>
    </w:p>
    <w:p w14:paraId="02F8C8F6" w14:textId="77777777" w:rsidR="00D306F8" w:rsidRPr="00344316" w:rsidRDefault="00D306F8" w:rsidP="00227792">
      <w:pPr>
        <w:spacing w:after="0" w:line="240" w:lineRule="auto"/>
        <w:jc w:val="both"/>
        <w:rPr>
          <w:rFonts w:asciiTheme="minorBidi" w:hAnsiTheme="minorBidi"/>
          <w:sz w:val="24"/>
          <w:szCs w:val="24"/>
        </w:rPr>
      </w:pPr>
    </w:p>
    <w:p w14:paraId="1D4247E8" w14:textId="6A2D452F"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There are two primary bases for lay authority in the halakhic tradition: 1) </w:t>
      </w:r>
      <w:r w:rsidR="00BE703E">
        <w:rPr>
          <w:rFonts w:asciiTheme="minorBidi" w:hAnsiTheme="minorBidi"/>
          <w:sz w:val="24"/>
          <w:szCs w:val="24"/>
        </w:rPr>
        <w:t>t</w:t>
      </w:r>
      <w:r w:rsidRPr="00344316">
        <w:rPr>
          <w:rFonts w:asciiTheme="minorBidi" w:hAnsiTheme="minorBidi"/>
          <w:sz w:val="24"/>
          <w:szCs w:val="24"/>
        </w:rPr>
        <w:t>he institution of monarchy, and 2) the right of communities to self-govern through enactments known as “</w:t>
      </w:r>
      <w:r w:rsidRPr="00344316">
        <w:rPr>
          <w:rFonts w:asciiTheme="minorBidi" w:hAnsiTheme="minorBidi"/>
          <w:i/>
          <w:iCs/>
          <w:sz w:val="24"/>
          <w:szCs w:val="24"/>
        </w:rPr>
        <w:t>takkanot ha-kahal</w:t>
      </w:r>
      <w:r w:rsidRPr="00344316">
        <w:rPr>
          <w:rFonts w:asciiTheme="minorBidi" w:hAnsiTheme="minorBidi"/>
          <w:sz w:val="24"/>
          <w:szCs w:val="24"/>
        </w:rPr>
        <w:t>.”</w:t>
      </w:r>
      <w:r w:rsidRPr="00344316">
        <w:rPr>
          <w:rStyle w:val="FootnoteReference"/>
          <w:rFonts w:asciiTheme="minorBidi" w:hAnsiTheme="minorBidi"/>
          <w:sz w:val="24"/>
          <w:szCs w:val="24"/>
        </w:rPr>
        <w:footnoteReference w:id="4"/>
      </w:r>
      <w:r w:rsidRPr="00344316">
        <w:rPr>
          <w:rFonts w:asciiTheme="minorBidi" w:hAnsiTheme="minorBidi"/>
          <w:sz w:val="24"/>
          <w:szCs w:val="24"/>
        </w:rPr>
        <w:t xml:space="preserve"> Additionally, some scholars actually merge the two, suggesting that the latter phenomenon is, in fact, a variant manifestation of the authority bestowed upon the former.</w:t>
      </w:r>
      <w:r w:rsidRPr="00344316">
        <w:rPr>
          <w:rStyle w:val="FootnoteReference"/>
          <w:rFonts w:asciiTheme="minorBidi" w:hAnsiTheme="minorBidi"/>
          <w:sz w:val="24"/>
          <w:szCs w:val="24"/>
        </w:rPr>
        <w:footnoteReference w:id="5"/>
      </w:r>
    </w:p>
    <w:p w14:paraId="12CD4E27" w14:textId="77777777" w:rsidR="00D306F8" w:rsidRPr="00344316" w:rsidRDefault="00D306F8" w:rsidP="00227792">
      <w:pPr>
        <w:spacing w:after="0" w:line="240" w:lineRule="auto"/>
        <w:jc w:val="both"/>
        <w:rPr>
          <w:rFonts w:asciiTheme="minorBidi" w:hAnsiTheme="minorBidi"/>
          <w:sz w:val="24"/>
          <w:szCs w:val="24"/>
        </w:rPr>
      </w:pPr>
    </w:p>
    <w:p w14:paraId="693BE17E" w14:textId="31C8841F" w:rsidR="00D306F8" w:rsidRPr="00344316" w:rsidRDefault="00D306F8" w:rsidP="00227792">
      <w:pPr>
        <w:spacing w:after="0" w:line="240" w:lineRule="auto"/>
        <w:jc w:val="both"/>
        <w:rPr>
          <w:rFonts w:asciiTheme="minorBidi" w:hAnsiTheme="minorBidi"/>
          <w:sz w:val="24"/>
          <w:szCs w:val="24"/>
          <w:rtl/>
        </w:rPr>
      </w:pPr>
      <w:r w:rsidRPr="00344316">
        <w:rPr>
          <w:rFonts w:asciiTheme="minorBidi" w:hAnsiTheme="minorBidi"/>
          <w:sz w:val="24"/>
          <w:szCs w:val="24"/>
        </w:rPr>
        <w:t xml:space="preserve">Both concepts have been used to justify, within the framework of </w:t>
      </w:r>
      <w:r w:rsidR="00BE703E" w:rsidRPr="00CD0CA3">
        <w:rPr>
          <w:rFonts w:asciiTheme="minorBidi" w:hAnsiTheme="minorBidi"/>
          <w:sz w:val="24"/>
          <w:szCs w:val="24"/>
        </w:rPr>
        <w:t>H</w:t>
      </w:r>
      <w:r w:rsidRPr="00CD0CA3">
        <w:rPr>
          <w:rFonts w:asciiTheme="minorBidi" w:hAnsiTheme="minorBidi"/>
          <w:sz w:val="24"/>
          <w:szCs w:val="24"/>
        </w:rPr>
        <w:t>alakha</w:t>
      </w:r>
      <w:r w:rsidRPr="00344316">
        <w:rPr>
          <w:rFonts w:asciiTheme="minorBidi" w:hAnsiTheme="minorBidi"/>
          <w:sz w:val="24"/>
          <w:szCs w:val="24"/>
        </w:rPr>
        <w:t xml:space="preserve">, the authority of the Israeli government and its policies. A number of different scholars argue, based on passages from </w:t>
      </w:r>
      <w:r w:rsidR="002038D4" w:rsidRPr="00344316">
        <w:rPr>
          <w:rFonts w:asciiTheme="minorBidi" w:hAnsiTheme="minorBidi"/>
          <w:sz w:val="24"/>
          <w:szCs w:val="24"/>
        </w:rPr>
        <w:t>m</w:t>
      </w:r>
      <w:r w:rsidRPr="00344316">
        <w:rPr>
          <w:rFonts w:asciiTheme="minorBidi" w:hAnsiTheme="minorBidi"/>
          <w:sz w:val="24"/>
          <w:szCs w:val="24"/>
        </w:rPr>
        <w:t>edieval commentators, that the authority invested in Jewish monarchy is not exclusive to a king but can be assumed by any national leader or governing body, such as the Knesset. Th</w:t>
      </w:r>
      <w:r w:rsidR="00353E90" w:rsidRPr="00344316">
        <w:rPr>
          <w:rFonts w:asciiTheme="minorBidi" w:hAnsiTheme="minorBidi"/>
          <w:sz w:val="24"/>
          <w:szCs w:val="24"/>
        </w:rPr>
        <w:t>is</w:t>
      </w:r>
      <w:r w:rsidRPr="00344316">
        <w:rPr>
          <w:rFonts w:asciiTheme="minorBidi" w:hAnsiTheme="minorBidi"/>
          <w:sz w:val="24"/>
          <w:szCs w:val="24"/>
        </w:rPr>
        <w:t xml:space="preserve"> point is implicit in R. Chaim Ozer Grodzinski’s invocation of </w:t>
      </w:r>
      <w:r w:rsidRPr="00344316">
        <w:rPr>
          <w:rFonts w:asciiTheme="minorBidi" w:hAnsiTheme="minorBidi"/>
          <w:i/>
          <w:iCs/>
          <w:sz w:val="24"/>
          <w:szCs w:val="24"/>
        </w:rPr>
        <w:t>Derashot Ha-Ran</w:t>
      </w:r>
      <w:r w:rsidRPr="00344316">
        <w:rPr>
          <w:rFonts w:asciiTheme="minorBidi" w:hAnsiTheme="minorBidi"/>
          <w:sz w:val="24"/>
          <w:szCs w:val="24"/>
        </w:rPr>
        <w:t xml:space="preserve"> regarding legislation in a future state (see </w:t>
      </w:r>
      <w:r w:rsidR="00BE703E" w:rsidRPr="00CD0CA3">
        <w:rPr>
          <w:rFonts w:asciiTheme="minorBidi" w:hAnsiTheme="minorBidi"/>
          <w:i/>
          <w:iCs/>
          <w:sz w:val="24"/>
          <w:szCs w:val="24"/>
        </w:rPr>
        <w:t>S</w:t>
      </w:r>
      <w:r w:rsidRPr="00CD0CA3">
        <w:rPr>
          <w:rFonts w:asciiTheme="minorBidi" w:hAnsiTheme="minorBidi"/>
          <w:i/>
          <w:iCs/>
          <w:sz w:val="24"/>
          <w:szCs w:val="24"/>
        </w:rPr>
        <w:t>hiur</w:t>
      </w:r>
      <w:r w:rsidRPr="00344316">
        <w:rPr>
          <w:rFonts w:asciiTheme="minorBidi" w:hAnsiTheme="minorBidi"/>
          <w:sz w:val="24"/>
          <w:szCs w:val="24"/>
        </w:rPr>
        <w:t xml:space="preserve"> #38) and explicit in a celebrated 191</w:t>
      </w:r>
      <w:r w:rsidRPr="00344316">
        <w:rPr>
          <w:rFonts w:asciiTheme="minorBidi" w:hAnsiTheme="minorBidi"/>
          <w:sz w:val="24"/>
          <w:szCs w:val="24"/>
          <w:rtl/>
        </w:rPr>
        <w:t>5</w:t>
      </w:r>
      <w:r w:rsidRPr="00344316">
        <w:rPr>
          <w:rFonts w:asciiTheme="minorBidi" w:hAnsiTheme="minorBidi"/>
          <w:sz w:val="24"/>
          <w:szCs w:val="24"/>
        </w:rPr>
        <w:t xml:space="preserve"> letter by Chief Rabbi Avraham Yitzchak Ha-Kohen Kook (</w:t>
      </w:r>
      <w:r w:rsidRPr="00344316">
        <w:rPr>
          <w:rFonts w:asciiTheme="minorBidi" w:hAnsiTheme="minorBidi"/>
          <w:i/>
          <w:iCs/>
          <w:sz w:val="24"/>
          <w:szCs w:val="24"/>
        </w:rPr>
        <w:t>Responsa Mishpat Kohen</w:t>
      </w:r>
      <w:r w:rsidRPr="00344316">
        <w:rPr>
          <w:rFonts w:asciiTheme="minorBidi" w:hAnsiTheme="minorBidi"/>
          <w:sz w:val="24"/>
          <w:szCs w:val="24"/>
        </w:rPr>
        <w:t xml:space="preserve"> 144:15), quoted by </w:t>
      </w:r>
      <w:r w:rsidR="00DD7C00" w:rsidRPr="00344316">
        <w:rPr>
          <w:rFonts w:asciiTheme="minorBidi" w:hAnsiTheme="minorBidi"/>
          <w:sz w:val="24"/>
          <w:szCs w:val="24"/>
        </w:rPr>
        <w:t>Chief Rabbi Yitz</w:t>
      </w:r>
      <w:r w:rsidR="00BE703E">
        <w:rPr>
          <w:rFonts w:asciiTheme="minorBidi" w:hAnsiTheme="minorBidi"/>
          <w:sz w:val="24"/>
          <w:szCs w:val="24"/>
        </w:rPr>
        <w:t>c</w:t>
      </w:r>
      <w:r w:rsidR="00DD7C00" w:rsidRPr="00344316">
        <w:rPr>
          <w:rFonts w:asciiTheme="minorBidi" w:hAnsiTheme="minorBidi"/>
          <w:sz w:val="24"/>
          <w:szCs w:val="24"/>
        </w:rPr>
        <w:t xml:space="preserve">hak Isaac Ha-Levi </w:t>
      </w:r>
      <w:r w:rsidR="00344316" w:rsidRPr="00344316">
        <w:rPr>
          <w:rFonts w:asciiTheme="minorBidi" w:hAnsiTheme="minorBidi"/>
          <w:sz w:val="24"/>
          <w:szCs w:val="24"/>
        </w:rPr>
        <w:t>Herzog and</w:t>
      </w:r>
      <w:r w:rsidRPr="00344316">
        <w:rPr>
          <w:rFonts w:asciiTheme="minorBidi" w:hAnsiTheme="minorBidi"/>
          <w:sz w:val="24"/>
          <w:szCs w:val="24"/>
        </w:rPr>
        <w:t xml:space="preserve"> many others.</w:t>
      </w:r>
      <w:r w:rsidRPr="00344316">
        <w:rPr>
          <w:rStyle w:val="FootnoteReference"/>
          <w:rFonts w:asciiTheme="minorBidi" w:hAnsiTheme="minorBidi"/>
          <w:sz w:val="24"/>
          <w:szCs w:val="24"/>
        </w:rPr>
        <w:footnoteReference w:id="6"/>
      </w:r>
      <w:r w:rsidRPr="00344316">
        <w:rPr>
          <w:rFonts w:asciiTheme="minorBidi" w:hAnsiTheme="minorBidi"/>
          <w:sz w:val="24"/>
          <w:szCs w:val="24"/>
        </w:rPr>
        <w:t xml:space="preserve"> </w:t>
      </w:r>
    </w:p>
    <w:p w14:paraId="394688DF" w14:textId="77777777" w:rsidR="00D306F8" w:rsidRPr="00344316" w:rsidRDefault="00D306F8" w:rsidP="00227792">
      <w:pPr>
        <w:spacing w:after="0" w:line="240" w:lineRule="auto"/>
        <w:jc w:val="both"/>
        <w:rPr>
          <w:rFonts w:asciiTheme="minorBidi" w:hAnsiTheme="minorBidi"/>
          <w:sz w:val="24"/>
          <w:szCs w:val="24"/>
        </w:rPr>
      </w:pPr>
    </w:p>
    <w:p w14:paraId="61FDB4A4" w14:textId="793AD36D"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However, even if the government of Israel is recognized as a substitute for monarchy, its authority as such will only be as wide as that of ideal Jewish monarchy itself, which returns us to our previous analysis of a king’s </w:t>
      </w:r>
      <w:r w:rsidR="002E5C27" w:rsidRPr="00344316">
        <w:rPr>
          <w:rFonts w:asciiTheme="minorBidi" w:hAnsiTheme="minorBidi"/>
          <w:sz w:val="24"/>
          <w:szCs w:val="24"/>
        </w:rPr>
        <w:t xml:space="preserve">involvement </w:t>
      </w:r>
      <w:r w:rsidR="002E5C27" w:rsidRPr="00344316">
        <w:rPr>
          <w:rFonts w:asciiTheme="minorBidi" w:hAnsiTheme="minorBidi"/>
          <w:sz w:val="24"/>
          <w:szCs w:val="24"/>
        </w:rPr>
        <w:lastRenderedPageBreak/>
        <w:t>in</w:t>
      </w:r>
      <w:r w:rsidR="007E7BC3" w:rsidRPr="00344316">
        <w:rPr>
          <w:rFonts w:asciiTheme="minorBidi" w:hAnsiTheme="minorBidi"/>
          <w:sz w:val="24"/>
          <w:szCs w:val="24"/>
        </w:rPr>
        <w:t xml:space="preserve"> justice</w:t>
      </w:r>
      <w:r w:rsidR="00120A7D">
        <w:rPr>
          <w:rFonts w:asciiTheme="minorBidi" w:hAnsiTheme="minorBidi"/>
          <w:sz w:val="24"/>
          <w:szCs w:val="24"/>
        </w:rPr>
        <w:t xml:space="preserve"> and law</w:t>
      </w:r>
      <w:r w:rsidRPr="00344316">
        <w:rPr>
          <w:rFonts w:asciiTheme="minorBidi" w:hAnsiTheme="minorBidi"/>
          <w:sz w:val="24"/>
          <w:szCs w:val="24"/>
        </w:rPr>
        <w:t xml:space="preserve">. Briefly, while the Rambam seems to consolidate legislative </w:t>
      </w:r>
      <w:r w:rsidR="00767CCB">
        <w:rPr>
          <w:rFonts w:asciiTheme="minorBidi" w:hAnsiTheme="minorBidi"/>
          <w:sz w:val="24"/>
          <w:szCs w:val="24"/>
        </w:rPr>
        <w:t xml:space="preserve">and judicial </w:t>
      </w:r>
      <w:r w:rsidRPr="00344316">
        <w:rPr>
          <w:rFonts w:asciiTheme="minorBidi" w:hAnsiTheme="minorBidi"/>
          <w:sz w:val="24"/>
          <w:szCs w:val="24"/>
        </w:rPr>
        <w:t xml:space="preserve">authority in the hands of the Sages and authorizes the king to intervene only in exceptional cases, the Ran grants the king broad </w:t>
      </w:r>
      <w:r w:rsidR="007E7BC3" w:rsidRPr="00344316">
        <w:rPr>
          <w:rFonts w:asciiTheme="minorBidi" w:hAnsiTheme="minorBidi"/>
          <w:sz w:val="24"/>
          <w:szCs w:val="24"/>
        </w:rPr>
        <w:t>legislative powers</w:t>
      </w:r>
      <w:r w:rsidRPr="00344316">
        <w:rPr>
          <w:rFonts w:asciiTheme="minorBidi" w:hAnsiTheme="minorBidi"/>
          <w:sz w:val="24"/>
          <w:szCs w:val="24"/>
        </w:rPr>
        <w:t xml:space="preserve"> for the sake of maintaining a functioning society. </w:t>
      </w:r>
    </w:p>
    <w:p w14:paraId="5D07EB6A" w14:textId="77777777" w:rsidR="00D306F8" w:rsidRPr="00344316" w:rsidRDefault="00D306F8" w:rsidP="00227792">
      <w:pPr>
        <w:spacing w:after="0" w:line="240" w:lineRule="auto"/>
        <w:jc w:val="both"/>
        <w:rPr>
          <w:rFonts w:asciiTheme="minorBidi" w:hAnsiTheme="minorBidi"/>
          <w:sz w:val="24"/>
          <w:szCs w:val="24"/>
        </w:rPr>
      </w:pPr>
    </w:p>
    <w:p w14:paraId="13DF3AAB" w14:textId="3214192E"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For the Ran in particular, then, a king, or substitute body, needs strong guiding ethical principles for formulating policy</w:t>
      </w:r>
      <w:r w:rsidR="0049205C" w:rsidRPr="00344316">
        <w:rPr>
          <w:rFonts w:asciiTheme="minorBidi" w:hAnsiTheme="minorBidi"/>
          <w:sz w:val="24"/>
          <w:szCs w:val="24"/>
        </w:rPr>
        <w:t>. W</w:t>
      </w:r>
      <w:r w:rsidRPr="00344316">
        <w:rPr>
          <w:rFonts w:asciiTheme="minorBidi" w:hAnsiTheme="minorBidi"/>
          <w:sz w:val="24"/>
          <w:szCs w:val="24"/>
        </w:rPr>
        <w:t xml:space="preserve">here better to look than to the Davidic tradition of </w:t>
      </w:r>
      <w:r w:rsidRPr="00344316">
        <w:rPr>
          <w:rFonts w:asciiTheme="minorBidi" w:hAnsiTheme="minorBidi"/>
          <w:i/>
          <w:iCs/>
          <w:sz w:val="24"/>
          <w:szCs w:val="24"/>
        </w:rPr>
        <w:t>mishpat u-tzdaka</w:t>
      </w:r>
      <w:r w:rsidRPr="00344316">
        <w:rPr>
          <w:rFonts w:asciiTheme="minorBidi" w:hAnsiTheme="minorBidi"/>
          <w:sz w:val="24"/>
          <w:szCs w:val="24"/>
        </w:rPr>
        <w:t xml:space="preserve">? In other words, when a sovereign Jewish power, such as the State of Israel, is considering policy for which narrow Halakha will not be decisive, I believe that it should look for guidance and inspiration to the ethical values of </w:t>
      </w:r>
      <w:r w:rsidRPr="00344316">
        <w:rPr>
          <w:rFonts w:asciiTheme="minorBidi" w:hAnsiTheme="minorBidi"/>
          <w:i/>
          <w:iCs/>
          <w:sz w:val="24"/>
          <w:szCs w:val="24"/>
        </w:rPr>
        <w:t>berit Avot</w:t>
      </w:r>
      <w:r w:rsidRPr="00344316">
        <w:rPr>
          <w:rFonts w:asciiTheme="minorBidi" w:hAnsiTheme="minorBidi"/>
          <w:sz w:val="24"/>
          <w:szCs w:val="24"/>
        </w:rPr>
        <w:t xml:space="preserve"> as the overarching vision for Jewish conduct.</w:t>
      </w:r>
    </w:p>
    <w:p w14:paraId="75DA80F1" w14:textId="77777777" w:rsidR="00D306F8" w:rsidRPr="00344316" w:rsidRDefault="00D306F8" w:rsidP="00227792">
      <w:pPr>
        <w:spacing w:after="0" w:line="240" w:lineRule="auto"/>
        <w:jc w:val="both"/>
        <w:rPr>
          <w:rFonts w:asciiTheme="minorBidi" w:hAnsiTheme="minorBidi"/>
          <w:sz w:val="24"/>
          <w:szCs w:val="24"/>
        </w:rPr>
      </w:pPr>
    </w:p>
    <w:p w14:paraId="5A91A10C" w14:textId="4A167975" w:rsidR="00D306F8" w:rsidRPr="00344316" w:rsidRDefault="00D306F8" w:rsidP="00227792">
      <w:pPr>
        <w:spacing w:after="0" w:line="240" w:lineRule="auto"/>
        <w:jc w:val="both"/>
        <w:rPr>
          <w:rFonts w:asciiTheme="minorBidi" w:hAnsiTheme="minorBidi"/>
          <w:sz w:val="24"/>
          <w:szCs w:val="24"/>
          <w:rtl/>
        </w:rPr>
      </w:pPr>
      <w:r w:rsidRPr="00344316">
        <w:rPr>
          <w:rFonts w:asciiTheme="minorBidi" w:hAnsiTheme="minorBidi"/>
          <w:sz w:val="24"/>
          <w:szCs w:val="24"/>
        </w:rPr>
        <w:t>Furthermore, the need for Jewish guiding principles in the governance of Israel transcends</w:t>
      </w:r>
      <w:r w:rsidR="0094499E">
        <w:rPr>
          <w:rFonts w:asciiTheme="minorBidi" w:hAnsiTheme="minorBidi"/>
          <w:sz w:val="24"/>
          <w:szCs w:val="24"/>
        </w:rPr>
        <w:t>,</w:t>
      </w:r>
      <w:r w:rsidRPr="00344316">
        <w:rPr>
          <w:rFonts w:asciiTheme="minorBidi" w:hAnsiTheme="minorBidi"/>
          <w:sz w:val="24"/>
          <w:szCs w:val="24"/>
        </w:rPr>
        <w:t xml:space="preserve"> </w:t>
      </w:r>
      <w:r w:rsidR="00260543" w:rsidRPr="00344316">
        <w:rPr>
          <w:rFonts w:asciiTheme="minorBidi" w:hAnsiTheme="minorBidi"/>
          <w:sz w:val="24"/>
          <w:szCs w:val="24"/>
        </w:rPr>
        <w:t>in practice</w:t>
      </w:r>
      <w:r w:rsidR="0094499E">
        <w:rPr>
          <w:rFonts w:asciiTheme="minorBidi" w:hAnsiTheme="minorBidi"/>
          <w:sz w:val="24"/>
          <w:szCs w:val="24"/>
        </w:rPr>
        <w:t>,</w:t>
      </w:r>
      <w:r w:rsidR="00260543" w:rsidRPr="00344316">
        <w:rPr>
          <w:rFonts w:asciiTheme="minorBidi" w:hAnsiTheme="minorBidi"/>
          <w:sz w:val="24"/>
          <w:szCs w:val="24"/>
        </w:rPr>
        <w:t xml:space="preserve"> </w:t>
      </w:r>
      <w:r w:rsidRPr="00344316">
        <w:rPr>
          <w:rFonts w:asciiTheme="minorBidi" w:hAnsiTheme="minorBidi"/>
          <w:sz w:val="24"/>
          <w:szCs w:val="24"/>
        </w:rPr>
        <w:t>the disagreement between the Rambam and the Ran.</w:t>
      </w:r>
      <w:r w:rsidR="00344316">
        <w:rPr>
          <w:rFonts w:asciiTheme="minorBidi" w:hAnsiTheme="minorBidi"/>
          <w:sz w:val="24"/>
          <w:szCs w:val="24"/>
        </w:rPr>
        <w:t xml:space="preserve"> </w:t>
      </w:r>
      <w:r w:rsidRPr="00344316">
        <w:rPr>
          <w:rFonts w:asciiTheme="minorBidi" w:hAnsiTheme="minorBidi"/>
          <w:sz w:val="24"/>
          <w:szCs w:val="24"/>
        </w:rPr>
        <w:t>Those who reject the Ran’s thesis as a basis for broad, non-halakhic governmental authority</w:t>
      </w:r>
      <w:r w:rsidR="0094499E">
        <w:rPr>
          <w:rFonts w:asciiTheme="minorBidi" w:hAnsiTheme="minorBidi"/>
          <w:sz w:val="24"/>
          <w:szCs w:val="24"/>
        </w:rPr>
        <w:t xml:space="preserve"> — m</w:t>
      </w:r>
      <w:r w:rsidRPr="00344316">
        <w:rPr>
          <w:rFonts w:asciiTheme="minorBidi" w:hAnsiTheme="minorBidi"/>
          <w:sz w:val="24"/>
          <w:szCs w:val="24"/>
        </w:rPr>
        <w:t>ost vociferously R. Herzog</w:t>
      </w:r>
      <w:r w:rsidR="0094499E">
        <w:rPr>
          <w:rFonts w:asciiTheme="minorBidi" w:hAnsiTheme="minorBidi"/>
          <w:sz w:val="24"/>
          <w:szCs w:val="24"/>
        </w:rPr>
        <w:t xml:space="preserve"> — d</w:t>
      </w:r>
      <w:r w:rsidRPr="00344316">
        <w:rPr>
          <w:rFonts w:asciiTheme="minorBidi" w:hAnsiTheme="minorBidi"/>
          <w:sz w:val="24"/>
          <w:szCs w:val="24"/>
        </w:rPr>
        <w:t xml:space="preserve">o not propose rule by pure Torah law but prop up the Knesset and its legislative functions by other means. This point is most evident regarding criminal law. R. Herzog reports that when the subject of law and justice in a future state arose at a rabbinic convention that he chaired, </w:t>
      </w:r>
      <w:r w:rsidR="00C00037" w:rsidRPr="00344316">
        <w:rPr>
          <w:rFonts w:asciiTheme="minorBidi" w:hAnsiTheme="minorBidi"/>
          <w:sz w:val="24"/>
          <w:szCs w:val="24"/>
        </w:rPr>
        <w:t>there was no</w:t>
      </w:r>
      <w:r w:rsidRPr="00344316">
        <w:rPr>
          <w:rFonts w:asciiTheme="minorBidi" w:hAnsiTheme="minorBidi"/>
          <w:sz w:val="24"/>
          <w:szCs w:val="24"/>
        </w:rPr>
        <w:t xml:space="preserve"> interest in having rabbinic courts participate in criminal prosecution and punishment. Rather, there was near</w:t>
      </w:r>
      <w:r w:rsidR="0094499E">
        <w:rPr>
          <w:rFonts w:asciiTheme="minorBidi" w:hAnsiTheme="minorBidi"/>
          <w:sz w:val="24"/>
          <w:szCs w:val="24"/>
        </w:rPr>
        <w:t>-</w:t>
      </w:r>
      <w:r w:rsidRPr="00344316">
        <w:rPr>
          <w:rFonts w:asciiTheme="minorBidi" w:hAnsiTheme="minorBidi"/>
          <w:sz w:val="24"/>
          <w:szCs w:val="24"/>
        </w:rPr>
        <w:t>unanimous agreement to defer to a secular court system in this regard (</w:t>
      </w:r>
      <w:r w:rsidRPr="00344316">
        <w:rPr>
          <w:rFonts w:asciiTheme="minorBidi" w:hAnsiTheme="minorBidi"/>
          <w:i/>
          <w:iCs/>
          <w:sz w:val="24"/>
          <w:szCs w:val="24"/>
        </w:rPr>
        <w:t>Techuka Le-Yisrael</w:t>
      </w:r>
      <w:r w:rsidRPr="00344316">
        <w:rPr>
          <w:rFonts w:asciiTheme="minorBidi" w:hAnsiTheme="minorBidi"/>
          <w:sz w:val="24"/>
          <w:szCs w:val="24"/>
        </w:rPr>
        <w:t xml:space="preserve">, Vol. 1, 55, 173). </w:t>
      </w:r>
    </w:p>
    <w:p w14:paraId="1FDC412C" w14:textId="77777777" w:rsidR="00D306F8" w:rsidRPr="00344316" w:rsidRDefault="00D306F8" w:rsidP="00227792">
      <w:pPr>
        <w:spacing w:after="0" w:line="240" w:lineRule="auto"/>
        <w:jc w:val="both"/>
        <w:rPr>
          <w:rFonts w:asciiTheme="minorBidi" w:hAnsiTheme="minorBidi"/>
          <w:sz w:val="24"/>
          <w:szCs w:val="24"/>
        </w:rPr>
      </w:pPr>
    </w:p>
    <w:p w14:paraId="5FBCF978" w14:textId="03BF6A39"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Its authority, R. Herzog argues, would come from the principle of punishing “not according to Torah,” either by the king or by the rabbinic courts, according to the “needs of the hour.” Early sources we examined in </w:t>
      </w:r>
      <w:r w:rsidR="0094499E">
        <w:rPr>
          <w:rFonts w:asciiTheme="minorBidi" w:hAnsiTheme="minorBidi"/>
          <w:i/>
          <w:iCs/>
          <w:sz w:val="24"/>
          <w:szCs w:val="24"/>
        </w:rPr>
        <w:t>S</w:t>
      </w:r>
      <w:r w:rsidRPr="00344316">
        <w:rPr>
          <w:rFonts w:asciiTheme="minorBidi" w:hAnsiTheme="minorBidi"/>
          <w:i/>
          <w:iCs/>
          <w:sz w:val="24"/>
          <w:szCs w:val="24"/>
        </w:rPr>
        <w:t>hiur</w:t>
      </w:r>
      <w:r w:rsidRPr="00344316">
        <w:rPr>
          <w:rFonts w:asciiTheme="minorBidi" w:hAnsiTheme="minorBidi"/>
          <w:sz w:val="24"/>
          <w:szCs w:val="24"/>
        </w:rPr>
        <w:t xml:space="preserve"> #37 only speak about discrete, exceptional situations that threaten the public order. However, with the disappearance of criminal prosecution by a rabbinic court system, later authorities empower substitute public institutions to maintain order through prosecution and punishment, according to their own standards.</w:t>
      </w:r>
    </w:p>
    <w:p w14:paraId="6FBB4B2E" w14:textId="77777777" w:rsidR="00D306F8" w:rsidRPr="00344316" w:rsidRDefault="00D306F8" w:rsidP="00227792">
      <w:pPr>
        <w:spacing w:after="0" w:line="240" w:lineRule="auto"/>
        <w:jc w:val="both"/>
        <w:rPr>
          <w:rFonts w:asciiTheme="minorBidi" w:hAnsiTheme="minorBidi"/>
          <w:sz w:val="24"/>
          <w:szCs w:val="24"/>
        </w:rPr>
      </w:pPr>
    </w:p>
    <w:p w14:paraId="7F4014B3" w14:textId="03465C22"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For example, the Rashba </w:t>
      </w:r>
      <w:r w:rsidR="009D19DB" w:rsidRPr="00344316">
        <w:rPr>
          <w:rFonts w:asciiTheme="minorBidi" w:hAnsiTheme="minorBidi"/>
          <w:sz w:val="24"/>
          <w:szCs w:val="24"/>
        </w:rPr>
        <w:t>is</w:t>
      </w:r>
      <w:r w:rsidRPr="00344316">
        <w:rPr>
          <w:rFonts w:asciiTheme="minorBidi" w:hAnsiTheme="minorBidi"/>
          <w:sz w:val="24"/>
          <w:szCs w:val="24"/>
        </w:rPr>
        <w:t xml:space="preserve"> asked about the authority of officials appointed by the community to maintain law and order. Repeatedly, he affirms their ability to deviate from Torah protocol with regard to adjudication, based on the principle of “the needs of the hour,” for otherwise “the world would be destroyed.”</w:t>
      </w:r>
      <w:r w:rsidRPr="00344316">
        <w:rPr>
          <w:rStyle w:val="FootnoteReference"/>
          <w:rFonts w:asciiTheme="minorBidi" w:hAnsiTheme="minorBidi"/>
          <w:sz w:val="24"/>
          <w:szCs w:val="24"/>
        </w:rPr>
        <w:footnoteReference w:id="7"/>
      </w:r>
      <w:r w:rsidRPr="00344316">
        <w:rPr>
          <w:rFonts w:asciiTheme="minorBidi" w:hAnsiTheme="minorBidi"/>
          <w:sz w:val="24"/>
          <w:szCs w:val="24"/>
        </w:rPr>
        <w:t xml:space="preserve"> He quotes the numerous precedents in </w:t>
      </w:r>
      <w:r w:rsidR="0094499E">
        <w:rPr>
          <w:rFonts w:asciiTheme="minorBidi" w:hAnsiTheme="minorBidi"/>
          <w:sz w:val="24"/>
          <w:szCs w:val="24"/>
        </w:rPr>
        <w:t xml:space="preserve">the literature of </w:t>
      </w:r>
      <w:r w:rsidRPr="00CD0CA3">
        <w:rPr>
          <w:rFonts w:asciiTheme="minorBidi" w:hAnsiTheme="minorBidi"/>
          <w:i/>
          <w:iCs/>
          <w:sz w:val="24"/>
          <w:szCs w:val="24"/>
        </w:rPr>
        <w:t>Chazal</w:t>
      </w:r>
      <w:r w:rsidRPr="00344316">
        <w:rPr>
          <w:rFonts w:asciiTheme="minorBidi" w:hAnsiTheme="minorBidi"/>
          <w:sz w:val="24"/>
          <w:szCs w:val="24"/>
        </w:rPr>
        <w:t xml:space="preserve"> and then summarizes, “And so do we do in each generation and in every place, when we see that ‘the hour requires it,’ and to discipline the wild and immature ‘who turn towards crookedness’ (</w:t>
      </w:r>
      <w:r w:rsidRPr="00344316">
        <w:rPr>
          <w:rFonts w:asciiTheme="minorBidi" w:hAnsiTheme="minorBidi"/>
          <w:i/>
          <w:iCs/>
          <w:sz w:val="24"/>
          <w:szCs w:val="24"/>
        </w:rPr>
        <w:t>Tehillim</w:t>
      </w:r>
      <w:r w:rsidRPr="00344316">
        <w:rPr>
          <w:rFonts w:asciiTheme="minorBidi" w:hAnsiTheme="minorBidi"/>
          <w:sz w:val="24"/>
          <w:szCs w:val="24"/>
        </w:rPr>
        <w:t xml:space="preserve"> 125:5)” (</w:t>
      </w:r>
      <w:r w:rsidRPr="00CD0CA3">
        <w:rPr>
          <w:rFonts w:asciiTheme="minorBidi" w:hAnsiTheme="minorBidi"/>
          <w:i/>
          <w:iCs/>
          <w:sz w:val="24"/>
          <w:szCs w:val="24"/>
        </w:rPr>
        <w:t>Responsa</w:t>
      </w:r>
      <w:r w:rsidRPr="00344316">
        <w:rPr>
          <w:rFonts w:asciiTheme="minorBidi" w:hAnsiTheme="minorBidi"/>
          <w:sz w:val="24"/>
          <w:szCs w:val="24"/>
        </w:rPr>
        <w:t>, 3:393).</w:t>
      </w:r>
      <w:r w:rsidRPr="00344316">
        <w:rPr>
          <w:rStyle w:val="FootnoteReference"/>
          <w:rFonts w:asciiTheme="minorBidi" w:hAnsiTheme="minorBidi"/>
          <w:sz w:val="24"/>
          <w:szCs w:val="24"/>
        </w:rPr>
        <w:footnoteReference w:id="8"/>
      </w:r>
    </w:p>
    <w:p w14:paraId="586713EF" w14:textId="77777777" w:rsidR="00D306F8" w:rsidRPr="00344316" w:rsidRDefault="00D306F8" w:rsidP="00227792">
      <w:pPr>
        <w:spacing w:after="0" w:line="240" w:lineRule="auto"/>
        <w:jc w:val="both"/>
        <w:rPr>
          <w:rFonts w:asciiTheme="minorBidi" w:hAnsiTheme="minorBidi"/>
          <w:sz w:val="24"/>
          <w:szCs w:val="24"/>
        </w:rPr>
      </w:pPr>
    </w:p>
    <w:p w14:paraId="057489E0" w14:textId="2F4EF016"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Reflecting upon the practices of </w:t>
      </w:r>
      <w:r w:rsidR="00D820F9" w:rsidRPr="00344316">
        <w:rPr>
          <w:rFonts w:asciiTheme="minorBidi" w:hAnsiTheme="minorBidi"/>
          <w:sz w:val="24"/>
          <w:szCs w:val="24"/>
        </w:rPr>
        <w:t>m</w:t>
      </w:r>
      <w:r w:rsidRPr="00344316">
        <w:rPr>
          <w:rFonts w:asciiTheme="minorBidi" w:hAnsiTheme="minorBidi"/>
          <w:sz w:val="24"/>
          <w:szCs w:val="24"/>
        </w:rPr>
        <w:t>edieval communities, R. Herzog writes:</w:t>
      </w:r>
    </w:p>
    <w:p w14:paraId="62DA05E1" w14:textId="77777777" w:rsidR="00D306F8" w:rsidRPr="00344316" w:rsidRDefault="00D306F8" w:rsidP="00227792">
      <w:pPr>
        <w:spacing w:after="0" w:line="240" w:lineRule="auto"/>
        <w:jc w:val="both"/>
        <w:rPr>
          <w:rFonts w:asciiTheme="minorBidi" w:hAnsiTheme="minorBidi"/>
          <w:sz w:val="24"/>
          <w:szCs w:val="24"/>
        </w:rPr>
      </w:pPr>
    </w:p>
    <w:p w14:paraId="612068B8" w14:textId="77777777" w:rsidR="00D306F8" w:rsidRPr="00344316" w:rsidRDefault="00D306F8" w:rsidP="00227792">
      <w:pPr>
        <w:spacing w:after="0" w:line="240" w:lineRule="auto"/>
        <w:ind w:left="720"/>
        <w:jc w:val="both"/>
        <w:rPr>
          <w:rFonts w:asciiTheme="minorBidi" w:hAnsiTheme="minorBidi"/>
          <w:sz w:val="24"/>
          <w:szCs w:val="24"/>
        </w:rPr>
      </w:pPr>
      <w:r w:rsidRPr="00344316">
        <w:rPr>
          <w:rFonts w:asciiTheme="minorBidi" w:hAnsiTheme="minorBidi"/>
          <w:sz w:val="24"/>
          <w:szCs w:val="24"/>
        </w:rPr>
        <w:t>The general impression we get is that they did not judge on an ad hoc basis, but regularly. Thus, [the justification of] maintaining order does not mean only for the moment, but as long as there is such a need, even if it continues for generations. (</w:t>
      </w:r>
      <w:r w:rsidRPr="00344316">
        <w:rPr>
          <w:rFonts w:asciiTheme="minorBidi" w:hAnsiTheme="minorBidi"/>
          <w:i/>
          <w:iCs/>
          <w:sz w:val="24"/>
          <w:szCs w:val="24"/>
        </w:rPr>
        <w:t>Techuka Le-Yisrael</w:t>
      </w:r>
      <w:r w:rsidRPr="00344316">
        <w:rPr>
          <w:rFonts w:asciiTheme="minorBidi" w:hAnsiTheme="minorBidi"/>
          <w:sz w:val="24"/>
          <w:szCs w:val="24"/>
        </w:rPr>
        <w:t>, Vol. 1, 52)</w:t>
      </w:r>
      <w:r w:rsidRPr="00344316">
        <w:rPr>
          <w:rStyle w:val="FootnoteReference"/>
          <w:rFonts w:asciiTheme="minorBidi" w:hAnsiTheme="minorBidi"/>
          <w:sz w:val="24"/>
          <w:szCs w:val="24"/>
        </w:rPr>
        <w:footnoteReference w:id="9"/>
      </w:r>
    </w:p>
    <w:p w14:paraId="335E4ED5" w14:textId="77777777" w:rsidR="00D306F8" w:rsidRPr="00344316" w:rsidRDefault="00D306F8" w:rsidP="00227792">
      <w:pPr>
        <w:spacing w:after="0" w:line="240" w:lineRule="auto"/>
        <w:jc w:val="both"/>
        <w:rPr>
          <w:rFonts w:asciiTheme="minorBidi" w:hAnsiTheme="minorBidi"/>
          <w:sz w:val="24"/>
          <w:szCs w:val="24"/>
        </w:rPr>
      </w:pPr>
    </w:p>
    <w:p w14:paraId="4403221D" w14:textId="7777777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R. Herzog further notes that in the post-Talmudic era, these functions were not carried out by rabbinic courts but were delegated to lay leadership. As to the reason, R. Herzog speculates that:</w:t>
      </w:r>
    </w:p>
    <w:p w14:paraId="4740791E" w14:textId="77777777" w:rsidR="00D306F8" w:rsidRPr="00344316" w:rsidRDefault="00D306F8" w:rsidP="00227792">
      <w:pPr>
        <w:spacing w:after="0" w:line="240" w:lineRule="auto"/>
        <w:jc w:val="both"/>
        <w:rPr>
          <w:rFonts w:asciiTheme="minorBidi" w:hAnsiTheme="minorBidi"/>
          <w:sz w:val="24"/>
          <w:szCs w:val="24"/>
        </w:rPr>
      </w:pPr>
    </w:p>
    <w:p w14:paraId="0F7351C9" w14:textId="7DF2B866" w:rsidR="00D306F8" w:rsidRPr="00344316" w:rsidRDefault="00D306F8" w:rsidP="00227792">
      <w:pPr>
        <w:spacing w:after="0" w:line="240" w:lineRule="auto"/>
        <w:ind w:left="720"/>
        <w:jc w:val="both"/>
        <w:rPr>
          <w:rFonts w:asciiTheme="minorBidi" w:hAnsiTheme="minorBidi"/>
          <w:sz w:val="24"/>
          <w:szCs w:val="24"/>
        </w:rPr>
      </w:pPr>
      <w:r w:rsidRPr="00344316">
        <w:rPr>
          <w:rFonts w:asciiTheme="minorBidi" w:hAnsiTheme="minorBidi"/>
          <w:sz w:val="24"/>
          <w:szCs w:val="24"/>
        </w:rPr>
        <w:t xml:space="preserve">The rabbis did not want to assume for themselves the mantle of authority to punish, and they left it for the community leaders, </w:t>
      </w:r>
      <w:r w:rsidRPr="00344316">
        <w:rPr>
          <w:rFonts w:asciiTheme="minorBidi" w:hAnsiTheme="minorBidi"/>
          <w:b/>
          <w:bCs/>
          <w:sz w:val="24"/>
          <w:szCs w:val="24"/>
        </w:rPr>
        <w:t xml:space="preserve">as if they </w:t>
      </w:r>
      <w:r w:rsidR="007278E8">
        <w:rPr>
          <w:rFonts w:asciiTheme="minorBidi" w:hAnsiTheme="minorBidi"/>
          <w:b/>
          <w:bCs/>
          <w:sz w:val="24"/>
          <w:szCs w:val="24"/>
        </w:rPr>
        <w:t>we</w:t>
      </w:r>
      <w:r w:rsidRPr="00344316">
        <w:rPr>
          <w:rFonts w:asciiTheme="minorBidi" w:hAnsiTheme="minorBidi"/>
          <w:b/>
          <w:bCs/>
          <w:sz w:val="24"/>
          <w:szCs w:val="24"/>
        </w:rPr>
        <w:t>re adjudicating royal justice</w:t>
      </w:r>
      <w:r w:rsidR="00344316">
        <w:rPr>
          <w:rFonts w:asciiTheme="minorBidi" w:hAnsiTheme="minorBidi"/>
          <w:b/>
          <w:bCs/>
          <w:sz w:val="24"/>
          <w:szCs w:val="24"/>
        </w:rPr>
        <w:t xml:space="preserve"> — m</w:t>
      </w:r>
      <w:r w:rsidRPr="00344316">
        <w:rPr>
          <w:rFonts w:asciiTheme="minorBidi" w:hAnsiTheme="minorBidi"/>
          <w:b/>
          <w:bCs/>
          <w:sz w:val="24"/>
          <w:szCs w:val="24"/>
        </w:rPr>
        <w:t>eaning, by the authority of communal leadership that took the place of monarchy in Israel.</w:t>
      </w:r>
      <w:r w:rsidRPr="00344316">
        <w:rPr>
          <w:rFonts w:asciiTheme="minorBidi" w:hAnsiTheme="minorBidi"/>
          <w:sz w:val="24"/>
          <w:szCs w:val="24"/>
        </w:rPr>
        <w:t xml:space="preserve"> (55)</w:t>
      </w:r>
    </w:p>
    <w:p w14:paraId="56155659" w14:textId="77777777" w:rsidR="00D306F8" w:rsidRPr="00344316" w:rsidRDefault="00D306F8" w:rsidP="00227792">
      <w:pPr>
        <w:spacing w:after="0" w:line="240" w:lineRule="auto"/>
        <w:jc w:val="both"/>
        <w:rPr>
          <w:rFonts w:asciiTheme="minorBidi" w:hAnsiTheme="minorBidi"/>
          <w:sz w:val="24"/>
          <w:szCs w:val="24"/>
        </w:rPr>
      </w:pPr>
    </w:p>
    <w:p w14:paraId="0B9E755E" w14:textId="22DB9F53"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In other words, in the absence of a functioning monarchy or an assertive rabbinate, other forms of communal leadership assume some of their roles, including legislation and punishment “not according to Torah.” In effect, then, R. Herzog, erases the gap between the Rambam and the Ran regarding lay control of criminal law, making the need for guiding principles </w:t>
      </w:r>
      <w:r w:rsidR="00AE6121" w:rsidRPr="00344316">
        <w:rPr>
          <w:rFonts w:asciiTheme="minorBidi" w:hAnsiTheme="minorBidi"/>
          <w:sz w:val="24"/>
          <w:szCs w:val="24"/>
        </w:rPr>
        <w:t>indispensable</w:t>
      </w:r>
      <w:r w:rsidR="00B20062" w:rsidRPr="00344316">
        <w:rPr>
          <w:rFonts w:asciiTheme="minorBidi" w:hAnsiTheme="minorBidi"/>
          <w:sz w:val="24"/>
          <w:szCs w:val="24"/>
        </w:rPr>
        <w:t xml:space="preserve"> for all</w:t>
      </w:r>
      <w:r w:rsidR="00AE6121" w:rsidRPr="00344316">
        <w:rPr>
          <w:rFonts w:asciiTheme="minorBidi" w:hAnsiTheme="minorBidi"/>
          <w:sz w:val="24"/>
          <w:szCs w:val="24"/>
        </w:rPr>
        <w:t>.</w:t>
      </w:r>
      <w:r w:rsidRPr="00344316">
        <w:rPr>
          <w:rStyle w:val="FootnoteReference"/>
          <w:rFonts w:asciiTheme="minorBidi" w:hAnsiTheme="minorBidi"/>
          <w:sz w:val="24"/>
          <w:szCs w:val="24"/>
        </w:rPr>
        <w:footnoteReference w:id="10"/>
      </w:r>
    </w:p>
    <w:p w14:paraId="5909533D" w14:textId="77777777" w:rsidR="00D306F8" w:rsidRPr="00344316" w:rsidRDefault="00D306F8" w:rsidP="00227792">
      <w:pPr>
        <w:spacing w:after="0" w:line="240" w:lineRule="auto"/>
        <w:jc w:val="both"/>
        <w:rPr>
          <w:rFonts w:asciiTheme="minorBidi" w:hAnsiTheme="minorBidi"/>
          <w:sz w:val="24"/>
          <w:szCs w:val="24"/>
        </w:rPr>
      </w:pPr>
    </w:p>
    <w:p w14:paraId="55CB3EEC" w14:textId="0C434D5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Regarding monetary law, R. Herzog fights to maintain it in the hands of the rabbinic courts and by halakhic procedure. </w:t>
      </w:r>
      <w:r w:rsidR="007278E8">
        <w:rPr>
          <w:rFonts w:asciiTheme="minorBidi" w:hAnsiTheme="minorBidi"/>
          <w:sz w:val="24"/>
          <w:szCs w:val="24"/>
        </w:rPr>
        <w:t>Still,</w:t>
      </w:r>
      <w:r w:rsidRPr="00344316">
        <w:rPr>
          <w:rFonts w:asciiTheme="minorBidi" w:hAnsiTheme="minorBidi"/>
          <w:sz w:val="24"/>
          <w:szCs w:val="24"/>
        </w:rPr>
        <w:t xml:space="preserve"> in that domain</w:t>
      </w:r>
      <w:r w:rsidR="007278E8">
        <w:rPr>
          <w:rFonts w:asciiTheme="minorBidi" w:hAnsiTheme="minorBidi"/>
          <w:sz w:val="24"/>
          <w:szCs w:val="24"/>
        </w:rPr>
        <w:t xml:space="preserve"> as well</w:t>
      </w:r>
      <w:r w:rsidRPr="00344316">
        <w:rPr>
          <w:rFonts w:asciiTheme="minorBidi" w:hAnsiTheme="minorBidi"/>
          <w:sz w:val="24"/>
          <w:szCs w:val="24"/>
        </w:rPr>
        <w:t>, R. Herzog and others explore and endorse different mechanisms that allow the State and the rabbinic courts to overcome certain halakhic restrictions, such as the invalidation of women and non-Jews as witnesses</w:t>
      </w:r>
      <w:r w:rsidR="00C65A5E" w:rsidRPr="00344316">
        <w:rPr>
          <w:rFonts w:asciiTheme="minorBidi" w:hAnsiTheme="minorBidi"/>
          <w:sz w:val="24"/>
          <w:szCs w:val="24"/>
        </w:rPr>
        <w:t xml:space="preserve"> and the general exclusion of women from inheritance</w:t>
      </w:r>
      <w:r w:rsidRPr="00344316">
        <w:rPr>
          <w:rFonts w:asciiTheme="minorBidi" w:hAnsiTheme="minorBidi"/>
          <w:sz w:val="24"/>
          <w:szCs w:val="24"/>
        </w:rPr>
        <w:t>. The end</w:t>
      </w:r>
      <w:r w:rsidR="007278E8">
        <w:rPr>
          <w:rFonts w:asciiTheme="minorBidi" w:hAnsiTheme="minorBidi"/>
          <w:sz w:val="24"/>
          <w:szCs w:val="24"/>
        </w:rPr>
        <w:t>-</w:t>
      </w:r>
      <w:r w:rsidRPr="00344316">
        <w:rPr>
          <w:rFonts w:asciiTheme="minorBidi" w:hAnsiTheme="minorBidi"/>
          <w:sz w:val="24"/>
          <w:szCs w:val="24"/>
        </w:rPr>
        <w:t>goal is to achieve</w:t>
      </w:r>
      <w:r w:rsidR="00CB1495" w:rsidRPr="00344316">
        <w:rPr>
          <w:rFonts w:asciiTheme="minorBidi" w:hAnsiTheme="minorBidi"/>
          <w:sz w:val="24"/>
          <w:szCs w:val="24"/>
        </w:rPr>
        <w:t xml:space="preserve"> a measure of</w:t>
      </w:r>
      <w:r w:rsidRPr="00344316">
        <w:rPr>
          <w:rFonts w:asciiTheme="minorBidi" w:hAnsiTheme="minorBidi"/>
          <w:sz w:val="24"/>
          <w:szCs w:val="24"/>
        </w:rPr>
        <w:t xml:space="preserve"> equality that Halakha does not legislate; the question is how to get there.</w:t>
      </w:r>
      <w:r w:rsidRPr="00344316">
        <w:rPr>
          <w:rStyle w:val="FootnoteReference"/>
          <w:rFonts w:asciiTheme="minorBidi" w:hAnsiTheme="minorBidi"/>
          <w:sz w:val="24"/>
          <w:szCs w:val="24"/>
        </w:rPr>
        <w:footnoteReference w:id="11"/>
      </w:r>
      <w:r w:rsidRPr="00344316">
        <w:rPr>
          <w:rFonts w:asciiTheme="minorBidi" w:hAnsiTheme="minorBidi"/>
          <w:sz w:val="24"/>
          <w:szCs w:val="24"/>
        </w:rPr>
        <w:t xml:space="preserve"> And while </w:t>
      </w:r>
      <w:r w:rsidRPr="00344316">
        <w:rPr>
          <w:rFonts w:asciiTheme="minorBidi" w:hAnsiTheme="minorBidi"/>
          <w:i/>
          <w:iCs/>
          <w:sz w:val="24"/>
          <w:szCs w:val="24"/>
        </w:rPr>
        <w:t>berit Avot</w:t>
      </w:r>
      <w:r w:rsidRPr="00344316">
        <w:rPr>
          <w:rFonts w:asciiTheme="minorBidi" w:hAnsiTheme="minorBidi"/>
          <w:sz w:val="24"/>
          <w:szCs w:val="24"/>
        </w:rPr>
        <w:t xml:space="preserve"> may not have been the explicit motivation for these efforts, they certainly echo the values of </w:t>
      </w:r>
      <w:r w:rsidRPr="00344316">
        <w:rPr>
          <w:rFonts w:asciiTheme="minorBidi" w:hAnsiTheme="minorBidi"/>
          <w:i/>
          <w:iCs/>
          <w:sz w:val="24"/>
          <w:szCs w:val="24"/>
        </w:rPr>
        <w:t>tzedaka u-mishpat</w:t>
      </w:r>
      <w:r w:rsidRPr="00344316">
        <w:rPr>
          <w:rFonts w:asciiTheme="minorBidi" w:hAnsiTheme="minorBidi"/>
          <w:sz w:val="24"/>
          <w:szCs w:val="24"/>
        </w:rPr>
        <w:t xml:space="preserve">. </w:t>
      </w:r>
    </w:p>
    <w:p w14:paraId="7139D5EC" w14:textId="77777777" w:rsidR="00D306F8" w:rsidRPr="00344316" w:rsidRDefault="00D306F8" w:rsidP="00227792">
      <w:pPr>
        <w:spacing w:after="0" w:line="240" w:lineRule="auto"/>
        <w:jc w:val="both"/>
        <w:rPr>
          <w:rFonts w:asciiTheme="minorBidi" w:hAnsiTheme="minorBidi"/>
          <w:sz w:val="24"/>
          <w:szCs w:val="24"/>
        </w:rPr>
      </w:pPr>
    </w:p>
    <w:p w14:paraId="52D0B80B" w14:textId="77777777" w:rsidR="00D306F8" w:rsidRPr="00344316" w:rsidRDefault="00D306F8" w:rsidP="00227792">
      <w:pPr>
        <w:spacing w:after="0" w:line="240" w:lineRule="auto"/>
        <w:jc w:val="both"/>
        <w:rPr>
          <w:rFonts w:asciiTheme="minorBidi" w:hAnsiTheme="minorBidi"/>
          <w:sz w:val="24"/>
          <w:szCs w:val="24"/>
        </w:rPr>
      </w:pPr>
    </w:p>
    <w:p w14:paraId="2C315AD5" w14:textId="45B8C17B" w:rsidR="00D306F8" w:rsidRPr="00344316" w:rsidRDefault="00D306F8" w:rsidP="00227792">
      <w:pPr>
        <w:spacing w:after="0" w:line="240" w:lineRule="auto"/>
        <w:jc w:val="both"/>
        <w:rPr>
          <w:rFonts w:asciiTheme="minorBidi" w:hAnsiTheme="minorBidi"/>
          <w:b/>
          <w:bCs/>
          <w:i/>
          <w:iCs/>
          <w:sz w:val="24"/>
          <w:szCs w:val="24"/>
        </w:rPr>
      </w:pPr>
      <w:r w:rsidRPr="00344316">
        <w:rPr>
          <w:rFonts w:asciiTheme="minorBidi" w:hAnsiTheme="minorBidi"/>
          <w:b/>
          <w:bCs/>
          <w:i/>
          <w:iCs/>
          <w:sz w:val="24"/>
          <w:szCs w:val="24"/>
        </w:rPr>
        <w:t>Takkanot Ha-</w:t>
      </w:r>
      <w:r w:rsidR="00344316">
        <w:rPr>
          <w:rFonts w:asciiTheme="minorBidi" w:hAnsiTheme="minorBidi"/>
          <w:b/>
          <w:bCs/>
          <w:i/>
          <w:iCs/>
          <w:sz w:val="24"/>
          <w:szCs w:val="24"/>
        </w:rPr>
        <w:t>k</w:t>
      </w:r>
      <w:r w:rsidRPr="00344316">
        <w:rPr>
          <w:rFonts w:asciiTheme="minorBidi" w:hAnsiTheme="minorBidi"/>
          <w:b/>
          <w:bCs/>
          <w:i/>
          <w:iCs/>
          <w:sz w:val="24"/>
          <w:szCs w:val="24"/>
        </w:rPr>
        <w:t>ahal</w:t>
      </w:r>
    </w:p>
    <w:p w14:paraId="7C76793D" w14:textId="77777777" w:rsidR="00D306F8" w:rsidRPr="00344316" w:rsidRDefault="00D306F8" w:rsidP="00227792">
      <w:pPr>
        <w:spacing w:after="0" w:line="240" w:lineRule="auto"/>
        <w:jc w:val="both"/>
        <w:rPr>
          <w:rFonts w:asciiTheme="minorBidi" w:hAnsiTheme="minorBidi"/>
          <w:sz w:val="24"/>
          <w:szCs w:val="24"/>
        </w:rPr>
      </w:pPr>
    </w:p>
    <w:p w14:paraId="68160D86" w14:textId="3F074F25"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lastRenderedPageBreak/>
        <w:t xml:space="preserve">An alternative halakhic basis for governmental authority in Israel is the historical precedent of </w:t>
      </w:r>
      <w:r w:rsidRPr="00344316">
        <w:rPr>
          <w:rFonts w:asciiTheme="minorBidi" w:hAnsiTheme="minorBidi"/>
          <w:i/>
          <w:iCs/>
          <w:sz w:val="24"/>
          <w:szCs w:val="24"/>
        </w:rPr>
        <w:t>takkanot ha-kahal</w:t>
      </w:r>
      <w:r w:rsidRPr="00344316">
        <w:rPr>
          <w:rFonts w:asciiTheme="minorBidi" w:hAnsiTheme="minorBidi"/>
          <w:sz w:val="24"/>
          <w:szCs w:val="24"/>
        </w:rPr>
        <w:t xml:space="preserve">, legislation by a lay governing council for </w:t>
      </w:r>
      <w:r w:rsidR="00582FD1" w:rsidRPr="00344316">
        <w:rPr>
          <w:rFonts w:asciiTheme="minorBidi" w:hAnsiTheme="minorBidi"/>
          <w:sz w:val="24"/>
          <w:szCs w:val="24"/>
        </w:rPr>
        <w:t>the</w:t>
      </w:r>
      <w:r w:rsidRPr="00344316">
        <w:rPr>
          <w:rFonts w:asciiTheme="minorBidi" w:hAnsiTheme="minorBidi"/>
          <w:sz w:val="24"/>
          <w:szCs w:val="24"/>
        </w:rPr>
        <w:t xml:space="preserve"> Jewish community.</w:t>
      </w:r>
      <w:r w:rsidRPr="00344316">
        <w:rPr>
          <w:rStyle w:val="FootnoteReference"/>
          <w:rFonts w:asciiTheme="minorBidi" w:hAnsiTheme="minorBidi"/>
          <w:sz w:val="24"/>
          <w:szCs w:val="24"/>
        </w:rPr>
        <w:footnoteReference w:id="12"/>
      </w:r>
      <w:r w:rsidR="00344316">
        <w:rPr>
          <w:rFonts w:asciiTheme="minorBidi" w:hAnsiTheme="minorBidi"/>
          <w:sz w:val="24"/>
          <w:szCs w:val="24"/>
        </w:rPr>
        <w:t xml:space="preserve"> </w:t>
      </w:r>
      <w:r w:rsidRPr="00344316">
        <w:rPr>
          <w:rFonts w:asciiTheme="minorBidi" w:hAnsiTheme="minorBidi"/>
          <w:sz w:val="24"/>
          <w:szCs w:val="24"/>
        </w:rPr>
        <w:t xml:space="preserve">As many have observed, the phenomenon has roots in the Talmudic period (see </w:t>
      </w:r>
      <w:r w:rsidRPr="00344316">
        <w:rPr>
          <w:rFonts w:asciiTheme="minorBidi" w:hAnsiTheme="minorBidi"/>
          <w:i/>
          <w:iCs/>
          <w:sz w:val="24"/>
          <w:szCs w:val="24"/>
        </w:rPr>
        <w:t>Bava Batra</w:t>
      </w:r>
      <w:r w:rsidRPr="00344316">
        <w:rPr>
          <w:rFonts w:asciiTheme="minorBidi" w:hAnsiTheme="minorBidi"/>
          <w:sz w:val="24"/>
          <w:szCs w:val="24"/>
        </w:rPr>
        <w:t xml:space="preserve"> 8b) but expanded </w:t>
      </w:r>
      <w:r w:rsidR="00D31C5B" w:rsidRPr="00344316">
        <w:rPr>
          <w:rFonts w:asciiTheme="minorBidi" w:hAnsiTheme="minorBidi"/>
          <w:sz w:val="24"/>
          <w:szCs w:val="24"/>
        </w:rPr>
        <w:t xml:space="preserve">greatly </w:t>
      </w:r>
      <w:r w:rsidRPr="00344316">
        <w:rPr>
          <w:rFonts w:asciiTheme="minorBidi" w:hAnsiTheme="minorBidi"/>
          <w:sz w:val="24"/>
          <w:szCs w:val="24"/>
        </w:rPr>
        <w:t xml:space="preserve">in the </w:t>
      </w:r>
      <w:r w:rsidR="000129B7" w:rsidRPr="00344316">
        <w:rPr>
          <w:rFonts w:asciiTheme="minorBidi" w:hAnsiTheme="minorBidi"/>
          <w:sz w:val="24"/>
          <w:szCs w:val="24"/>
        </w:rPr>
        <w:t>m</w:t>
      </w:r>
      <w:r w:rsidRPr="00344316">
        <w:rPr>
          <w:rFonts w:asciiTheme="minorBidi" w:hAnsiTheme="minorBidi"/>
          <w:sz w:val="24"/>
          <w:szCs w:val="24"/>
        </w:rPr>
        <w:t>edieval era.</w:t>
      </w:r>
      <w:r w:rsidRPr="00344316">
        <w:rPr>
          <w:rStyle w:val="FootnoteReference"/>
          <w:rFonts w:asciiTheme="minorBidi" w:hAnsiTheme="minorBidi"/>
          <w:sz w:val="24"/>
          <w:szCs w:val="24"/>
        </w:rPr>
        <w:footnoteReference w:id="13"/>
      </w:r>
      <w:r w:rsidRPr="00344316">
        <w:rPr>
          <w:rFonts w:asciiTheme="minorBidi" w:hAnsiTheme="minorBidi"/>
          <w:sz w:val="24"/>
          <w:szCs w:val="24"/>
        </w:rPr>
        <w:t xml:space="preserve"> Halakhists consistently respect this lay authority and its non-halakhic ordinances, even though they offer different rationales for its basis.</w:t>
      </w:r>
      <w:r w:rsidRPr="00344316">
        <w:rPr>
          <w:rStyle w:val="FootnoteReference"/>
          <w:rFonts w:asciiTheme="minorBidi" w:hAnsiTheme="minorBidi"/>
          <w:sz w:val="24"/>
          <w:szCs w:val="24"/>
        </w:rPr>
        <w:footnoteReference w:id="14"/>
      </w:r>
      <w:r w:rsidRPr="00344316">
        <w:rPr>
          <w:rFonts w:asciiTheme="minorBidi" w:hAnsiTheme="minorBidi"/>
          <w:sz w:val="24"/>
          <w:szCs w:val="24"/>
        </w:rPr>
        <w:t xml:space="preserve"> </w:t>
      </w:r>
    </w:p>
    <w:p w14:paraId="3111AAF7" w14:textId="77777777" w:rsidR="00D306F8" w:rsidRPr="00344316" w:rsidRDefault="00D306F8" w:rsidP="00227792">
      <w:pPr>
        <w:spacing w:after="0" w:line="240" w:lineRule="auto"/>
        <w:jc w:val="both"/>
        <w:rPr>
          <w:rFonts w:asciiTheme="minorBidi" w:hAnsiTheme="minorBidi"/>
          <w:sz w:val="24"/>
          <w:szCs w:val="24"/>
        </w:rPr>
      </w:pPr>
    </w:p>
    <w:p w14:paraId="0DD8A50B" w14:textId="594C7BED"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At the same time, </w:t>
      </w:r>
      <w:r w:rsidR="00F90D67" w:rsidRPr="00344316">
        <w:rPr>
          <w:rFonts w:asciiTheme="minorBidi" w:hAnsiTheme="minorBidi"/>
          <w:sz w:val="24"/>
          <w:szCs w:val="24"/>
        </w:rPr>
        <w:t>rabbinic leaders</w:t>
      </w:r>
      <w:r w:rsidRPr="00344316">
        <w:rPr>
          <w:rFonts w:asciiTheme="minorBidi" w:hAnsiTheme="minorBidi"/>
          <w:sz w:val="24"/>
          <w:szCs w:val="24"/>
        </w:rPr>
        <w:t xml:space="preserve"> provide a level of oversight, including a check that the ordinances are fair and ethical. Prof. Menachem Elon writes that </w:t>
      </w:r>
      <w:r w:rsidR="00F90D67" w:rsidRPr="00344316">
        <w:rPr>
          <w:rFonts w:asciiTheme="minorBidi" w:hAnsiTheme="minorBidi"/>
          <w:sz w:val="24"/>
          <w:szCs w:val="24"/>
        </w:rPr>
        <w:t>the rabbis</w:t>
      </w:r>
      <w:r w:rsidRPr="00344316">
        <w:rPr>
          <w:rFonts w:asciiTheme="minorBidi" w:hAnsiTheme="minorBidi"/>
          <w:sz w:val="24"/>
          <w:szCs w:val="24"/>
        </w:rPr>
        <w:t xml:space="preserve"> maintained the authority</w:t>
      </w:r>
    </w:p>
    <w:p w14:paraId="4B404C45" w14:textId="77777777" w:rsidR="00D306F8" w:rsidRPr="00344316" w:rsidRDefault="00D306F8" w:rsidP="00227792">
      <w:pPr>
        <w:spacing w:after="0" w:line="240" w:lineRule="auto"/>
        <w:jc w:val="both"/>
        <w:rPr>
          <w:rFonts w:asciiTheme="minorBidi" w:hAnsiTheme="minorBidi"/>
          <w:sz w:val="24"/>
          <w:szCs w:val="24"/>
        </w:rPr>
      </w:pPr>
    </w:p>
    <w:p w14:paraId="7CBAD286" w14:textId="663B1D6B" w:rsidR="00D306F8" w:rsidRPr="00344316" w:rsidRDefault="0094499E" w:rsidP="00227792">
      <w:pPr>
        <w:spacing w:after="0" w:line="240" w:lineRule="auto"/>
        <w:ind w:left="720"/>
        <w:jc w:val="both"/>
        <w:rPr>
          <w:rFonts w:asciiTheme="minorBidi" w:hAnsiTheme="minorBidi"/>
          <w:sz w:val="24"/>
          <w:szCs w:val="24"/>
        </w:rPr>
      </w:pPr>
      <w:r>
        <w:rPr>
          <w:rFonts w:asciiTheme="minorBidi" w:hAnsiTheme="minorBidi"/>
          <w:sz w:val="24"/>
          <w:szCs w:val="24"/>
        </w:rPr>
        <w:t>t</w:t>
      </w:r>
      <w:r w:rsidR="00D306F8" w:rsidRPr="00344316">
        <w:rPr>
          <w:rFonts w:asciiTheme="minorBidi" w:hAnsiTheme="minorBidi"/>
          <w:sz w:val="24"/>
          <w:szCs w:val="24"/>
        </w:rPr>
        <w:t>o review such enactments in order to ensure that they would not</w:t>
      </w:r>
      <w:r>
        <w:rPr>
          <w:rFonts w:asciiTheme="minorBidi" w:hAnsiTheme="minorBidi"/>
          <w:sz w:val="24"/>
          <w:szCs w:val="24"/>
        </w:rPr>
        <w:t xml:space="preserve"> </w:t>
      </w:r>
      <w:r w:rsidR="00D306F8" w:rsidRPr="00344316">
        <w:rPr>
          <w:rFonts w:asciiTheme="minorBidi" w:hAnsiTheme="minorBidi"/>
          <w:sz w:val="24"/>
          <w:szCs w:val="24"/>
        </w:rPr>
        <w:t>—</w:t>
      </w:r>
      <w:r>
        <w:rPr>
          <w:rFonts w:asciiTheme="minorBidi" w:hAnsiTheme="minorBidi"/>
          <w:sz w:val="24"/>
          <w:szCs w:val="24"/>
        </w:rPr>
        <w:t xml:space="preserve"> </w:t>
      </w:r>
      <w:r w:rsidR="00D306F8" w:rsidRPr="00344316">
        <w:rPr>
          <w:rFonts w:asciiTheme="minorBidi" w:hAnsiTheme="minorBidi"/>
          <w:sz w:val="24"/>
          <w:szCs w:val="24"/>
        </w:rPr>
        <w:t>as current Israeli terminology would express it</w:t>
      </w:r>
      <w:r>
        <w:rPr>
          <w:rFonts w:asciiTheme="minorBidi" w:hAnsiTheme="minorBidi"/>
          <w:sz w:val="24"/>
          <w:szCs w:val="24"/>
        </w:rPr>
        <w:t xml:space="preserve"> </w:t>
      </w:r>
      <w:r w:rsidR="00D306F8" w:rsidRPr="00344316">
        <w:rPr>
          <w:rFonts w:asciiTheme="minorBidi" w:hAnsiTheme="minorBidi"/>
          <w:sz w:val="24"/>
          <w:szCs w:val="24"/>
        </w:rPr>
        <w:t>—</w:t>
      </w:r>
      <w:r>
        <w:rPr>
          <w:rFonts w:asciiTheme="minorBidi" w:hAnsiTheme="minorBidi"/>
          <w:sz w:val="24"/>
          <w:szCs w:val="24"/>
        </w:rPr>
        <w:t xml:space="preserve"> </w:t>
      </w:r>
      <w:r w:rsidR="00D306F8" w:rsidRPr="00344316">
        <w:rPr>
          <w:rFonts w:asciiTheme="minorBidi" w:hAnsiTheme="minorBidi"/>
          <w:sz w:val="24"/>
          <w:szCs w:val="24"/>
        </w:rPr>
        <w:t>violate the general principles of justice [</w:t>
      </w:r>
      <w:r w:rsidR="00D306F8" w:rsidRPr="00344316">
        <w:rPr>
          <w:rFonts w:asciiTheme="minorBidi" w:hAnsiTheme="minorBidi"/>
          <w:i/>
          <w:iCs/>
          <w:sz w:val="24"/>
          <w:szCs w:val="24"/>
        </w:rPr>
        <w:t>tzedek</w:t>
      </w:r>
      <w:r w:rsidR="00D306F8" w:rsidRPr="00344316">
        <w:rPr>
          <w:rFonts w:asciiTheme="minorBidi" w:hAnsiTheme="minorBidi"/>
          <w:sz w:val="24"/>
          <w:szCs w:val="24"/>
        </w:rPr>
        <w:t>] and equity [</w:t>
      </w:r>
      <w:r w:rsidR="00D306F8" w:rsidRPr="00344316">
        <w:rPr>
          <w:rFonts w:asciiTheme="minorBidi" w:hAnsiTheme="minorBidi"/>
          <w:i/>
          <w:iCs/>
          <w:sz w:val="24"/>
          <w:szCs w:val="24"/>
        </w:rPr>
        <w:t>yosher</w:t>
      </w:r>
      <w:r w:rsidR="00D306F8" w:rsidRPr="00344316">
        <w:rPr>
          <w:rFonts w:asciiTheme="minorBidi" w:hAnsiTheme="minorBidi"/>
          <w:sz w:val="24"/>
          <w:szCs w:val="24"/>
        </w:rPr>
        <w:t>] embodied in Jewish law</w:t>
      </w:r>
      <w:r w:rsidR="0098626C" w:rsidRPr="00344316">
        <w:rPr>
          <w:rFonts w:asciiTheme="minorBidi" w:hAnsiTheme="minorBidi"/>
          <w:sz w:val="24"/>
          <w:szCs w:val="24"/>
        </w:rPr>
        <w:t>.</w:t>
      </w:r>
    </w:p>
    <w:p w14:paraId="262B4841" w14:textId="77777777" w:rsidR="00D306F8" w:rsidRPr="00344316" w:rsidRDefault="00D306F8" w:rsidP="00227792">
      <w:pPr>
        <w:spacing w:after="0" w:line="240" w:lineRule="auto"/>
        <w:ind w:left="720"/>
        <w:jc w:val="both"/>
        <w:rPr>
          <w:rFonts w:asciiTheme="minorBidi" w:hAnsiTheme="minorBidi"/>
          <w:sz w:val="24"/>
          <w:szCs w:val="24"/>
        </w:rPr>
      </w:pPr>
    </w:p>
    <w:p w14:paraId="657FBCE7" w14:textId="7777777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Prof. Elon continues:</w:t>
      </w:r>
    </w:p>
    <w:p w14:paraId="707EDB35" w14:textId="77777777" w:rsidR="00D306F8" w:rsidRPr="00344316" w:rsidRDefault="00D306F8" w:rsidP="00227792">
      <w:pPr>
        <w:spacing w:after="0" w:line="240" w:lineRule="auto"/>
        <w:ind w:left="720"/>
        <w:jc w:val="both"/>
        <w:rPr>
          <w:rFonts w:asciiTheme="minorBidi" w:hAnsiTheme="minorBidi"/>
          <w:sz w:val="24"/>
          <w:szCs w:val="24"/>
        </w:rPr>
      </w:pPr>
    </w:p>
    <w:p w14:paraId="4DAC72AB" w14:textId="79DB0312" w:rsidR="00D306F8" w:rsidRPr="00344316" w:rsidRDefault="00D306F8" w:rsidP="00227792">
      <w:pPr>
        <w:spacing w:after="0" w:line="240" w:lineRule="auto"/>
        <w:ind w:left="720"/>
        <w:jc w:val="both"/>
        <w:rPr>
          <w:rFonts w:asciiTheme="minorBidi" w:hAnsiTheme="minorBidi"/>
          <w:sz w:val="24"/>
          <w:szCs w:val="24"/>
        </w:rPr>
      </w:pPr>
      <w:r w:rsidRPr="00344316">
        <w:rPr>
          <w:rFonts w:asciiTheme="minorBidi" w:hAnsiTheme="minorBidi"/>
          <w:sz w:val="24"/>
          <w:szCs w:val="24"/>
        </w:rPr>
        <w:t xml:space="preserve">It is true, as we have seen, that a communal enactment may conflict with the substance of a particular halakhic rule, and the halakhic authorities accepted the result. However, communal enactments could not violate the basic principles underlying the entire Jewish legal system, </w:t>
      </w:r>
      <w:r w:rsidRPr="000C2002">
        <w:rPr>
          <w:rFonts w:asciiTheme="minorBidi" w:hAnsiTheme="minorBidi"/>
          <w:sz w:val="24"/>
          <w:szCs w:val="24"/>
        </w:rPr>
        <w:t>e.g.</w:t>
      </w:r>
      <w:r w:rsidRPr="0094499E">
        <w:rPr>
          <w:rFonts w:asciiTheme="minorBidi" w:hAnsiTheme="minorBidi"/>
          <w:sz w:val="24"/>
          <w:szCs w:val="24"/>
        </w:rPr>
        <w:t>,</w:t>
      </w:r>
      <w:r w:rsidRPr="00344316">
        <w:rPr>
          <w:rFonts w:asciiTheme="minorBidi" w:hAnsiTheme="minorBidi"/>
          <w:sz w:val="24"/>
          <w:szCs w:val="24"/>
        </w:rPr>
        <w:t xml:space="preserve"> equality before the law, the protection of minority rights and the rights of the disadvantaged, and the aspiration to improve social discipline and the social order.</w:t>
      </w:r>
      <w:r w:rsidR="00E14FE6" w:rsidRPr="00344316">
        <w:rPr>
          <w:rFonts w:asciiTheme="minorBidi" w:hAnsiTheme="minorBidi"/>
          <w:sz w:val="24"/>
          <w:szCs w:val="24"/>
        </w:rPr>
        <w:t xml:space="preserve"> (</w:t>
      </w:r>
      <w:r w:rsidR="00A4737D" w:rsidRPr="00344316">
        <w:rPr>
          <w:rFonts w:asciiTheme="minorBidi" w:hAnsiTheme="minorBidi"/>
          <w:i/>
          <w:iCs/>
          <w:sz w:val="24"/>
          <w:szCs w:val="24"/>
        </w:rPr>
        <w:t>Jewish Law</w:t>
      </w:r>
      <w:r w:rsidR="00A4737D" w:rsidRPr="00344316">
        <w:rPr>
          <w:rFonts w:asciiTheme="minorBidi" w:hAnsiTheme="minorBidi"/>
          <w:sz w:val="24"/>
          <w:szCs w:val="24"/>
        </w:rPr>
        <w:t xml:space="preserve">, </w:t>
      </w:r>
      <w:r w:rsidR="00F47DDF" w:rsidRPr="00344316">
        <w:rPr>
          <w:rFonts w:asciiTheme="minorBidi" w:hAnsiTheme="minorBidi"/>
          <w:sz w:val="24"/>
          <w:szCs w:val="24"/>
        </w:rPr>
        <w:t xml:space="preserve">Vol. 2, </w:t>
      </w:r>
      <w:r w:rsidR="00E14FE6" w:rsidRPr="00344316">
        <w:rPr>
          <w:rFonts w:asciiTheme="minorBidi" w:hAnsiTheme="minorBidi"/>
          <w:sz w:val="24"/>
          <w:szCs w:val="24"/>
        </w:rPr>
        <w:t>760)</w:t>
      </w:r>
    </w:p>
    <w:p w14:paraId="6BB7F20B" w14:textId="77777777" w:rsidR="00D306F8" w:rsidRPr="00344316" w:rsidRDefault="00D306F8" w:rsidP="00227792">
      <w:pPr>
        <w:spacing w:after="0" w:line="240" w:lineRule="auto"/>
        <w:jc w:val="both"/>
        <w:rPr>
          <w:rFonts w:asciiTheme="minorBidi" w:hAnsiTheme="minorBidi"/>
          <w:sz w:val="24"/>
          <w:szCs w:val="24"/>
        </w:rPr>
      </w:pPr>
    </w:p>
    <w:p w14:paraId="0ACD8DBB" w14:textId="17C24BBE"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In other words, lay, non-halakhic legislation was also held up to the bar of Jewish ethical values. It was not enough for enactments </w:t>
      </w:r>
      <w:r w:rsidR="0094499E">
        <w:rPr>
          <w:rFonts w:asciiTheme="minorBidi" w:hAnsiTheme="minorBidi"/>
          <w:sz w:val="24"/>
          <w:szCs w:val="24"/>
        </w:rPr>
        <w:t xml:space="preserve">not </w:t>
      </w:r>
      <w:r w:rsidRPr="00344316">
        <w:rPr>
          <w:rFonts w:asciiTheme="minorBidi" w:hAnsiTheme="minorBidi"/>
          <w:sz w:val="24"/>
          <w:szCs w:val="24"/>
        </w:rPr>
        <w:t xml:space="preserve">to contradict or undermine Jewish law; they also had to reflect its ethos, even when there was no direct tension. </w:t>
      </w:r>
    </w:p>
    <w:p w14:paraId="0AC2EA9F" w14:textId="77777777" w:rsidR="00D306F8" w:rsidRPr="00344316" w:rsidRDefault="00D306F8" w:rsidP="00227792">
      <w:pPr>
        <w:spacing w:after="0" w:line="240" w:lineRule="auto"/>
        <w:jc w:val="both"/>
        <w:rPr>
          <w:rFonts w:asciiTheme="minorBidi" w:hAnsiTheme="minorBidi"/>
          <w:sz w:val="24"/>
          <w:szCs w:val="24"/>
        </w:rPr>
      </w:pPr>
    </w:p>
    <w:p w14:paraId="72AF8543" w14:textId="74540335"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I believe that we can maintain similar expectations for our own communal policies, whether those of a local synagogue board or of the Israeli Knesset. Specifically, I propose that fairness and beneficence were not introduced to the world by Enlightenment</w:t>
      </w:r>
      <w:r w:rsidR="0094499E">
        <w:rPr>
          <w:rFonts w:asciiTheme="minorBidi" w:hAnsiTheme="minorBidi"/>
          <w:sz w:val="24"/>
          <w:szCs w:val="24"/>
        </w:rPr>
        <w:t>-</w:t>
      </w:r>
      <w:r w:rsidRPr="00344316">
        <w:rPr>
          <w:rFonts w:asciiTheme="minorBidi" w:hAnsiTheme="minorBidi"/>
          <w:sz w:val="24"/>
          <w:szCs w:val="24"/>
        </w:rPr>
        <w:t xml:space="preserve">era politics but are fundamentally Jewish priorities, on the basis of </w:t>
      </w:r>
      <w:r w:rsidRPr="00344316">
        <w:rPr>
          <w:rFonts w:asciiTheme="minorBidi" w:hAnsiTheme="minorBidi"/>
          <w:i/>
          <w:iCs/>
          <w:sz w:val="24"/>
          <w:szCs w:val="24"/>
        </w:rPr>
        <w:t>berit Avot</w:t>
      </w:r>
      <w:r w:rsidRPr="00344316">
        <w:rPr>
          <w:rFonts w:asciiTheme="minorBidi" w:hAnsiTheme="minorBidi"/>
          <w:sz w:val="24"/>
          <w:szCs w:val="24"/>
        </w:rPr>
        <w:t xml:space="preserve"> and as encapsulated by the law. Admittedly, the examples that Prof. Elon cites (</w:t>
      </w:r>
      <w:r w:rsidR="00296391" w:rsidRPr="00344316">
        <w:rPr>
          <w:rFonts w:asciiTheme="minorBidi" w:hAnsiTheme="minorBidi"/>
          <w:sz w:val="24"/>
          <w:szCs w:val="24"/>
        </w:rPr>
        <w:t xml:space="preserve">pp. </w:t>
      </w:r>
      <w:r w:rsidRPr="00344316">
        <w:rPr>
          <w:rFonts w:asciiTheme="minorBidi" w:hAnsiTheme="minorBidi"/>
          <w:sz w:val="24"/>
          <w:szCs w:val="24"/>
        </w:rPr>
        <w:t xml:space="preserve">760-777) do not contain references to </w:t>
      </w:r>
      <w:r w:rsidRPr="00344316">
        <w:rPr>
          <w:rFonts w:asciiTheme="minorBidi" w:hAnsiTheme="minorBidi"/>
          <w:i/>
          <w:iCs/>
          <w:sz w:val="24"/>
          <w:szCs w:val="24"/>
        </w:rPr>
        <w:t>berit Avot</w:t>
      </w:r>
      <w:r w:rsidRPr="00344316">
        <w:rPr>
          <w:rFonts w:asciiTheme="minorBidi" w:hAnsiTheme="minorBidi"/>
          <w:sz w:val="24"/>
          <w:szCs w:val="24"/>
        </w:rPr>
        <w:t xml:space="preserve">. Still, in our own spheres, I believe that appeal to </w:t>
      </w:r>
      <w:r w:rsidRPr="00344316">
        <w:rPr>
          <w:rFonts w:asciiTheme="minorBidi" w:hAnsiTheme="minorBidi"/>
          <w:i/>
          <w:iCs/>
          <w:sz w:val="24"/>
          <w:szCs w:val="24"/>
        </w:rPr>
        <w:t>tzedaka u-mishpat</w:t>
      </w:r>
      <w:r w:rsidRPr="00344316">
        <w:rPr>
          <w:rFonts w:asciiTheme="minorBidi" w:hAnsiTheme="minorBidi"/>
          <w:sz w:val="24"/>
          <w:szCs w:val="24"/>
        </w:rPr>
        <w:t xml:space="preserve"> and the legacy of Avraham can sometimes give voice to a moral impulse that we </w:t>
      </w:r>
      <w:r w:rsidR="00401608" w:rsidRPr="00344316">
        <w:rPr>
          <w:rFonts w:asciiTheme="minorBidi" w:hAnsiTheme="minorBidi"/>
          <w:sz w:val="24"/>
          <w:szCs w:val="24"/>
        </w:rPr>
        <w:t xml:space="preserve">otherwise </w:t>
      </w:r>
      <w:r w:rsidRPr="00344316">
        <w:rPr>
          <w:rFonts w:asciiTheme="minorBidi" w:hAnsiTheme="minorBidi"/>
          <w:sz w:val="24"/>
          <w:szCs w:val="24"/>
        </w:rPr>
        <w:t>struggle to articulate or annotate.</w:t>
      </w:r>
    </w:p>
    <w:p w14:paraId="529861AF" w14:textId="77777777" w:rsidR="00D306F8" w:rsidRPr="00344316" w:rsidRDefault="00D306F8" w:rsidP="00227792">
      <w:pPr>
        <w:spacing w:after="0" w:line="240" w:lineRule="auto"/>
        <w:jc w:val="both"/>
        <w:rPr>
          <w:rFonts w:asciiTheme="minorBidi" w:hAnsiTheme="minorBidi"/>
          <w:sz w:val="24"/>
          <w:szCs w:val="24"/>
        </w:rPr>
      </w:pPr>
    </w:p>
    <w:p w14:paraId="3AE86AA4" w14:textId="4E3AF987" w:rsidR="00D306F8" w:rsidRPr="00344316"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lastRenderedPageBreak/>
        <w:t>Communal enactments (</w:t>
      </w:r>
      <w:r w:rsidRPr="00344316">
        <w:rPr>
          <w:rFonts w:asciiTheme="minorBidi" w:hAnsiTheme="minorBidi"/>
          <w:i/>
          <w:iCs/>
          <w:sz w:val="24"/>
          <w:szCs w:val="24"/>
        </w:rPr>
        <w:t>takanot ha-kahal</w:t>
      </w:r>
      <w:r w:rsidRPr="00344316">
        <w:rPr>
          <w:rFonts w:asciiTheme="minorBidi" w:hAnsiTheme="minorBidi"/>
          <w:sz w:val="24"/>
          <w:szCs w:val="24"/>
        </w:rPr>
        <w:t xml:space="preserve">) may not be restricted by Halakha (as long as they do not contradict it), but they still have to embody and conform to a Jewish ethos whose hallmarks are equity and generosity. Similarly, even if the State of Israel can find its way around some of the formal restrictions of </w:t>
      </w:r>
      <w:r w:rsidRPr="00344316">
        <w:rPr>
          <w:rFonts w:asciiTheme="minorBidi" w:hAnsiTheme="minorBidi"/>
          <w:i/>
          <w:iCs/>
          <w:sz w:val="24"/>
          <w:szCs w:val="24"/>
        </w:rPr>
        <w:t>berit Sinai</w:t>
      </w:r>
      <w:r w:rsidRPr="00344316">
        <w:rPr>
          <w:rFonts w:asciiTheme="minorBidi" w:hAnsiTheme="minorBidi"/>
          <w:sz w:val="24"/>
          <w:szCs w:val="24"/>
        </w:rPr>
        <w:t xml:space="preserve">, it should always seek to reflect the spirit of </w:t>
      </w:r>
      <w:r w:rsidRPr="00344316">
        <w:rPr>
          <w:rFonts w:asciiTheme="minorBidi" w:hAnsiTheme="minorBidi"/>
          <w:i/>
          <w:iCs/>
          <w:sz w:val="24"/>
          <w:szCs w:val="24"/>
        </w:rPr>
        <w:t>berit Avot</w:t>
      </w:r>
      <w:r w:rsidRPr="00344316">
        <w:rPr>
          <w:rFonts w:asciiTheme="minorBidi" w:hAnsiTheme="minorBidi"/>
          <w:sz w:val="24"/>
          <w:szCs w:val="24"/>
        </w:rPr>
        <w:t>, which is essential to its Jewish character. Just as in the private domain, any</w:t>
      </w:r>
      <w:r w:rsidR="007B24F0" w:rsidRPr="00344316">
        <w:rPr>
          <w:rFonts w:asciiTheme="minorBidi" w:hAnsiTheme="minorBidi"/>
          <w:sz w:val="24"/>
          <w:szCs w:val="24"/>
        </w:rPr>
        <w:t xml:space="preserve">one </w:t>
      </w:r>
      <w:r w:rsidRPr="00344316">
        <w:rPr>
          <w:rFonts w:asciiTheme="minorBidi" w:hAnsiTheme="minorBidi"/>
          <w:sz w:val="24"/>
          <w:szCs w:val="24"/>
        </w:rPr>
        <w:t>involved in Jewish public life and policy</w:t>
      </w:r>
      <w:r w:rsidR="00344316">
        <w:rPr>
          <w:rFonts w:asciiTheme="minorBidi" w:hAnsiTheme="minorBidi"/>
          <w:sz w:val="24"/>
          <w:szCs w:val="24"/>
        </w:rPr>
        <w:t xml:space="preserve"> — w</w:t>
      </w:r>
      <w:r w:rsidRPr="00344316">
        <w:rPr>
          <w:rFonts w:asciiTheme="minorBidi" w:hAnsiTheme="minorBidi"/>
          <w:sz w:val="24"/>
          <w:szCs w:val="24"/>
        </w:rPr>
        <w:t xml:space="preserve">hether as a participant in a local Jewish Federation chapter or as a member of the Israeli Knesset; whether strictly observant or completely unaffiliated; whether identifying with the full glory of </w:t>
      </w:r>
      <w:r w:rsidRPr="00344316">
        <w:rPr>
          <w:rFonts w:asciiTheme="minorBidi" w:hAnsiTheme="minorBidi"/>
          <w:i/>
          <w:iCs/>
          <w:sz w:val="24"/>
          <w:szCs w:val="24"/>
        </w:rPr>
        <w:t>berit Sinai</w:t>
      </w:r>
      <w:r w:rsidRPr="00344316">
        <w:rPr>
          <w:rFonts w:asciiTheme="minorBidi" w:hAnsiTheme="minorBidi"/>
          <w:sz w:val="24"/>
          <w:szCs w:val="24"/>
        </w:rPr>
        <w:t xml:space="preserve"> or with nothing more than Jewish ancestry</w:t>
      </w:r>
      <w:r w:rsidR="00344316">
        <w:rPr>
          <w:rFonts w:asciiTheme="minorBidi" w:hAnsiTheme="minorBidi"/>
          <w:sz w:val="24"/>
          <w:szCs w:val="24"/>
        </w:rPr>
        <w:t xml:space="preserve"> — m</w:t>
      </w:r>
      <w:r w:rsidRPr="00344316">
        <w:rPr>
          <w:rFonts w:asciiTheme="minorBidi" w:hAnsiTheme="minorBidi"/>
          <w:sz w:val="24"/>
          <w:szCs w:val="24"/>
        </w:rPr>
        <w:t>ust consistently ask him</w:t>
      </w:r>
      <w:r w:rsidR="00344316">
        <w:rPr>
          <w:rFonts w:asciiTheme="minorBidi" w:hAnsiTheme="minorBidi"/>
          <w:sz w:val="24"/>
          <w:szCs w:val="24"/>
        </w:rPr>
        <w:t>self</w:t>
      </w:r>
      <w:r w:rsidRPr="00344316">
        <w:rPr>
          <w:rFonts w:asciiTheme="minorBidi" w:hAnsiTheme="minorBidi"/>
          <w:sz w:val="24"/>
          <w:szCs w:val="24"/>
        </w:rPr>
        <w:t xml:space="preserve"> or herself: What would Avraham do? </w:t>
      </w:r>
    </w:p>
    <w:p w14:paraId="6EF4B7D4" w14:textId="5D0D0280" w:rsidR="00D306F8" w:rsidRDefault="00D306F8" w:rsidP="00227792">
      <w:pPr>
        <w:spacing w:after="0" w:line="240" w:lineRule="auto"/>
        <w:jc w:val="both"/>
        <w:rPr>
          <w:rFonts w:asciiTheme="minorBidi" w:hAnsiTheme="minorBidi"/>
          <w:sz w:val="24"/>
          <w:szCs w:val="24"/>
        </w:rPr>
      </w:pPr>
    </w:p>
    <w:p w14:paraId="237E63FC" w14:textId="77777777" w:rsidR="00344316" w:rsidRPr="00344316" w:rsidRDefault="00344316" w:rsidP="00227792">
      <w:pPr>
        <w:spacing w:after="0" w:line="240" w:lineRule="auto"/>
        <w:jc w:val="both"/>
        <w:rPr>
          <w:rFonts w:asciiTheme="minorBidi" w:hAnsiTheme="minorBidi"/>
          <w:sz w:val="24"/>
          <w:szCs w:val="24"/>
        </w:rPr>
      </w:pPr>
    </w:p>
    <w:p w14:paraId="10D01A20" w14:textId="77777777" w:rsidR="00D306F8" w:rsidRPr="00344316" w:rsidRDefault="00D306F8" w:rsidP="00227792">
      <w:pPr>
        <w:spacing w:after="0" w:line="240" w:lineRule="auto"/>
        <w:jc w:val="both"/>
        <w:rPr>
          <w:rFonts w:asciiTheme="minorBidi" w:hAnsiTheme="minorBidi"/>
          <w:b/>
          <w:bCs/>
          <w:sz w:val="24"/>
          <w:szCs w:val="24"/>
        </w:rPr>
      </w:pPr>
      <w:r w:rsidRPr="00344316">
        <w:rPr>
          <w:rFonts w:asciiTheme="minorBidi" w:hAnsiTheme="minorBidi"/>
          <w:b/>
          <w:bCs/>
          <w:sz w:val="24"/>
          <w:szCs w:val="24"/>
        </w:rPr>
        <w:t>Questions or Comments?</w:t>
      </w:r>
    </w:p>
    <w:p w14:paraId="1A8701E3" w14:textId="77777777" w:rsidR="00D306F8" w:rsidRPr="00344316" w:rsidRDefault="00D306F8" w:rsidP="00227792">
      <w:pPr>
        <w:spacing w:after="0" w:line="240" w:lineRule="auto"/>
        <w:jc w:val="both"/>
        <w:rPr>
          <w:rFonts w:asciiTheme="minorBidi" w:hAnsiTheme="minorBidi"/>
          <w:sz w:val="24"/>
          <w:szCs w:val="24"/>
        </w:rPr>
      </w:pPr>
    </w:p>
    <w:p w14:paraId="7868DB64" w14:textId="24AA828C" w:rsidR="00D306F8" w:rsidRPr="002E2CC0" w:rsidRDefault="00D306F8" w:rsidP="00227792">
      <w:pPr>
        <w:spacing w:after="0" w:line="240" w:lineRule="auto"/>
        <w:jc w:val="both"/>
        <w:rPr>
          <w:rFonts w:asciiTheme="minorBidi" w:hAnsiTheme="minorBidi"/>
          <w:sz w:val="24"/>
          <w:szCs w:val="24"/>
        </w:rPr>
      </w:pPr>
      <w:r w:rsidRPr="00344316">
        <w:rPr>
          <w:rFonts w:asciiTheme="minorBidi" w:hAnsiTheme="minorBidi"/>
          <w:sz w:val="24"/>
          <w:szCs w:val="24"/>
        </w:rPr>
        <w:t xml:space="preserve">Please email me directly with your feedback at </w:t>
      </w:r>
      <w:hyperlink r:id="rId9" w:history="1">
        <w:r w:rsidRPr="00344316">
          <w:rPr>
            <w:rStyle w:val="Hyperlink"/>
            <w:rFonts w:asciiTheme="minorBidi" w:hAnsiTheme="minorBidi"/>
            <w:sz w:val="24"/>
            <w:szCs w:val="24"/>
          </w:rPr>
          <w:t>judahlgoldberg@gmail.com</w:t>
        </w:r>
      </w:hyperlink>
      <w:r w:rsidRPr="00344316">
        <w:rPr>
          <w:rFonts w:asciiTheme="minorBidi" w:hAnsiTheme="minorBidi"/>
          <w:sz w:val="24"/>
          <w:szCs w:val="24"/>
        </w:rPr>
        <w:t>!</w:t>
      </w:r>
    </w:p>
    <w:sectPr w:rsidR="00D306F8" w:rsidRPr="002E2CC0" w:rsidSect="00227792">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F3D3F" w14:textId="77777777" w:rsidR="00827964" w:rsidRDefault="00827964" w:rsidP="00D306F8">
      <w:pPr>
        <w:spacing w:after="0" w:line="240" w:lineRule="auto"/>
      </w:pPr>
      <w:r>
        <w:separator/>
      </w:r>
    </w:p>
  </w:endnote>
  <w:endnote w:type="continuationSeparator" w:id="0">
    <w:p w14:paraId="70604975" w14:textId="77777777" w:rsidR="00827964" w:rsidRDefault="00827964" w:rsidP="00D3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59914"/>
      <w:docPartObj>
        <w:docPartGallery w:val="Page Numbers (Bottom of Page)"/>
        <w:docPartUnique/>
      </w:docPartObj>
    </w:sdtPr>
    <w:sdtEndPr>
      <w:rPr>
        <w:noProof/>
      </w:rPr>
    </w:sdtEndPr>
    <w:sdtContent>
      <w:p w14:paraId="3A76296B" w14:textId="7A0F0DD6" w:rsidR="009E20F7" w:rsidRDefault="009E20F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3CC026F" w14:textId="77777777" w:rsidR="009E20F7" w:rsidRDefault="009E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5960C" w14:textId="77777777" w:rsidR="00827964" w:rsidRDefault="00827964" w:rsidP="00D306F8">
      <w:pPr>
        <w:spacing w:after="0" w:line="240" w:lineRule="auto"/>
      </w:pPr>
      <w:r>
        <w:separator/>
      </w:r>
    </w:p>
  </w:footnote>
  <w:footnote w:type="continuationSeparator" w:id="0">
    <w:p w14:paraId="333A9171" w14:textId="77777777" w:rsidR="00827964" w:rsidRDefault="00827964" w:rsidP="00D306F8">
      <w:pPr>
        <w:spacing w:after="0" w:line="240" w:lineRule="auto"/>
      </w:pPr>
      <w:r>
        <w:continuationSeparator/>
      </w:r>
    </w:p>
  </w:footnote>
  <w:footnote w:id="1">
    <w:p w14:paraId="1B811CC1" w14:textId="1666BB12"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On this issue, see </w:t>
      </w:r>
      <w:r w:rsidR="00F74EF7" w:rsidRPr="00344316">
        <w:rPr>
          <w:rFonts w:asciiTheme="minorBidi" w:hAnsiTheme="minorBidi"/>
          <w:i/>
          <w:iCs/>
        </w:rPr>
        <w:t>mori ve-rabbi</w:t>
      </w:r>
      <w:r w:rsidR="00F74EF7" w:rsidRPr="00344316">
        <w:rPr>
          <w:rFonts w:asciiTheme="minorBidi" w:hAnsiTheme="minorBidi"/>
        </w:rPr>
        <w:t xml:space="preserve"> </w:t>
      </w:r>
      <w:r w:rsidRPr="00344316">
        <w:rPr>
          <w:rFonts w:asciiTheme="minorBidi" w:hAnsiTheme="minorBidi"/>
        </w:rPr>
        <w:t xml:space="preserve">HaRav </w:t>
      </w:r>
      <w:r w:rsidR="00F74EF7" w:rsidRPr="00344316">
        <w:rPr>
          <w:rFonts w:asciiTheme="minorBidi" w:hAnsiTheme="minorBidi"/>
        </w:rPr>
        <w:t xml:space="preserve">Aharon </w:t>
      </w:r>
      <w:r w:rsidRPr="00344316">
        <w:rPr>
          <w:rFonts w:asciiTheme="minorBidi" w:hAnsiTheme="minorBidi"/>
        </w:rPr>
        <w:t xml:space="preserve">Lichtenstein and others in </w:t>
      </w:r>
      <w:r w:rsidRPr="00344316">
        <w:rPr>
          <w:rFonts w:asciiTheme="minorBidi" w:hAnsiTheme="minorBidi"/>
          <w:i/>
          <w:iCs/>
        </w:rPr>
        <w:t>Techumin</w:t>
      </w:r>
      <w:r w:rsidRPr="00344316">
        <w:rPr>
          <w:rFonts w:asciiTheme="minorBidi" w:hAnsiTheme="minorBidi"/>
        </w:rPr>
        <w:t>, Vol. 4, 180-192.</w:t>
      </w:r>
    </w:p>
  </w:footnote>
  <w:footnote w:id="2">
    <w:p w14:paraId="6742283A" w14:textId="2749534E" w:rsidR="00CB58DF" w:rsidRPr="00344316" w:rsidRDefault="00CB58DF"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w:t>
      </w:r>
      <w:r w:rsidR="00AA7BC6" w:rsidRPr="00344316">
        <w:rPr>
          <w:rFonts w:asciiTheme="minorBidi" w:hAnsiTheme="minorBidi"/>
        </w:rPr>
        <w:t xml:space="preserve">For some salient examples from the writings of </w:t>
      </w:r>
      <w:r w:rsidR="00AA7BC6" w:rsidRPr="00344316">
        <w:rPr>
          <w:rFonts w:asciiTheme="minorBidi" w:hAnsiTheme="minorBidi"/>
          <w:i/>
          <w:iCs/>
        </w:rPr>
        <w:t>mori ve-rabbi</w:t>
      </w:r>
      <w:r w:rsidR="00AA7BC6" w:rsidRPr="00344316">
        <w:rPr>
          <w:rFonts w:asciiTheme="minorBidi" w:hAnsiTheme="minorBidi"/>
        </w:rPr>
        <w:t xml:space="preserve">, see “The Ideology of Hesder” in </w:t>
      </w:r>
      <w:r w:rsidR="00AA7BC6" w:rsidRPr="00344316">
        <w:rPr>
          <w:rFonts w:asciiTheme="minorBidi" w:hAnsiTheme="minorBidi"/>
          <w:i/>
          <w:iCs/>
        </w:rPr>
        <w:t>Leaves of Faith</w:t>
      </w:r>
      <w:r w:rsidR="00153109" w:rsidRPr="00344316">
        <w:rPr>
          <w:rFonts w:asciiTheme="minorBidi" w:hAnsiTheme="minorBidi"/>
        </w:rPr>
        <w:t>, Vol. 1, 135-</w:t>
      </w:r>
      <w:r w:rsidR="00FB1C6A" w:rsidRPr="00344316">
        <w:rPr>
          <w:rFonts w:asciiTheme="minorBidi" w:hAnsiTheme="minorBidi"/>
          <w:rtl/>
        </w:rPr>
        <w:t>158</w:t>
      </w:r>
      <w:r w:rsidR="00175168">
        <w:rPr>
          <w:rFonts w:asciiTheme="minorBidi" w:hAnsiTheme="minorBidi"/>
        </w:rPr>
        <w:t>;</w:t>
      </w:r>
      <w:r w:rsidR="008C25C7" w:rsidRPr="00344316">
        <w:rPr>
          <w:rFonts w:asciiTheme="minorBidi" w:hAnsiTheme="minorBidi"/>
        </w:rPr>
        <w:t xml:space="preserve"> and </w:t>
      </w:r>
      <w:r w:rsidR="00B2721A" w:rsidRPr="00344316">
        <w:rPr>
          <w:rFonts w:asciiTheme="minorBidi" w:hAnsiTheme="minorBidi"/>
        </w:rPr>
        <w:t>“Brother Daniel and the Jewish Fraternity” (57-</w:t>
      </w:r>
      <w:r w:rsidR="00B14A31" w:rsidRPr="00344316">
        <w:rPr>
          <w:rFonts w:asciiTheme="minorBidi" w:hAnsiTheme="minorBidi"/>
        </w:rPr>
        <w:t>83) and “Abortion: A Halakhic Perspective” (241-</w:t>
      </w:r>
      <w:r w:rsidR="008C25C7" w:rsidRPr="00344316">
        <w:rPr>
          <w:rFonts w:asciiTheme="minorBidi" w:hAnsiTheme="minorBidi"/>
        </w:rPr>
        <w:t xml:space="preserve">253) in </w:t>
      </w:r>
      <w:r w:rsidR="008C25C7" w:rsidRPr="00344316">
        <w:rPr>
          <w:rFonts w:asciiTheme="minorBidi" w:hAnsiTheme="minorBidi"/>
          <w:i/>
          <w:iCs/>
        </w:rPr>
        <w:t>Leaves of Faith</w:t>
      </w:r>
      <w:r w:rsidR="008C25C7" w:rsidRPr="00344316">
        <w:rPr>
          <w:rFonts w:asciiTheme="minorBidi" w:hAnsiTheme="minorBidi"/>
        </w:rPr>
        <w:t>, Vol. 2</w:t>
      </w:r>
      <w:r w:rsidR="002577F7" w:rsidRPr="00344316">
        <w:rPr>
          <w:rFonts w:asciiTheme="minorBidi" w:hAnsiTheme="minorBidi"/>
        </w:rPr>
        <w:t xml:space="preserve">. </w:t>
      </w:r>
      <w:r w:rsidR="002F2ADA" w:rsidRPr="00344316">
        <w:rPr>
          <w:rFonts w:asciiTheme="minorBidi" w:hAnsiTheme="minorBidi"/>
        </w:rPr>
        <w:t xml:space="preserve">Conversely, </w:t>
      </w:r>
      <w:r w:rsidR="002577F7" w:rsidRPr="00344316">
        <w:rPr>
          <w:rFonts w:asciiTheme="minorBidi" w:hAnsiTheme="minorBidi"/>
        </w:rPr>
        <w:t>HaRav Lichtenstein c</w:t>
      </w:r>
      <w:r w:rsidR="006640A9" w:rsidRPr="00344316">
        <w:rPr>
          <w:rFonts w:asciiTheme="minorBidi" w:hAnsiTheme="minorBidi"/>
        </w:rPr>
        <w:t xml:space="preserve">ould </w:t>
      </w:r>
      <w:r w:rsidR="00FB4E94" w:rsidRPr="00344316">
        <w:rPr>
          <w:rFonts w:asciiTheme="minorBidi" w:hAnsiTheme="minorBidi"/>
        </w:rPr>
        <w:t xml:space="preserve">be sharply critical of </w:t>
      </w:r>
      <w:r w:rsidR="006E05A8" w:rsidRPr="00344316">
        <w:rPr>
          <w:rFonts w:asciiTheme="minorBidi" w:hAnsiTheme="minorBidi"/>
        </w:rPr>
        <w:t xml:space="preserve">halakhic analysis </w:t>
      </w:r>
      <w:r w:rsidR="00FB4E94" w:rsidRPr="00344316">
        <w:rPr>
          <w:rFonts w:asciiTheme="minorBidi" w:hAnsiTheme="minorBidi"/>
        </w:rPr>
        <w:t xml:space="preserve">that </w:t>
      </w:r>
      <w:r w:rsidR="00D45135">
        <w:rPr>
          <w:rFonts w:asciiTheme="minorBidi" w:hAnsiTheme="minorBidi"/>
        </w:rPr>
        <w:t>he found to be</w:t>
      </w:r>
      <w:r w:rsidR="00467CA9" w:rsidRPr="00344316">
        <w:rPr>
          <w:rFonts w:asciiTheme="minorBidi" w:hAnsiTheme="minorBidi"/>
        </w:rPr>
        <w:t xml:space="preserve"> </w:t>
      </w:r>
      <w:r w:rsidR="00B04B07" w:rsidRPr="00344316">
        <w:rPr>
          <w:rFonts w:asciiTheme="minorBidi" w:hAnsiTheme="minorBidi"/>
        </w:rPr>
        <w:t xml:space="preserve">unselfconsciously narrow. </w:t>
      </w:r>
      <w:r w:rsidR="00467CA9" w:rsidRPr="00344316">
        <w:rPr>
          <w:rFonts w:asciiTheme="minorBidi" w:hAnsiTheme="minorBidi"/>
        </w:rPr>
        <w:t>A</w:t>
      </w:r>
      <w:r w:rsidR="0049672C" w:rsidRPr="00344316">
        <w:rPr>
          <w:rFonts w:asciiTheme="minorBidi" w:hAnsiTheme="minorBidi"/>
        </w:rPr>
        <w:t xml:space="preserve">lso see R. Asher Weiss’s statement on vaccination, cited in the “For Further Thought” section of the </w:t>
      </w:r>
      <w:r w:rsidR="00944232">
        <w:rPr>
          <w:rFonts w:asciiTheme="minorBidi" w:hAnsiTheme="minorBidi"/>
        </w:rPr>
        <w:t xml:space="preserve">previous </w:t>
      </w:r>
      <w:r w:rsidR="0049672C" w:rsidRPr="00344316">
        <w:rPr>
          <w:rFonts w:asciiTheme="minorBidi" w:hAnsiTheme="minorBidi"/>
          <w:i/>
          <w:iCs/>
        </w:rPr>
        <w:t>shiur</w:t>
      </w:r>
      <w:r w:rsidR="0049672C" w:rsidRPr="00344316">
        <w:rPr>
          <w:rFonts w:asciiTheme="minorBidi" w:hAnsiTheme="minorBidi"/>
        </w:rPr>
        <w:t>.</w:t>
      </w:r>
      <w:r w:rsidR="0049672C" w:rsidRPr="00344316">
        <w:rPr>
          <w:rFonts w:asciiTheme="minorBidi" w:hAnsiTheme="minorBidi"/>
          <w:rtl/>
        </w:rPr>
        <w:t xml:space="preserve"> </w:t>
      </w:r>
    </w:p>
  </w:footnote>
  <w:footnote w:id="3">
    <w:p w14:paraId="4338E0F2" w14:textId="4C26B3BE"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See Rambam, </w:t>
      </w:r>
      <w:r w:rsidRPr="00344316">
        <w:rPr>
          <w:rFonts w:asciiTheme="minorBidi" w:hAnsiTheme="minorBidi"/>
          <w:i/>
          <w:iCs/>
        </w:rPr>
        <w:t>Commentary on the Mishna</w:t>
      </w:r>
      <w:r w:rsidRPr="00344316">
        <w:rPr>
          <w:rFonts w:asciiTheme="minorBidi" w:hAnsiTheme="minorBidi"/>
        </w:rPr>
        <w:t xml:space="preserve">, </w:t>
      </w:r>
      <w:r w:rsidRPr="00344316">
        <w:rPr>
          <w:rFonts w:asciiTheme="minorBidi" w:hAnsiTheme="minorBidi"/>
          <w:i/>
          <w:iCs/>
        </w:rPr>
        <w:t>Makkot</w:t>
      </w:r>
      <w:r w:rsidRPr="00344316">
        <w:rPr>
          <w:rFonts w:asciiTheme="minorBidi" w:hAnsiTheme="minorBidi"/>
        </w:rPr>
        <w:t xml:space="preserve"> 1:11</w:t>
      </w:r>
      <w:r w:rsidR="00BE703E">
        <w:rPr>
          <w:rFonts w:asciiTheme="minorBidi" w:hAnsiTheme="minorBidi"/>
        </w:rPr>
        <w:t>;</w:t>
      </w:r>
      <w:r w:rsidRPr="00344316">
        <w:rPr>
          <w:rFonts w:asciiTheme="minorBidi" w:hAnsiTheme="minorBidi"/>
        </w:rPr>
        <w:t xml:space="preserve"> and </w:t>
      </w:r>
      <w:r w:rsidRPr="00344316">
        <w:rPr>
          <w:rFonts w:asciiTheme="minorBidi" w:hAnsiTheme="minorBidi"/>
          <w:i/>
          <w:iCs/>
        </w:rPr>
        <w:t>Hilkhot Sanhedrin</w:t>
      </w:r>
      <w:r w:rsidRPr="00344316">
        <w:rPr>
          <w:rFonts w:asciiTheme="minorBidi" w:hAnsiTheme="minorBidi"/>
        </w:rPr>
        <w:t xml:space="preserve"> 14:10. </w:t>
      </w:r>
    </w:p>
  </w:footnote>
  <w:footnote w:id="4">
    <w:p w14:paraId="781A6CAB" w14:textId="77777777"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For an overview, see Prof. Menachem Elon, </w:t>
      </w:r>
      <w:r w:rsidRPr="00344316">
        <w:rPr>
          <w:rFonts w:asciiTheme="minorBidi" w:hAnsiTheme="minorBidi"/>
          <w:i/>
          <w:iCs/>
        </w:rPr>
        <w:t>Jewish Law: History, Sources, Principles</w:t>
      </w:r>
      <w:r w:rsidRPr="00344316">
        <w:rPr>
          <w:rFonts w:asciiTheme="minorBidi" w:hAnsiTheme="minorBidi"/>
        </w:rPr>
        <w:t>, Vol. 2, 679-779.</w:t>
      </w:r>
    </w:p>
  </w:footnote>
  <w:footnote w:id="5">
    <w:p w14:paraId="28C7C446" w14:textId="4E026285"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See, for example, </w:t>
      </w:r>
      <w:r w:rsidR="003874E9" w:rsidRPr="00344316">
        <w:rPr>
          <w:rFonts w:asciiTheme="minorBidi" w:hAnsiTheme="minorBidi"/>
        </w:rPr>
        <w:t xml:space="preserve">R. Nahum Eliezer Rabinovitch, “The Way of Torah,” </w:t>
      </w:r>
      <w:r w:rsidR="003874E9" w:rsidRPr="00344316">
        <w:rPr>
          <w:rFonts w:asciiTheme="minorBidi" w:hAnsiTheme="minorBidi"/>
          <w:i/>
          <w:iCs/>
        </w:rPr>
        <w:t>The Edah Journal</w:t>
      </w:r>
      <w:r w:rsidR="003874E9" w:rsidRPr="00344316">
        <w:rPr>
          <w:rFonts w:asciiTheme="minorBidi" w:hAnsiTheme="minorBidi"/>
        </w:rPr>
        <w:t xml:space="preserve"> 3:1 (Tevet, 5763 [2003]), </w:t>
      </w:r>
      <w:r w:rsidRPr="00344316">
        <w:rPr>
          <w:rFonts w:asciiTheme="minorBidi" w:hAnsiTheme="minorBidi"/>
        </w:rPr>
        <w:t xml:space="preserve">28-29; Prof. Elon, </w:t>
      </w:r>
      <w:r w:rsidRPr="00344316">
        <w:rPr>
          <w:rFonts w:asciiTheme="minorBidi" w:hAnsiTheme="minorBidi"/>
          <w:i/>
          <w:iCs/>
        </w:rPr>
        <w:t>Jewish Law</w:t>
      </w:r>
      <w:r w:rsidRPr="00344316">
        <w:rPr>
          <w:rFonts w:asciiTheme="minorBidi" w:hAnsiTheme="minorBidi"/>
        </w:rPr>
        <w:t xml:space="preserve">, Vol. 2, p. 714, n. 145; and Prof. Gerald Blidstein, “Halakha and Democracy,” </w:t>
      </w:r>
      <w:r w:rsidRPr="00344316">
        <w:rPr>
          <w:rFonts w:asciiTheme="minorBidi" w:hAnsiTheme="minorBidi"/>
          <w:i/>
          <w:iCs/>
        </w:rPr>
        <w:t>Tradition</w:t>
      </w:r>
      <w:r w:rsidRPr="00344316">
        <w:rPr>
          <w:rFonts w:asciiTheme="minorBidi" w:hAnsiTheme="minorBidi"/>
        </w:rPr>
        <w:t xml:space="preserve">, 32:1 (Fall 1997), 12-13. Also compare the various formulations in </w:t>
      </w:r>
      <w:r w:rsidRPr="00344316">
        <w:rPr>
          <w:rFonts w:asciiTheme="minorBidi" w:hAnsiTheme="minorBidi"/>
          <w:i/>
          <w:iCs/>
        </w:rPr>
        <w:t>Teshuvot Ha-Rashba</w:t>
      </w:r>
      <w:r w:rsidRPr="00344316">
        <w:rPr>
          <w:rFonts w:asciiTheme="minorBidi" w:hAnsiTheme="minorBidi"/>
        </w:rPr>
        <w:t xml:space="preserve"> 1:769, 3:411, 417, 5:126, and 7:490</w:t>
      </w:r>
      <w:r w:rsidR="00BE703E">
        <w:rPr>
          <w:rFonts w:asciiTheme="minorBidi" w:hAnsiTheme="minorBidi"/>
        </w:rPr>
        <w:t>;</w:t>
      </w:r>
      <w:r w:rsidRPr="00344316">
        <w:rPr>
          <w:rFonts w:asciiTheme="minorBidi" w:hAnsiTheme="minorBidi"/>
        </w:rPr>
        <w:t xml:space="preserve"> and </w:t>
      </w:r>
      <w:r w:rsidRPr="00344316">
        <w:rPr>
          <w:rFonts w:asciiTheme="minorBidi" w:hAnsiTheme="minorBidi"/>
          <w:i/>
          <w:iCs/>
        </w:rPr>
        <w:t>Sefer Ha-Tashbetz</w:t>
      </w:r>
      <w:r w:rsidRPr="00344316">
        <w:rPr>
          <w:rFonts w:asciiTheme="minorBidi" w:hAnsiTheme="minorBidi"/>
        </w:rPr>
        <w:t xml:space="preserve"> 1:123, 133.</w:t>
      </w:r>
    </w:p>
  </w:footnote>
  <w:footnote w:id="6">
    <w:p w14:paraId="12C1777E" w14:textId="6A5938FA"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w:t>
      </w:r>
      <w:r w:rsidR="002B256E" w:rsidRPr="00344316">
        <w:rPr>
          <w:rFonts w:asciiTheme="minorBidi" w:hAnsiTheme="minorBidi"/>
        </w:rPr>
        <w:t>See</w:t>
      </w:r>
      <w:r w:rsidRPr="00344316">
        <w:rPr>
          <w:rFonts w:asciiTheme="minorBidi" w:hAnsiTheme="minorBidi"/>
        </w:rPr>
        <w:t xml:space="preserve"> </w:t>
      </w:r>
      <w:r w:rsidR="006D4B6E" w:rsidRPr="006D4B6E">
        <w:rPr>
          <w:rFonts w:asciiTheme="minorBidi" w:hAnsiTheme="minorBidi"/>
          <w:i/>
          <w:iCs/>
        </w:rPr>
        <w:t>Techuka Le-Yisrael al pi Ha-Torah</w:t>
      </w:r>
      <w:r w:rsidR="006D4B6E" w:rsidRPr="006D4B6E">
        <w:rPr>
          <w:rFonts w:asciiTheme="minorBidi" w:hAnsiTheme="minorBidi"/>
        </w:rPr>
        <w:t>, Vol. 1, 129-130</w:t>
      </w:r>
      <w:r w:rsidR="006D4B6E">
        <w:rPr>
          <w:rFonts w:asciiTheme="minorBidi" w:hAnsiTheme="minorBidi"/>
        </w:rPr>
        <w:t xml:space="preserve">; </w:t>
      </w:r>
      <w:r w:rsidRPr="00344316">
        <w:rPr>
          <w:rFonts w:asciiTheme="minorBidi" w:hAnsiTheme="minorBidi"/>
        </w:rPr>
        <w:t>Chief Rabbi Ben-Zion Uziel</w:t>
      </w:r>
      <w:r w:rsidR="00A17498">
        <w:rPr>
          <w:rFonts w:asciiTheme="minorBidi" w:hAnsiTheme="minorBidi"/>
        </w:rPr>
        <w:t xml:space="preserve">, ibid., </w:t>
      </w:r>
      <w:r w:rsidRPr="00344316">
        <w:rPr>
          <w:rFonts w:asciiTheme="minorBidi" w:hAnsiTheme="minorBidi"/>
        </w:rPr>
        <w:t xml:space="preserve">248; R. Reuven Katz, ibid., 271; R. Shaul Yisraeli, </w:t>
      </w:r>
      <w:r w:rsidRPr="00344316">
        <w:rPr>
          <w:rFonts w:asciiTheme="minorBidi" w:hAnsiTheme="minorBidi"/>
          <w:i/>
          <w:iCs/>
        </w:rPr>
        <w:t>Amud Ha-Yemini</w:t>
      </w:r>
      <w:r w:rsidRPr="00344316">
        <w:rPr>
          <w:rFonts w:asciiTheme="minorBidi" w:hAnsiTheme="minorBidi"/>
        </w:rPr>
        <w:t xml:space="preserve">, 7; R. Eliezer Waldenberg, </w:t>
      </w:r>
      <w:r w:rsidRPr="00344316">
        <w:rPr>
          <w:rFonts w:asciiTheme="minorBidi" w:hAnsiTheme="minorBidi"/>
          <w:i/>
          <w:iCs/>
        </w:rPr>
        <w:t>Responsa Tzitz Eliezer</w:t>
      </w:r>
      <w:r w:rsidRPr="00344316">
        <w:rPr>
          <w:rFonts w:asciiTheme="minorBidi" w:hAnsiTheme="minorBidi"/>
        </w:rPr>
        <w:t xml:space="preserve"> 10:1; and Chief Rabbi Ovadya Yosef, </w:t>
      </w:r>
      <w:r w:rsidRPr="00344316">
        <w:rPr>
          <w:rFonts w:asciiTheme="minorBidi" w:hAnsiTheme="minorBidi"/>
          <w:i/>
          <w:iCs/>
        </w:rPr>
        <w:t>Responsa Yabia Omer</w:t>
      </w:r>
      <w:r w:rsidRPr="00344316">
        <w:rPr>
          <w:rFonts w:asciiTheme="minorBidi" w:hAnsiTheme="minorBidi"/>
        </w:rPr>
        <w:t xml:space="preserve">, 10, </w:t>
      </w:r>
      <w:r w:rsidRPr="00344316">
        <w:rPr>
          <w:rFonts w:asciiTheme="minorBidi" w:hAnsiTheme="minorBidi"/>
          <w:i/>
          <w:iCs/>
        </w:rPr>
        <w:t>CM</w:t>
      </w:r>
      <w:r w:rsidRPr="00344316">
        <w:rPr>
          <w:rFonts w:asciiTheme="minorBidi" w:hAnsiTheme="minorBidi"/>
        </w:rPr>
        <w:t xml:space="preserve">, 6:23. Also see HaRav Lichtenstein, “Religion and State,” in </w:t>
      </w:r>
      <w:r w:rsidRPr="00344316">
        <w:rPr>
          <w:rFonts w:asciiTheme="minorBidi" w:hAnsiTheme="minorBidi"/>
          <w:i/>
          <w:iCs/>
        </w:rPr>
        <w:t>Contemporary Jewish Religious Thought</w:t>
      </w:r>
      <w:r w:rsidRPr="00344316">
        <w:rPr>
          <w:rFonts w:asciiTheme="minorBidi" w:hAnsiTheme="minorBidi"/>
        </w:rPr>
        <w:t xml:space="preserve"> (Arthur Cohen and Paul Mendes-Flohr, eds.), available </w:t>
      </w:r>
      <w:hyperlink r:id="rId1" w:history="1">
        <w:r w:rsidRPr="00344316">
          <w:rPr>
            <w:rStyle w:val="Hyperlink"/>
            <w:rFonts w:asciiTheme="minorBidi" w:hAnsiTheme="minorBidi"/>
          </w:rPr>
          <w:t>here</w:t>
        </w:r>
      </w:hyperlink>
      <w:r w:rsidRPr="00344316">
        <w:rPr>
          <w:rFonts w:asciiTheme="minorBidi" w:hAnsiTheme="minorBidi"/>
        </w:rPr>
        <w:t>, along with the clarification in Prof. Blidstein, “Halakha and Democracy,” 34, n. 7; and R. Rabinovitch, “The Way of Torah,” 31-32.</w:t>
      </w:r>
    </w:p>
  </w:footnote>
  <w:footnote w:id="7">
    <w:p w14:paraId="2311C9E2" w14:textId="77777777"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In this context, the Rashba quotes </w:t>
      </w:r>
      <w:r w:rsidRPr="0070329A">
        <w:rPr>
          <w:rFonts w:asciiTheme="minorBidi" w:hAnsiTheme="minorBidi"/>
          <w:i/>
          <w:iCs/>
        </w:rPr>
        <w:t>Chazal</w:t>
      </w:r>
      <w:r w:rsidRPr="00344316">
        <w:rPr>
          <w:rFonts w:asciiTheme="minorBidi" w:hAnsiTheme="minorBidi"/>
        </w:rPr>
        <w:t>’s comment that the Second Temple was destroyed because “they based their judgments solely on Torah law” (</w:t>
      </w:r>
      <w:r w:rsidRPr="00344316">
        <w:rPr>
          <w:rFonts w:asciiTheme="minorBidi" w:hAnsiTheme="minorBidi"/>
          <w:i/>
          <w:iCs/>
        </w:rPr>
        <w:t>Bava Metzia</w:t>
      </w:r>
      <w:r w:rsidRPr="00344316">
        <w:rPr>
          <w:rFonts w:asciiTheme="minorBidi" w:hAnsiTheme="minorBidi"/>
        </w:rPr>
        <w:t xml:space="preserve"> 30b).</w:t>
      </w:r>
    </w:p>
  </w:footnote>
  <w:footnote w:id="8">
    <w:p w14:paraId="7C7AA3E9" w14:textId="29BBC570"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The Rashba adds that the authority of the community officials </w:t>
      </w:r>
      <w:r w:rsidR="0094499E">
        <w:rPr>
          <w:rFonts w:asciiTheme="minorBidi" w:hAnsiTheme="minorBidi"/>
        </w:rPr>
        <w:t>pertains</w:t>
      </w:r>
      <w:r w:rsidRPr="00344316">
        <w:rPr>
          <w:rFonts w:asciiTheme="minorBidi" w:hAnsiTheme="minorBidi"/>
        </w:rPr>
        <w:t xml:space="preserve"> “all the more so when there is royal sanction” (see </w:t>
      </w:r>
      <w:r w:rsidRPr="00344316">
        <w:rPr>
          <w:rFonts w:asciiTheme="minorBidi" w:hAnsiTheme="minorBidi"/>
          <w:i/>
          <w:iCs/>
        </w:rPr>
        <w:t>Bava Metzia</w:t>
      </w:r>
      <w:r w:rsidRPr="00344316">
        <w:rPr>
          <w:rFonts w:asciiTheme="minorBidi" w:hAnsiTheme="minorBidi"/>
        </w:rPr>
        <w:t xml:space="preserve"> 83b)</w:t>
      </w:r>
      <w:r w:rsidR="001C7A40" w:rsidRPr="00344316">
        <w:rPr>
          <w:rFonts w:asciiTheme="minorBidi" w:hAnsiTheme="minorBidi"/>
        </w:rPr>
        <w:t>,</w:t>
      </w:r>
      <w:r w:rsidRPr="00344316">
        <w:rPr>
          <w:rFonts w:asciiTheme="minorBidi" w:hAnsiTheme="minorBidi"/>
        </w:rPr>
        <w:t xml:space="preserve"> but this does not seem essential; see R. </w:t>
      </w:r>
      <w:r w:rsidR="00D820F9" w:rsidRPr="00344316">
        <w:rPr>
          <w:rFonts w:asciiTheme="minorBidi" w:hAnsiTheme="minorBidi"/>
        </w:rPr>
        <w:t xml:space="preserve">Ido </w:t>
      </w:r>
      <w:r w:rsidRPr="00344316">
        <w:rPr>
          <w:rFonts w:asciiTheme="minorBidi" w:hAnsiTheme="minorBidi"/>
        </w:rPr>
        <w:t xml:space="preserve">Reichnitz, </w:t>
      </w:r>
      <w:r w:rsidRPr="00344316">
        <w:rPr>
          <w:rFonts w:asciiTheme="minorBidi" w:hAnsiTheme="minorBidi"/>
          <w:i/>
          <w:iCs/>
        </w:rPr>
        <w:t>Medina K</w:t>
      </w:r>
      <w:r w:rsidR="007278E8">
        <w:rPr>
          <w:rFonts w:asciiTheme="minorBidi" w:hAnsiTheme="minorBidi"/>
          <w:i/>
          <w:iCs/>
        </w:rPr>
        <w:t>a</w:t>
      </w:r>
      <w:r w:rsidRPr="00344316">
        <w:rPr>
          <w:rFonts w:asciiTheme="minorBidi" w:hAnsiTheme="minorBidi"/>
          <w:i/>
          <w:iCs/>
        </w:rPr>
        <w:t>-</w:t>
      </w:r>
      <w:r w:rsidR="007278E8">
        <w:rPr>
          <w:rFonts w:asciiTheme="minorBidi" w:hAnsiTheme="minorBidi"/>
          <w:i/>
          <w:iCs/>
        </w:rPr>
        <w:t>H</w:t>
      </w:r>
      <w:r w:rsidRPr="00344316">
        <w:rPr>
          <w:rFonts w:asciiTheme="minorBidi" w:hAnsiTheme="minorBidi"/>
          <w:i/>
          <w:iCs/>
        </w:rPr>
        <w:t>alakha</w:t>
      </w:r>
      <w:r w:rsidRPr="00344316">
        <w:rPr>
          <w:rFonts w:asciiTheme="minorBidi" w:hAnsiTheme="minorBidi"/>
        </w:rPr>
        <w:t xml:space="preserve">, 105. Also see 4:311 and </w:t>
      </w:r>
      <w:r w:rsidR="00F73DBB">
        <w:rPr>
          <w:rFonts w:asciiTheme="minorBidi" w:hAnsiTheme="minorBidi"/>
        </w:rPr>
        <w:t xml:space="preserve">responsa </w:t>
      </w:r>
      <w:r w:rsidRPr="00344316">
        <w:rPr>
          <w:rFonts w:asciiTheme="minorBidi" w:hAnsiTheme="minorBidi"/>
        </w:rPr>
        <w:t xml:space="preserve">attributed to the Ramban #279. </w:t>
      </w:r>
    </w:p>
  </w:footnote>
  <w:footnote w:id="9">
    <w:p w14:paraId="07EF266C" w14:textId="77777777" w:rsidR="00D306F8" w:rsidRPr="00344316" w:rsidRDefault="00D306F8" w:rsidP="00227792">
      <w:pPr>
        <w:pStyle w:val="FootnoteText"/>
        <w:jc w:val="both"/>
        <w:rPr>
          <w:rFonts w:asciiTheme="minorBidi" w:hAnsiTheme="minorBidi"/>
          <w:rtl/>
        </w:rPr>
      </w:pPr>
      <w:r w:rsidRPr="00344316">
        <w:rPr>
          <w:rStyle w:val="FootnoteReference"/>
          <w:rFonts w:asciiTheme="minorBidi" w:hAnsiTheme="minorBidi"/>
        </w:rPr>
        <w:footnoteRef/>
      </w:r>
      <w:r w:rsidRPr="00344316">
        <w:rPr>
          <w:rFonts w:asciiTheme="minorBidi" w:hAnsiTheme="minorBidi"/>
        </w:rPr>
        <w:t xml:space="preserve"> Also see pp. 80-82. </w:t>
      </w:r>
    </w:p>
  </w:footnote>
  <w:footnote w:id="10">
    <w:p w14:paraId="7CA1AB9D" w14:textId="0EA11DE1"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Also see pp. 75, 208-209, 224, 230. There may still be a subtle difference between the Ran and the Rambam’s </w:t>
      </w:r>
      <w:r w:rsidR="006669DC">
        <w:rPr>
          <w:rFonts w:asciiTheme="minorBidi" w:hAnsiTheme="minorBidi"/>
        </w:rPr>
        <w:t xml:space="preserve">respective </w:t>
      </w:r>
      <w:r w:rsidRPr="00344316">
        <w:rPr>
          <w:rFonts w:asciiTheme="minorBidi" w:hAnsiTheme="minorBidi"/>
        </w:rPr>
        <w:t>position</w:t>
      </w:r>
      <w:r w:rsidR="00B377C6" w:rsidRPr="00344316">
        <w:rPr>
          <w:rFonts w:asciiTheme="minorBidi" w:hAnsiTheme="minorBidi"/>
        </w:rPr>
        <w:t>s</w:t>
      </w:r>
      <w:r w:rsidRPr="00344316">
        <w:rPr>
          <w:rFonts w:asciiTheme="minorBidi" w:hAnsiTheme="minorBidi"/>
        </w:rPr>
        <w:t>.</w:t>
      </w:r>
      <w:r w:rsidR="00344316">
        <w:rPr>
          <w:rFonts w:asciiTheme="minorBidi" w:hAnsiTheme="minorBidi"/>
        </w:rPr>
        <w:t xml:space="preserve"> </w:t>
      </w:r>
      <w:r w:rsidRPr="00344316">
        <w:rPr>
          <w:rFonts w:asciiTheme="minorBidi" w:hAnsiTheme="minorBidi"/>
        </w:rPr>
        <w:t xml:space="preserve">According to the Ran, a king or his substitute has full independence in playing a legislative role. </w:t>
      </w:r>
      <w:r w:rsidR="000A0E26" w:rsidRPr="00344316">
        <w:rPr>
          <w:rFonts w:asciiTheme="minorBidi" w:hAnsiTheme="minorBidi"/>
        </w:rPr>
        <w:t xml:space="preserve">The </w:t>
      </w:r>
      <w:r w:rsidRPr="00344316">
        <w:rPr>
          <w:rFonts w:asciiTheme="minorBidi" w:hAnsiTheme="minorBidi"/>
        </w:rPr>
        <w:t xml:space="preserve">legislation should reflect Torah influence, but there is no absolute indication for rabbinic consultation. If, on the other hand, we believe that the Israeli government is assuming a function of the rabbinic courts to punish “not according to Torah,” then perhaps more rabbinic input would be ideal. This seems to be R. Herzog’s own orientation, as he encourages active cooperation with rabbinic scholars (p. 208). Also see R. Katz, ibid., 271 and </w:t>
      </w:r>
      <w:r w:rsidR="00DE6513" w:rsidRPr="00344316">
        <w:rPr>
          <w:rFonts w:asciiTheme="minorBidi" w:hAnsiTheme="minorBidi"/>
        </w:rPr>
        <w:t>Judge Gershon German</w:t>
      </w:r>
      <w:r w:rsidR="00690FB5" w:rsidRPr="00344316">
        <w:rPr>
          <w:rFonts w:asciiTheme="minorBidi" w:hAnsiTheme="minorBidi"/>
        </w:rPr>
        <w:t xml:space="preserve">, </w:t>
      </w:r>
      <w:r w:rsidR="00DE6513" w:rsidRPr="00344316">
        <w:rPr>
          <w:rFonts w:asciiTheme="minorBidi" w:hAnsiTheme="minorBidi"/>
          <w:i/>
          <w:iCs/>
        </w:rPr>
        <w:t>Melekh Yisrael: Ribbonut Le-dorot B</w:t>
      </w:r>
      <w:r w:rsidR="00344316">
        <w:rPr>
          <w:rFonts w:asciiTheme="minorBidi" w:hAnsiTheme="minorBidi"/>
          <w:i/>
          <w:iCs/>
        </w:rPr>
        <w:t>i</w:t>
      </w:r>
      <w:r w:rsidR="00DE6513" w:rsidRPr="00344316">
        <w:rPr>
          <w:rFonts w:asciiTheme="minorBidi" w:hAnsiTheme="minorBidi"/>
          <w:i/>
          <w:iCs/>
        </w:rPr>
        <w:t>-re’i Ha-</w:t>
      </w:r>
      <w:r w:rsidR="007278E8">
        <w:rPr>
          <w:rFonts w:asciiTheme="minorBidi" w:hAnsiTheme="minorBidi"/>
          <w:i/>
          <w:iCs/>
        </w:rPr>
        <w:t>H</w:t>
      </w:r>
      <w:r w:rsidR="00DE6513" w:rsidRPr="00344316">
        <w:rPr>
          <w:rFonts w:asciiTheme="minorBidi" w:hAnsiTheme="minorBidi"/>
          <w:i/>
          <w:iCs/>
        </w:rPr>
        <w:t>alakha U-ma’amadam shel Chukei Ha-Knesset Be-olamah shel Ha-</w:t>
      </w:r>
      <w:r w:rsidR="007278E8">
        <w:rPr>
          <w:rFonts w:asciiTheme="minorBidi" w:hAnsiTheme="minorBidi"/>
          <w:i/>
          <w:iCs/>
        </w:rPr>
        <w:t>H</w:t>
      </w:r>
      <w:r w:rsidR="00DE6513" w:rsidRPr="00344316">
        <w:rPr>
          <w:rFonts w:asciiTheme="minorBidi" w:hAnsiTheme="minorBidi"/>
          <w:i/>
          <w:iCs/>
        </w:rPr>
        <w:t>alakha</w:t>
      </w:r>
      <w:r w:rsidR="00690FB5" w:rsidRPr="00344316">
        <w:rPr>
          <w:rFonts w:asciiTheme="minorBidi" w:hAnsiTheme="minorBidi"/>
        </w:rPr>
        <w:t>,</w:t>
      </w:r>
      <w:r w:rsidRPr="00344316">
        <w:rPr>
          <w:rFonts w:asciiTheme="minorBidi" w:hAnsiTheme="minorBidi"/>
        </w:rPr>
        <w:t xml:space="preserve"> 702, n. 173. </w:t>
      </w:r>
    </w:p>
  </w:footnote>
  <w:footnote w:id="11">
    <w:p w14:paraId="61419095" w14:textId="4F31C76B"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For more on these issues, see </w:t>
      </w:r>
      <w:r w:rsidR="00B26DD2" w:rsidRPr="00344316">
        <w:rPr>
          <w:rFonts w:asciiTheme="minorBidi" w:hAnsiTheme="minorBidi"/>
        </w:rPr>
        <w:t xml:space="preserve">Judge </w:t>
      </w:r>
      <w:r w:rsidRPr="00344316">
        <w:rPr>
          <w:rFonts w:asciiTheme="minorBidi" w:hAnsiTheme="minorBidi"/>
        </w:rPr>
        <w:t xml:space="preserve">German, </w:t>
      </w:r>
      <w:r w:rsidRPr="00344316">
        <w:rPr>
          <w:rFonts w:asciiTheme="minorBidi" w:hAnsiTheme="minorBidi"/>
          <w:i/>
          <w:iCs/>
        </w:rPr>
        <w:t>Melekh Yisrael</w:t>
      </w:r>
      <w:r w:rsidRPr="00344316">
        <w:rPr>
          <w:rFonts w:asciiTheme="minorBidi" w:hAnsiTheme="minorBidi"/>
        </w:rPr>
        <w:t>, 667-738.</w:t>
      </w:r>
    </w:p>
  </w:footnote>
  <w:footnote w:id="12">
    <w:p w14:paraId="2B54895C" w14:textId="62E439F4"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See R. Herzog, Vol. 2.</w:t>
      </w:r>
      <w:r w:rsidR="00344316">
        <w:rPr>
          <w:rFonts w:asciiTheme="minorBidi" w:hAnsiTheme="minorBidi"/>
        </w:rPr>
        <w:t xml:space="preserve"> </w:t>
      </w:r>
      <w:r w:rsidRPr="00344316">
        <w:rPr>
          <w:rFonts w:asciiTheme="minorBidi" w:hAnsiTheme="minorBidi"/>
        </w:rPr>
        <w:t xml:space="preserve">p. 58; R. Uziel, ibid., Vol. 1, 249; R. Reichnitz, </w:t>
      </w:r>
      <w:r w:rsidRPr="00344316">
        <w:rPr>
          <w:rFonts w:asciiTheme="minorBidi" w:hAnsiTheme="minorBidi"/>
          <w:i/>
          <w:iCs/>
        </w:rPr>
        <w:t>Medina K</w:t>
      </w:r>
      <w:r w:rsidR="007278E8">
        <w:rPr>
          <w:rFonts w:asciiTheme="minorBidi" w:hAnsiTheme="minorBidi"/>
          <w:i/>
          <w:iCs/>
        </w:rPr>
        <w:t>a</w:t>
      </w:r>
      <w:r w:rsidRPr="00344316">
        <w:rPr>
          <w:rFonts w:asciiTheme="minorBidi" w:hAnsiTheme="minorBidi"/>
          <w:i/>
          <w:iCs/>
        </w:rPr>
        <w:t>-Halakha</w:t>
      </w:r>
      <w:r w:rsidRPr="00344316">
        <w:rPr>
          <w:rFonts w:asciiTheme="minorBidi" w:hAnsiTheme="minorBidi"/>
        </w:rPr>
        <w:t xml:space="preserve">, 255-257; and </w:t>
      </w:r>
      <w:r w:rsidR="00353237" w:rsidRPr="00344316">
        <w:rPr>
          <w:rFonts w:asciiTheme="minorBidi" w:hAnsiTheme="minorBidi"/>
        </w:rPr>
        <w:t xml:space="preserve">Judge </w:t>
      </w:r>
      <w:r w:rsidRPr="00344316">
        <w:rPr>
          <w:rFonts w:asciiTheme="minorBidi" w:hAnsiTheme="minorBidi"/>
        </w:rPr>
        <w:t xml:space="preserve">German, </w:t>
      </w:r>
      <w:r w:rsidRPr="00344316">
        <w:rPr>
          <w:rFonts w:asciiTheme="minorBidi" w:hAnsiTheme="minorBidi"/>
          <w:i/>
          <w:iCs/>
        </w:rPr>
        <w:t>Melekh Yisrael</w:t>
      </w:r>
      <w:r w:rsidRPr="00344316">
        <w:rPr>
          <w:rFonts w:asciiTheme="minorBidi" w:hAnsiTheme="minorBidi"/>
        </w:rPr>
        <w:t xml:space="preserve">, 687-691, 735-738. </w:t>
      </w:r>
    </w:p>
  </w:footnote>
  <w:footnote w:id="13">
    <w:p w14:paraId="6526511B" w14:textId="77777777"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Also see HaRav Lichtenstein, “Communal Governance,” 84-87.</w:t>
      </w:r>
    </w:p>
  </w:footnote>
  <w:footnote w:id="14">
    <w:p w14:paraId="0A026BFA" w14:textId="12EAAD9F" w:rsidR="00D306F8" w:rsidRPr="00344316" w:rsidRDefault="00D306F8" w:rsidP="00227792">
      <w:pPr>
        <w:pStyle w:val="FootnoteText"/>
        <w:jc w:val="both"/>
        <w:rPr>
          <w:rFonts w:asciiTheme="minorBidi" w:hAnsiTheme="minorBidi"/>
        </w:rPr>
      </w:pPr>
      <w:r w:rsidRPr="00344316">
        <w:rPr>
          <w:rStyle w:val="FootnoteReference"/>
          <w:rFonts w:asciiTheme="minorBidi" w:hAnsiTheme="minorBidi"/>
        </w:rPr>
        <w:footnoteRef/>
      </w:r>
      <w:r w:rsidRPr="00344316">
        <w:rPr>
          <w:rFonts w:asciiTheme="minorBidi" w:hAnsiTheme="minorBidi"/>
        </w:rPr>
        <w:t xml:space="preserve"> See, for example, Prof. Menachem Elon, “On Power and Authority: Halachic Stance of the Traditional Community and Its Contemporary Implications</w:t>
      </w:r>
      <w:r w:rsidR="0094499E">
        <w:rPr>
          <w:rFonts w:asciiTheme="minorBidi" w:hAnsiTheme="minorBidi"/>
        </w:rPr>
        <w:t>;</w:t>
      </w:r>
      <w:r w:rsidRPr="00344316">
        <w:rPr>
          <w:rFonts w:asciiTheme="minorBidi" w:hAnsiTheme="minorBidi"/>
        </w:rPr>
        <w:t xml:space="preserve">” and Prof. Gerald Blidstein, “Individual and Community in the Middle Ages: Halakhic Theory” in </w:t>
      </w:r>
      <w:r w:rsidRPr="00344316">
        <w:rPr>
          <w:rFonts w:asciiTheme="minorBidi" w:hAnsiTheme="minorBidi"/>
          <w:i/>
          <w:iCs/>
        </w:rPr>
        <w:t>Kinship and Consent: The Jewish Political Tradition and Its Contemporary Uses</w:t>
      </w:r>
      <w:r w:rsidRPr="00344316">
        <w:rPr>
          <w:rFonts w:asciiTheme="minorBidi" w:hAnsiTheme="minorBidi"/>
        </w:rPr>
        <w:t xml:space="preserve"> (ed. Daniel Elazar) (Ramat Gan: 1981), 183-258.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E4B"/>
    <w:multiLevelType w:val="hybridMultilevel"/>
    <w:tmpl w:val="5D12EF3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5D415217"/>
    <w:multiLevelType w:val="hybridMultilevel"/>
    <w:tmpl w:val="25488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5F6706"/>
    <w:multiLevelType w:val="hybridMultilevel"/>
    <w:tmpl w:val="2710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F8"/>
    <w:rsid w:val="00003036"/>
    <w:rsid w:val="000129B7"/>
    <w:rsid w:val="000550C5"/>
    <w:rsid w:val="00073F26"/>
    <w:rsid w:val="000A0E26"/>
    <w:rsid w:val="000A20B1"/>
    <w:rsid w:val="000B7595"/>
    <w:rsid w:val="000C2002"/>
    <w:rsid w:val="000E1AB8"/>
    <w:rsid w:val="00120A7D"/>
    <w:rsid w:val="001222E0"/>
    <w:rsid w:val="001265C2"/>
    <w:rsid w:val="001370E7"/>
    <w:rsid w:val="00153109"/>
    <w:rsid w:val="00163113"/>
    <w:rsid w:val="00173BD1"/>
    <w:rsid w:val="00175168"/>
    <w:rsid w:val="001971C6"/>
    <w:rsid w:val="001B2061"/>
    <w:rsid w:val="001C7A40"/>
    <w:rsid w:val="001D4062"/>
    <w:rsid w:val="001D570D"/>
    <w:rsid w:val="001E480A"/>
    <w:rsid w:val="001E5E8B"/>
    <w:rsid w:val="002038D4"/>
    <w:rsid w:val="00225290"/>
    <w:rsid w:val="00227792"/>
    <w:rsid w:val="0024433A"/>
    <w:rsid w:val="002577F7"/>
    <w:rsid w:val="00260543"/>
    <w:rsid w:val="0026081B"/>
    <w:rsid w:val="002646F5"/>
    <w:rsid w:val="00295914"/>
    <w:rsid w:val="00296391"/>
    <w:rsid w:val="002A2116"/>
    <w:rsid w:val="002B256E"/>
    <w:rsid w:val="002D70FA"/>
    <w:rsid w:val="002E2CC0"/>
    <w:rsid w:val="002E5C27"/>
    <w:rsid w:val="002F2728"/>
    <w:rsid w:val="002F2ADA"/>
    <w:rsid w:val="003201FE"/>
    <w:rsid w:val="003202D8"/>
    <w:rsid w:val="00344316"/>
    <w:rsid w:val="00353237"/>
    <w:rsid w:val="00353E90"/>
    <w:rsid w:val="00367394"/>
    <w:rsid w:val="003874E9"/>
    <w:rsid w:val="00393949"/>
    <w:rsid w:val="003C5E49"/>
    <w:rsid w:val="003C654C"/>
    <w:rsid w:val="003D6E84"/>
    <w:rsid w:val="003E1054"/>
    <w:rsid w:val="003E2A25"/>
    <w:rsid w:val="003E4334"/>
    <w:rsid w:val="003E474C"/>
    <w:rsid w:val="003F1725"/>
    <w:rsid w:val="00401608"/>
    <w:rsid w:val="00412875"/>
    <w:rsid w:val="004511EC"/>
    <w:rsid w:val="00453C66"/>
    <w:rsid w:val="00454340"/>
    <w:rsid w:val="00467CA9"/>
    <w:rsid w:val="00471BBF"/>
    <w:rsid w:val="004733C4"/>
    <w:rsid w:val="0049205C"/>
    <w:rsid w:val="0049672C"/>
    <w:rsid w:val="004A395E"/>
    <w:rsid w:val="004B27F4"/>
    <w:rsid w:val="004C1126"/>
    <w:rsid w:val="004D0782"/>
    <w:rsid w:val="004D2C3C"/>
    <w:rsid w:val="004E0F75"/>
    <w:rsid w:val="00551791"/>
    <w:rsid w:val="00572340"/>
    <w:rsid w:val="00577493"/>
    <w:rsid w:val="00582FD1"/>
    <w:rsid w:val="005872B9"/>
    <w:rsid w:val="005B337D"/>
    <w:rsid w:val="005D164E"/>
    <w:rsid w:val="005D2B33"/>
    <w:rsid w:val="0060032F"/>
    <w:rsid w:val="00603574"/>
    <w:rsid w:val="00605580"/>
    <w:rsid w:val="006115DE"/>
    <w:rsid w:val="00626398"/>
    <w:rsid w:val="00642F91"/>
    <w:rsid w:val="00654415"/>
    <w:rsid w:val="006640A9"/>
    <w:rsid w:val="006669DC"/>
    <w:rsid w:val="00690FB5"/>
    <w:rsid w:val="006A578D"/>
    <w:rsid w:val="006C14F5"/>
    <w:rsid w:val="006D2BF8"/>
    <w:rsid w:val="006D4B6E"/>
    <w:rsid w:val="006E05A8"/>
    <w:rsid w:val="0070329A"/>
    <w:rsid w:val="00704E4B"/>
    <w:rsid w:val="00717736"/>
    <w:rsid w:val="00726CD9"/>
    <w:rsid w:val="007278E8"/>
    <w:rsid w:val="00730199"/>
    <w:rsid w:val="00737F01"/>
    <w:rsid w:val="007538E5"/>
    <w:rsid w:val="00767CCB"/>
    <w:rsid w:val="00767F5A"/>
    <w:rsid w:val="007745E4"/>
    <w:rsid w:val="00792A43"/>
    <w:rsid w:val="00797ADF"/>
    <w:rsid w:val="007B24F0"/>
    <w:rsid w:val="007C69CB"/>
    <w:rsid w:val="007E7BC3"/>
    <w:rsid w:val="007F366E"/>
    <w:rsid w:val="0080742C"/>
    <w:rsid w:val="00810CBA"/>
    <w:rsid w:val="00815DE1"/>
    <w:rsid w:val="00823AED"/>
    <w:rsid w:val="00826090"/>
    <w:rsid w:val="00827964"/>
    <w:rsid w:val="008304FE"/>
    <w:rsid w:val="00846F6D"/>
    <w:rsid w:val="0088695E"/>
    <w:rsid w:val="00897740"/>
    <w:rsid w:val="008B3709"/>
    <w:rsid w:val="008C0E82"/>
    <w:rsid w:val="008C25C7"/>
    <w:rsid w:val="008D14BE"/>
    <w:rsid w:val="00902289"/>
    <w:rsid w:val="00906081"/>
    <w:rsid w:val="00944232"/>
    <w:rsid w:val="0094499E"/>
    <w:rsid w:val="009476D6"/>
    <w:rsid w:val="00951420"/>
    <w:rsid w:val="00957031"/>
    <w:rsid w:val="009709EF"/>
    <w:rsid w:val="00974C73"/>
    <w:rsid w:val="0098626C"/>
    <w:rsid w:val="00990C61"/>
    <w:rsid w:val="00992DC0"/>
    <w:rsid w:val="009A1864"/>
    <w:rsid w:val="009A2AEB"/>
    <w:rsid w:val="009A2D86"/>
    <w:rsid w:val="009D19DB"/>
    <w:rsid w:val="009D23B9"/>
    <w:rsid w:val="009D352B"/>
    <w:rsid w:val="009D56B9"/>
    <w:rsid w:val="009E20F7"/>
    <w:rsid w:val="009E3E94"/>
    <w:rsid w:val="00A17498"/>
    <w:rsid w:val="00A27955"/>
    <w:rsid w:val="00A36A29"/>
    <w:rsid w:val="00A4737D"/>
    <w:rsid w:val="00A634F1"/>
    <w:rsid w:val="00A73086"/>
    <w:rsid w:val="00A9295A"/>
    <w:rsid w:val="00AA7BC6"/>
    <w:rsid w:val="00AC02CC"/>
    <w:rsid w:val="00AC6C64"/>
    <w:rsid w:val="00AE3D2A"/>
    <w:rsid w:val="00AE6121"/>
    <w:rsid w:val="00B04B07"/>
    <w:rsid w:val="00B14A31"/>
    <w:rsid w:val="00B14B69"/>
    <w:rsid w:val="00B15859"/>
    <w:rsid w:val="00B20062"/>
    <w:rsid w:val="00B26B0C"/>
    <w:rsid w:val="00B26DD2"/>
    <w:rsid w:val="00B2721A"/>
    <w:rsid w:val="00B377C6"/>
    <w:rsid w:val="00B55A9D"/>
    <w:rsid w:val="00B56E98"/>
    <w:rsid w:val="00BC20FD"/>
    <w:rsid w:val="00BE1064"/>
    <w:rsid w:val="00BE6769"/>
    <w:rsid w:val="00BE703E"/>
    <w:rsid w:val="00C00037"/>
    <w:rsid w:val="00C52603"/>
    <w:rsid w:val="00C52ABC"/>
    <w:rsid w:val="00C64BA3"/>
    <w:rsid w:val="00C65A5E"/>
    <w:rsid w:val="00C7126A"/>
    <w:rsid w:val="00C75CA3"/>
    <w:rsid w:val="00C90A29"/>
    <w:rsid w:val="00CB1495"/>
    <w:rsid w:val="00CB58DF"/>
    <w:rsid w:val="00CD0CA3"/>
    <w:rsid w:val="00CF3E1F"/>
    <w:rsid w:val="00CF3F8A"/>
    <w:rsid w:val="00D07632"/>
    <w:rsid w:val="00D306F8"/>
    <w:rsid w:val="00D31C5B"/>
    <w:rsid w:val="00D34B0E"/>
    <w:rsid w:val="00D425EE"/>
    <w:rsid w:val="00D45135"/>
    <w:rsid w:val="00D53083"/>
    <w:rsid w:val="00D67B89"/>
    <w:rsid w:val="00D73A53"/>
    <w:rsid w:val="00D820F9"/>
    <w:rsid w:val="00DA6EFF"/>
    <w:rsid w:val="00DC5035"/>
    <w:rsid w:val="00DD7C00"/>
    <w:rsid w:val="00DE1191"/>
    <w:rsid w:val="00DE64C3"/>
    <w:rsid w:val="00DE6513"/>
    <w:rsid w:val="00DE6B76"/>
    <w:rsid w:val="00DF5E61"/>
    <w:rsid w:val="00E05A0F"/>
    <w:rsid w:val="00E14FE6"/>
    <w:rsid w:val="00E17942"/>
    <w:rsid w:val="00E26F3C"/>
    <w:rsid w:val="00E65908"/>
    <w:rsid w:val="00E80D0E"/>
    <w:rsid w:val="00E85A83"/>
    <w:rsid w:val="00E90917"/>
    <w:rsid w:val="00E932B2"/>
    <w:rsid w:val="00EC70ED"/>
    <w:rsid w:val="00F040AE"/>
    <w:rsid w:val="00F12645"/>
    <w:rsid w:val="00F408D1"/>
    <w:rsid w:val="00F47DDF"/>
    <w:rsid w:val="00F66579"/>
    <w:rsid w:val="00F73DBB"/>
    <w:rsid w:val="00F74EF7"/>
    <w:rsid w:val="00F90D67"/>
    <w:rsid w:val="00FB1C6A"/>
    <w:rsid w:val="00FB1CF6"/>
    <w:rsid w:val="00FB3854"/>
    <w:rsid w:val="00FB4E94"/>
    <w:rsid w:val="00FB5E08"/>
    <w:rsid w:val="00FF0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F8"/>
    <w:pPr>
      <w:ind w:left="720"/>
      <w:contextualSpacing/>
    </w:pPr>
  </w:style>
  <w:style w:type="paragraph" w:styleId="FootnoteText">
    <w:name w:val="footnote text"/>
    <w:basedOn w:val="Normal"/>
    <w:link w:val="FootnoteTextChar"/>
    <w:uiPriority w:val="99"/>
    <w:unhideWhenUsed/>
    <w:rsid w:val="00D306F8"/>
    <w:pPr>
      <w:spacing w:after="0" w:line="240" w:lineRule="auto"/>
    </w:pPr>
    <w:rPr>
      <w:sz w:val="20"/>
      <w:szCs w:val="20"/>
    </w:rPr>
  </w:style>
  <w:style w:type="character" w:customStyle="1" w:styleId="FootnoteTextChar">
    <w:name w:val="Footnote Text Char"/>
    <w:basedOn w:val="DefaultParagraphFont"/>
    <w:link w:val="FootnoteText"/>
    <w:uiPriority w:val="99"/>
    <w:rsid w:val="00D306F8"/>
    <w:rPr>
      <w:sz w:val="20"/>
      <w:szCs w:val="20"/>
    </w:rPr>
  </w:style>
  <w:style w:type="character" w:styleId="FootnoteReference">
    <w:name w:val="footnote reference"/>
    <w:basedOn w:val="DefaultParagraphFont"/>
    <w:uiPriority w:val="99"/>
    <w:semiHidden/>
    <w:unhideWhenUsed/>
    <w:rsid w:val="00D306F8"/>
    <w:rPr>
      <w:vertAlign w:val="superscript"/>
    </w:rPr>
  </w:style>
  <w:style w:type="character" w:styleId="Hyperlink">
    <w:name w:val="Hyperlink"/>
    <w:basedOn w:val="DefaultParagraphFont"/>
    <w:uiPriority w:val="99"/>
    <w:unhideWhenUsed/>
    <w:rsid w:val="00D306F8"/>
    <w:rPr>
      <w:color w:val="0563C1" w:themeColor="hyperlink"/>
      <w:u w:val="single"/>
    </w:rPr>
  </w:style>
  <w:style w:type="character" w:styleId="FollowedHyperlink">
    <w:name w:val="FollowedHyperlink"/>
    <w:basedOn w:val="DefaultParagraphFont"/>
    <w:uiPriority w:val="99"/>
    <w:semiHidden/>
    <w:unhideWhenUsed/>
    <w:rsid w:val="00D306F8"/>
    <w:rPr>
      <w:color w:val="954F72" w:themeColor="followedHyperlink"/>
      <w:u w:val="single"/>
    </w:rPr>
  </w:style>
  <w:style w:type="paragraph" w:customStyle="1" w:styleId="CC">
    <w:name w:val="CC"/>
    <w:basedOn w:val="BodyText"/>
    <w:rsid w:val="00D306F8"/>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D306F8"/>
    <w:pPr>
      <w:spacing w:after="120"/>
    </w:pPr>
  </w:style>
  <w:style w:type="character" w:customStyle="1" w:styleId="BodyTextChar">
    <w:name w:val="Body Text Char"/>
    <w:basedOn w:val="DefaultParagraphFont"/>
    <w:link w:val="BodyText"/>
    <w:uiPriority w:val="99"/>
    <w:semiHidden/>
    <w:rsid w:val="00D306F8"/>
  </w:style>
  <w:style w:type="paragraph" w:styleId="BalloonText">
    <w:name w:val="Balloon Text"/>
    <w:basedOn w:val="Normal"/>
    <w:link w:val="BalloonTextChar"/>
    <w:uiPriority w:val="99"/>
    <w:semiHidden/>
    <w:unhideWhenUsed/>
    <w:rsid w:val="0094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32"/>
    <w:rPr>
      <w:rFonts w:ascii="Segoe UI" w:hAnsi="Segoe UI" w:cs="Segoe UI"/>
      <w:sz w:val="18"/>
      <w:szCs w:val="18"/>
    </w:rPr>
  </w:style>
  <w:style w:type="paragraph" w:styleId="Header">
    <w:name w:val="header"/>
    <w:basedOn w:val="Normal"/>
    <w:link w:val="HeaderChar"/>
    <w:uiPriority w:val="99"/>
    <w:unhideWhenUsed/>
    <w:rsid w:val="009E20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20F7"/>
  </w:style>
  <w:style w:type="paragraph" w:styleId="Footer">
    <w:name w:val="footer"/>
    <w:basedOn w:val="Normal"/>
    <w:link w:val="FooterChar"/>
    <w:uiPriority w:val="99"/>
    <w:unhideWhenUsed/>
    <w:rsid w:val="009E20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2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F8"/>
    <w:pPr>
      <w:ind w:left="720"/>
      <w:contextualSpacing/>
    </w:pPr>
  </w:style>
  <w:style w:type="paragraph" w:styleId="FootnoteText">
    <w:name w:val="footnote text"/>
    <w:basedOn w:val="Normal"/>
    <w:link w:val="FootnoteTextChar"/>
    <w:uiPriority w:val="99"/>
    <w:unhideWhenUsed/>
    <w:rsid w:val="00D306F8"/>
    <w:pPr>
      <w:spacing w:after="0" w:line="240" w:lineRule="auto"/>
    </w:pPr>
    <w:rPr>
      <w:sz w:val="20"/>
      <w:szCs w:val="20"/>
    </w:rPr>
  </w:style>
  <w:style w:type="character" w:customStyle="1" w:styleId="FootnoteTextChar">
    <w:name w:val="Footnote Text Char"/>
    <w:basedOn w:val="DefaultParagraphFont"/>
    <w:link w:val="FootnoteText"/>
    <w:uiPriority w:val="99"/>
    <w:rsid w:val="00D306F8"/>
    <w:rPr>
      <w:sz w:val="20"/>
      <w:szCs w:val="20"/>
    </w:rPr>
  </w:style>
  <w:style w:type="character" w:styleId="FootnoteReference">
    <w:name w:val="footnote reference"/>
    <w:basedOn w:val="DefaultParagraphFont"/>
    <w:uiPriority w:val="99"/>
    <w:semiHidden/>
    <w:unhideWhenUsed/>
    <w:rsid w:val="00D306F8"/>
    <w:rPr>
      <w:vertAlign w:val="superscript"/>
    </w:rPr>
  </w:style>
  <w:style w:type="character" w:styleId="Hyperlink">
    <w:name w:val="Hyperlink"/>
    <w:basedOn w:val="DefaultParagraphFont"/>
    <w:uiPriority w:val="99"/>
    <w:unhideWhenUsed/>
    <w:rsid w:val="00D306F8"/>
    <w:rPr>
      <w:color w:val="0563C1" w:themeColor="hyperlink"/>
      <w:u w:val="single"/>
    </w:rPr>
  </w:style>
  <w:style w:type="character" w:styleId="FollowedHyperlink">
    <w:name w:val="FollowedHyperlink"/>
    <w:basedOn w:val="DefaultParagraphFont"/>
    <w:uiPriority w:val="99"/>
    <w:semiHidden/>
    <w:unhideWhenUsed/>
    <w:rsid w:val="00D306F8"/>
    <w:rPr>
      <w:color w:val="954F72" w:themeColor="followedHyperlink"/>
      <w:u w:val="single"/>
    </w:rPr>
  </w:style>
  <w:style w:type="paragraph" w:customStyle="1" w:styleId="CC">
    <w:name w:val="CC"/>
    <w:basedOn w:val="BodyText"/>
    <w:rsid w:val="00D306F8"/>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D306F8"/>
    <w:pPr>
      <w:spacing w:after="120"/>
    </w:pPr>
  </w:style>
  <w:style w:type="character" w:customStyle="1" w:styleId="BodyTextChar">
    <w:name w:val="Body Text Char"/>
    <w:basedOn w:val="DefaultParagraphFont"/>
    <w:link w:val="BodyText"/>
    <w:uiPriority w:val="99"/>
    <w:semiHidden/>
    <w:rsid w:val="00D306F8"/>
  </w:style>
  <w:style w:type="paragraph" w:styleId="BalloonText">
    <w:name w:val="Balloon Text"/>
    <w:basedOn w:val="Normal"/>
    <w:link w:val="BalloonTextChar"/>
    <w:uiPriority w:val="99"/>
    <w:semiHidden/>
    <w:unhideWhenUsed/>
    <w:rsid w:val="0094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32"/>
    <w:rPr>
      <w:rFonts w:ascii="Segoe UI" w:hAnsi="Segoe UI" w:cs="Segoe UI"/>
      <w:sz w:val="18"/>
      <w:szCs w:val="18"/>
    </w:rPr>
  </w:style>
  <w:style w:type="paragraph" w:styleId="Header">
    <w:name w:val="header"/>
    <w:basedOn w:val="Normal"/>
    <w:link w:val="HeaderChar"/>
    <w:uiPriority w:val="99"/>
    <w:unhideWhenUsed/>
    <w:rsid w:val="009E20F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20F7"/>
  </w:style>
  <w:style w:type="paragraph" w:styleId="Footer">
    <w:name w:val="footer"/>
    <w:basedOn w:val="Normal"/>
    <w:link w:val="FooterChar"/>
    <w:uiPriority w:val="99"/>
    <w:unhideWhenUsed/>
    <w:rsid w:val="009E20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ideas.org/article/what-makes-halakhic-thinking-mor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religion-and-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2019-04-11T08:05:00Z</dcterms:created>
  <dcterms:modified xsi:type="dcterms:W3CDTF">2019-05-01T07:40:00Z</dcterms:modified>
</cp:coreProperties>
</file>