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31" w:rsidRDefault="00033D31" w:rsidP="0063771E">
      <w:pPr>
        <w:widowControl w:val="0"/>
        <w:shd w:val="clear" w:color="auto" w:fill="FFFFFF"/>
        <w:spacing w:after="0" w:line="240" w:lineRule="auto"/>
        <w:jc w:val="center"/>
        <w:rPr>
          <w:rFonts w:asciiTheme="minorBidi" w:hAnsiTheme="minorBidi"/>
          <w:b/>
          <w:bCs/>
          <w:caps/>
          <w:sz w:val="24"/>
          <w:szCs w:val="24"/>
        </w:rPr>
      </w:pPr>
      <w:r>
        <w:rPr>
          <w:rFonts w:asciiTheme="minorBidi" w:hAnsiTheme="minorBidi"/>
          <w:b/>
          <w:bCs/>
          <w:caps/>
          <w:sz w:val="24"/>
          <w:szCs w:val="24"/>
        </w:rPr>
        <w:t>YESHIVAT HAR ETZION</w:t>
      </w:r>
    </w:p>
    <w:p w:rsidR="00033D31" w:rsidRDefault="00033D31" w:rsidP="0063771E">
      <w:pPr>
        <w:widowControl w:val="0"/>
        <w:shd w:val="clear" w:color="auto" w:fill="FFFFFF"/>
        <w:spacing w:after="0"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rsidR="00033D31" w:rsidRDefault="00033D31" w:rsidP="0063771E">
      <w:pPr>
        <w:widowControl w:val="0"/>
        <w:shd w:val="clear" w:color="auto" w:fill="FFFFFF"/>
        <w:spacing w:after="0" w:line="240" w:lineRule="auto"/>
        <w:jc w:val="center"/>
        <w:rPr>
          <w:rFonts w:asciiTheme="minorBidi" w:hAnsiTheme="minorBidi"/>
          <w:sz w:val="24"/>
          <w:szCs w:val="24"/>
        </w:rPr>
      </w:pPr>
      <w:r>
        <w:rPr>
          <w:rFonts w:asciiTheme="minorBidi" w:hAnsiTheme="minorBidi"/>
          <w:caps/>
          <w:sz w:val="24"/>
          <w:szCs w:val="24"/>
        </w:rPr>
        <w:t>*********************************************************</w:t>
      </w:r>
    </w:p>
    <w:p w:rsidR="00033D31" w:rsidRDefault="00033D31" w:rsidP="0063771E">
      <w:pPr>
        <w:widowControl w:val="0"/>
        <w:shd w:val="clear" w:color="auto" w:fill="FFFFFF"/>
        <w:spacing w:after="0" w:line="240" w:lineRule="auto"/>
        <w:jc w:val="center"/>
        <w:rPr>
          <w:rFonts w:asciiTheme="minorBidi" w:hAnsiTheme="minorBidi"/>
          <w:sz w:val="24"/>
          <w:szCs w:val="24"/>
        </w:rPr>
      </w:pPr>
    </w:p>
    <w:p w:rsidR="00033D31" w:rsidRDefault="00033D31" w:rsidP="0063771E">
      <w:pPr>
        <w:widowControl w:val="0"/>
        <w:shd w:val="clear" w:color="auto" w:fill="FFFFFF"/>
        <w:spacing w:after="0" w:line="240" w:lineRule="auto"/>
        <w:jc w:val="center"/>
        <w:rPr>
          <w:rFonts w:asciiTheme="minorBidi" w:hAnsiTheme="minorBidi"/>
          <w:sz w:val="24"/>
          <w:szCs w:val="24"/>
        </w:rPr>
      </w:pPr>
      <w:r>
        <w:rPr>
          <w:rFonts w:asciiTheme="minorBidi" w:hAnsiTheme="minorBidi"/>
          <w:b/>
          <w:bCs/>
          <w:sz w:val="24"/>
          <w:szCs w:val="24"/>
        </w:rPr>
        <w:t>The Path of the Piaseczner Rebbe</w:t>
      </w:r>
    </w:p>
    <w:p w:rsidR="00033D31" w:rsidRDefault="00033D31" w:rsidP="0063771E">
      <w:pPr>
        <w:widowControl w:val="0"/>
        <w:shd w:val="clear" w:color="auto" w:fill="FFFFFF"/>
        <w:spacing w:after="0" w:line="240" w:lineRule="auto"/>
        <w:jc w:val="center"/>
        <w:rPr>
          <w:rFonts w:asciiTheme="minorBidi" w:hAnsiTheme="minorBidi"/>
          <w:b/>
          <w:bCs/>
          <w:sz w:val="24"/>
          <w:szCs w:val="24"/>
        </w:rPr>
      </w:pPr>
      <w:r>
        <w:rPr>
          <w:rFonts w:asciiTheme="minorBidi" w:hAnsiTheme="minorBidi"/>
          <w:b/>
          <w:bCs/>
          <w:sz w:val="24"/>
          <w:szCs w:val="24"/>
        </w:rPr>
        <w:t>By Dr. Ron Wacks</w:t>
      </w:r>
    </w:p>
    <w:p w:rsidR="0063771E" w:rsidRDefault="0063771E" w:rsidP="0063771E">
      <w:pPr>
        <w:widowControl w:val="0"/>
        <w:shd w:val="clear" w:color="auto" w:fill="FFFFFF"/>
        <w:spacing w:after="0" w:line="240" w:lineRule="auto"/>
        <w:jc w:val="center"/>
        <w:rPr>
          <w:rFonts w:asciiTheme="minorBidi" w:hAnsiTheme="minorBidi"/>
          <w:b/>
          <w:bCs/>
          <w:sz w:val="24"/>
          <w:szCs w:val="24"/>
        </w:rPr>
      </w:pPr>
    </w:p>
    <w:p w:rsidR="0063771E" w:rsidRPr="00A5625A" w:rsidRDefault="0063771E" w:rsidP="0063771E">
      <w:pPr>
        <w:spacing w:after="0" w:line="240" w:lineRule="auto"/>
        <w:jc w:val="center"/>
        <w:rPr>
          <w:rFonts w:asciiTheme="minorBidi" w:hAnsiTheme="minorBidi"/>
          <w:sz w:val="24"/>
          <w:szCs w:val="24"/>
          <w:rtl/>
        </w:rPr>
      </w:pPr>
      <w:r w:rsidRPr="00A5625A">
        <w:rPr>
          <w:rFonts w:asciiTheme="minorBidi" w:hAnsiTheme="minorBidi"/>
          <w:sz w:val="24"/>
          <w:szCs w:val="24"/>
        </w:rPr>
        <w:t>*************************************************************</w:t>
      </w:r>
    </w:p>
    <w:p w:rsidR="0063771E" w:rsidRPr="00A5625A" w:rsidRDefault="0063771E" w:rsidP="0063771E">
      <w:pPr>
        <w:spacing w:after="0" w:line="240" w:lineRule="auto"/>
        <w:jc w:val="center"/>
        <w:rPr>
          <w:rFonts w:asciiTheme="minorBidi" w:hAnsiTheme="minorBidi"/>
          <w:sz w:val="24"/>
          <w:szCs w:val="24"/>
        </w:rPr>
      </w:pPr>
      <w:r w:rsidRPr="00A5625A">
        <w:rPr>
          <w:rFonts w:asciiTheme="minorBidi" w:hAnsiTheme="minorBidi"/>
          <w:sz w:val="24"/>
          <w:szCs w:val="24"/>
        </w:rPr>
        <w:t>Dedicated in memory of Rabbi Jack Sable z”l and</w:t>
      </w:r>
    </w:p>
    <w:p w:rsidR="0063771E" w:rsidRPr="00A5625A" w:rsidRDefault="0063771E" w:rsidP="0063771E">
      <w:pPr>
        <w:spacing w:after="0" w:line="240" w:lineRule="auto"/>
        <w:jc w:val="center"/>
        <w:rPr>
          <w:rFonts w:asciiTheme="minorBidi" w:hAnsiTheme="minorBidi"/>
          <w:sz w:val="24"/>
          <w:szCs w:val="24"/>
        </w:rPr>
      </w:pPr>
      <w:r w:rsidRPr="00A5625A">
        <w:rPr>
          <w:rFonts w:asciiTheme="minorBidi" w:hAnsiTheme="minorBidi"/>
          <w:sz w:val="24"/>
          <w:szCs w:val="24"/>
        </w:rPr>
        <w:t>Ambassador Yehuda Avner z”l</w:t>
      </w:r>
    </w:p>
    <w:p w:rsidR="0063771E" w:rsidRPr="00A5625A" w:rsidRDefault="0063771E" w:rsidP="0063771E">
      <w:pPr>
        <w:spacing w:after="0" w:line="240" w:lineRule="auto"/>
        <w:jc w:val="center"/>
        <w:rPr>
          <w:rFonts w:asciiTheme="minorBidi" w:hAnsiTheme="minorBidi"/>
          <w:sz w:val="24"/>
          <w:szCs w:val="24"/>
        </w:rPr>
      </w:pPr>
      <w:r w:rsidRPr="00A5625A">
        <w:rPr>
          <w:rFonts w:asciiTheme="minorBidi" w:hAnsiTheme="minorBidi"/>
          <w:sz w:val="24"/>
          <w:szCs w:val="24"/>
        </w:rPr>
        <w:t>By Debbi and David Sable</w:t>
      </w:r>
    </w:p>
    <w:p w:rsidR="00033D31" w:rsidRDefault="0063771E" w:rsidP="0063771E">
      <w:pPr>
        <w:spacing w:after="0" w:line="240" w:lineRule="auto"/>
        <w:jc w:val="center"/>
        <w:rPr>
          <w:rFonts w:asciiTheme="minorBidi" w:hAnsiTheme="minorBidi"/>
          <w:sz w:val="24"/>
          <w:szCs w:val="24"/>
        </w:rPr>
      </w:pPr>
      <w:r w:rsidRPr="00A5625A">
        <w:rPr>
          <w:rFonts w:asciiTheme="minorBidi" w:hAnsiTheme="minorBidi"/>
          <w:sz w:val="24"/>
          <w:szCs w:val="24"/>
        </w:rPr>
        <w:t>*************************************************************</w:t>
      </w:r>
    </w:p>
    <w:p w:rsidR="00033D31" w:rsidRDefault="00033D31" w:rsidP="0063771E">
      <w:pPr>
        <w:spacing w:after="0" w:line="240" w:lineRule="auto"/>
        <w:jc w:val="both"/>
        <w:rPr>
          <w:rFonts w:asciiTheme="minorBidi" w:hAnsiTheme="minorBidi"/>
          <w:sz w:val="24"/>
          <w:szCs w:val="24"/>
        </w:rPr>
      </w:pPr>
    </w:p>
    <w:p w:rsidR="00101D84" w:rsidRDefault="00101D84" w:rsidP="0063771E">
      <w:pPr>
        <w:spacing w:after="0" w:line="240" w:lineRule="auto"/>
        <w:jc w:val="both"/>
        <w:rPr>
          <w:rFonts w:asciiTheme="minorBidi" w:hAnsiTheme="minorBidi"/>
          <w:sz w:val="24"/>
          <w:szCs w:val="24"/>
        </w:rPr>
      </w:pPr>
    </w:p>
    <w:p w:rsidR="00033D31" w:rsidRDefault="00033D31" w:rsidP="0063771E">
      <w:pPr>
        <w:spacing w:after="0" w:line="240" w:lineRule="auto"/>
        <w:jc w:val="center"/>
        <w:rPr>
          <w:rFonts w:asciiTheme="minorBidi" w:hAnsiTheme="minorBidi"/>
          <w:b/>
          <w:bCs/>
          <w:sz w:val="24"/>
          <w:szCs w:val="24"/>
        </w:rPr>
      </w:pPr>
      <w:r w:rsidRPr="0063771E">
        <w:rPr>
          <w:rFonts w:asciiTheme="minorBidi" w:hAnsiTheme="minorBidi"/>
          <w:b/>
          <w:bCs/>
          <w:sz w:val="24"/>
          <w:szCs w:val="24"/>
        </w:rPr>
        <w:t>Shiur</w:t>
      </w:r>
      <w:r>
        <w:rPr>
          <w:rFonts w:asciiTheme="minorBidi" w:hAnsiTheme="minorBidi"/>
          <w:b/>
          <w:bCs/>
          <w:sz w:val="24"/>
          <w:szCs w:val="24"/>
        </w:rPr>
        <w:t xml:space="preserve"> #49: </w:t>
      </w:r>
      <w:r w:rsidR="00BF58CA">
        <w:rPr>
          <w:rFonts w:asciiTheme="minorBidi" w:hAnsiTheme="minorBidi"/>
          <w:b/>
          <w:bCs/>
          <w:sz w:val="24"/>
          <w:szCs w:val="24"/>
        </w:rPr>
        <w:t>Levels of P</w:t>
      </w:r>
      <w:r w:rsidRPr="00033D31">
        <w:rPr>
          <w:rFonts w:asciiTheme="minorBidi" w:hAnsiTheme="minorBidi"/>
          <w:b/>
          <w:bCs/>
          <w:sz w:val="24"/>
          <w:szCs w:val="24"/>
        </w:rPr>
        <w:t>rophecy</w:t>
      </w:r>
    </w:p>
    <w:p w:rsidR="00A442BF" w:rsidRPr="00033D31" w:rsidRDefault="00A442BF" w:rsidP="0063771E">
      <w:pPr>
        <w:spacing w:after="0" w:line="240" w:lineRule="auto"/>
        <w:jc w:val="both"/>
        <w:rPr>
          <w:rFonts w:asciiTheme="minorBidi" w:hAnsiTheme="minorBidi"/>
          <w:sz w:val="24"/>
          <w:szCs w:val="24"/>
        </w:rPr>
      </w:pPr>
    </w:p>
    <w:p w:rsidR="00033D31" w:rsidRPr="00033D31" w:rsidRDefault="00033D31" w:rsidP="0063771E">
      <w:pPr>
        <w:spacing w:after="0" w:line="240" w:lineRule="auto"/>
        <w:jc w:val="both"/>
        <w:rPr>
          <w:rFonts w:asciiTheme="minorBidi" w:hAnsiTheme="minorBidi"/>
          <w:b/>
          <w:bCs/>
          <w:sz w:val="24"/>
          <w:szCs w:val="24"/>
        </w:rPr>
      </w:pPr>
    </w:p>
    <w:p w:rsidR="00BF58CA" w:rsidRDefault="00A442BF" w:rsidP="0063771E">
      <w:pPr>
        <w:spacing w:after="0" w:line="240" w:lineRule="auto"/>
        <w:ind w:firstLine="720"/>
        <w:jc w:val="both"/>
        <w:rPr>
          <w:rFonts w:asciiTheme="minorBidi" w:hAnsiTheme="minorBidi"/>
          <w:sz w:val="24"/>
          <w:szCs w:val="24"/>
        </w:rPr>
      </w:pPr>
      <w:r w:rsidRPr="00033D31">
        <w:rPr>
          <w:rFonts w:asciiTheme="minorBidi" w:hAnsiTheme="minorBidi"/>
          <w:i/>
          <w:iCs/>
          <w:sz w:val="24"/>
          <w:szCs w:val="24"/>
        </w:rPr>
        <w:t>Chazal</w:t>
      </w:r>
      <w:r w:rsidRPr="00033D31">
        <w:rPr>
          <w:rFonts w:asciiTheme="minorBidi" w:hAnsiTheme="minorBidi"/>
          <w:sz w:val="24"/>
          <w:szCs w:val="24"/>
        </w:rPr>
        <w:t xml:space="preserve"> teach that “there were forty-eight men prophets and seven women prophets who prophesized for Israel” (</w:t>
      </w:r>
      <w:r w:rsidRPr="00033D31">
        <w:rPr>
          <w:rFonts w:asciiTheme="minorBidi" w:hAnsiTheme="minorBidi"/>
          <w:i/>
          <w:iCs/>
          <w:sz w:val="24"/>
          <w:szCs w:val="24"/>
        </w:rPr>
        <w:t>Megilla</w:t>
      </w:r>
      <w:r w:rsidRPr="00033D31">
        <w:rPr>
          <w:rFonts w:asciiTheme="minorBidi" w:hAnsiTheme="minorBidi"/>
          <w:sz w:val="24"/>
          <w:szCs w:val="24"/>
        </w:rPr>
        <w:t xml:space="preserve"> 14a), but they also teach that “Many prophets arose in Israel, double the number of those who c</w:t>
      </w:r>
      <w:r w:rsidR="008A3795" w:rsidRPr="00033D31">
        <w:rPr>
          <w:rFonts w:asciiTheme="minorBidi" w:hAnsiTheme="minorBidi"/>
          <w:sz w:val="24"/>
          <w:szCs w:val="24"/>
        </w:rPr>
        <w:t>ame out of Egypt” (ibid.). This suggests that</w:t>
      </w:r>
      <w:r w:rsidRPr="00033D31">
        <w:rPr>
          <w:rFonts w:asciiTheme="minorBidi" w:hAnsiTheme="minorBidi"/>
          <w:sz w:val="24"/>
          <w:szCs w:val="24"/>
        </w:rPr>
        <w:t xml:space="preserve"> there were not forty-eight prophets, but rather an immeasurably </w:t>
      </w:r>
      <w:r w:rsidR="008A3795" w:rsidRPr="00033D31">
        <w:rPr>
          <w:rFonts w:asciiTheme="minorBidi" w:hAnsiTheme="minorBidi"/>
          <w:sz w:val="24"/>
          <w:szCs w:val="24"/>
        </w:rPr>
        <w:t>greater number, considering that</w:t>
      </w:r>
      <w:r w:rsidRPr="00033D31">
        <w:rPr>
          <w:rFonts w:asciiTheme="minorBidi" w:hAnsiTheme="minorBidi"/>
          <w:sz w:val="24"/>
          <w:szCs w:val="24"/>
        </w:rPr>
        <w:t xml:space="preserve"> </w:t>
      </w:r>
      <w:r w:rsidR="008A3795" w:rsidRPr="00BF58CA">
        <w:rPr>
          <w:rFonts w:asciiTheme="minorBidi" w:hAnsiTheme="minorBidi"/>
          <w:i/>
          <w:iCs/>
          <w:sz w:val="24"/>
          <w:szCs w:val="24"/>
        </w:rPr>
        <w:t>Bnei Yisrael</w:t>
      </w:r>
      <w:r w:rsidR="008A3795" w:rsidRPr="00033D31">
        <w:rPr>
          <w:rFonts w:asciiTheme="minorBidi" w:hAnsiTheme="minorBidi"/>
          <w:sz w:val="24"/>
          <w:szCs w:val="24"/>
        </w:rPr>
        <w:t xml:space="preserve"> numbered </w:t>
      </w:r>
      <w:r w:rsidRPr="00033D31">
        <w:rPr>
          <w:rFonts w:asciiTheme="minorBidi" w:hAnsiTheme="minorBidi"/>
          <w:sz w:val="24"/>
          <w:szCs w:val="24"/>
        </w:rPr>
        <w:t>six hundred thousand</w:t>
      </w:r>
      <w:r w:rsidR="00BF58CA">
        <w:rPr>
          <w:rFonts w:asciiTheme="minorBidi" w:hAnsiTheme="minorBidi"/>
          <w:sz w:val="24"/>
          <w:szCs w:val="24"/>
        </w:rPr>
        <w:t xml:space="preserve"> when they left Egypt</w:t>
      </w:r>
      <w:r w:rsidRPr="00033D31">
        <w:rPr>
          <w:rFonts w:asciiTheme="minorBidi" w:hAnsiTheme="minorBidi"/>
          <w:sz w:val="24"/>
          <w:szCs w:val="24"/>
        </w:rPr>
        <w:t>.</w:t>
      </w:r>
      <w:r w:rsidRPr="00033D31">
        <w:rPr>
          <w:rStyle w:val="FootnoteReference"/>
          <w:rFonts w:asciiTheme="minorBidi" w:hAnsiTheme="minorBidi"/>
          <w:sz w:val="24"/>
          <w:szCs w:val="24"/>
        </w:rPr>
        <w:footnoteReference w:id="1"/>
      </w:r>
      <w:r w:rsidR="00BF58CA">
        <w:rPr>
          <w:rFonts w:asciiTheme="minorBidi" w:hAnsiTheme="minorBidi"/>
          <w:sz w:val="24"/>
          <w:szCs w:val="24"/>
        </w:rPr>
        <w:t xml:space="preserve"> The </w:t>
      </w:r>
      <w:r w:rsidR="00BF58CA" w:rsidRPr="00BF58CA">
        <w:rPr>
          <w:rFonts w:asciiTheme="minorBidi" w:hAnsiTheme="minorBidi"/>
          <w:i/>
          <w:iCs/>
          <w:sz w:val="24"/>
          <w:szCs w:val="24"/>
        </w:rPr>
        <w:t>g</w:t>
      </w:r>
      <w:r w:rsidR="009525DB" w:rsidRPr="00BF58CA">
        <w:rPr>
          <w:rFonts w:asciiTheme="minorBidi" w:hAnsiTheme="minorBidi"/>
          <w:i/>
          <w:iCs/>
          <w:sz w:val="24"/>
          <w:szCs w:val="24"/>
        </w:rPr>
        <w:t>emara</w:t>
      </w:r>
      <w:r w:rsidR="009525DB" w:rsidRPr="00033D31">
        <w:rPr>
          <w:rFonts w:asciiTheme="minorBidi" w:hAnsiTheme="minorBidi"/>
          <w:sz w:val="24"/>
          <w:szCs w:val="24"/>
        </w:rPr>
        <w:t xml:space="preserve"> resolves th</w:t>
      </w:r>
      <w:r w:rsidR="00BF58CA">
        <w:rPr>
          <w:rFonts w:asciiTheme="minorBidi" w:hAnsiTheme="minorBidi"/>
          <w:sz w:val="24"/>
          <w:szCs w:val="24"/>
        </w:rPr>
        <w:t>e discrepancy by concluding,</w:t>
      </w:r>
      <w:r w:rsidR="009525DB" w:rsidRPr="00033D31">
        <w:rPr>
          <w:rFonts w:asciiTheme="minorBidi" w:hAnsiTheme="minorBidi"/>
          <w:sz w:val="24"/>
          <w:szCs w:val="24"/>
        </w:rPr>
        <w:t xml:space="preserve"> “Prophecies that were relevant for future generations were committed to writing; those that were not, were not committed to writing” (ibid.). </w:t>
      </w:r>
    </w:p>
    <w:p w:rsidR="00BF58CA" w:rsidRDefault="00BF58CA" w:rsidP="0063771E">
      <w:pPr>
        <w:spacing w:after="0" w:line="240" w:lineRule="auto"/>
        <w:ind w:firstLine="720"/>
        <w:jc w:val="both"/>
        <w:rPr>
          <w:rFonts w:asciiTheme="minorBidi" w:hAnsiTheme="minorBidi"/>
          <w:sz w:val="24"/>
          <w:szCs w:val="24"/>
        </w:rPr>
      </w:pPr>
    </w:p>
    <w:p w:rsidR="00A442BF" w:rsidRDefault="009525DB" w:rsidP="0063771E">
      <w:pPr>
        <w:spacing w:after="0" w:line="240" w:lineRule="auto"/>
        <w:ind w:firstLine="720"/>
        <w:jc w:val="both"/>
        <w:rPr>
          <w:rFonts w:asciiTheme="minorBidi" w:hAnsiTheme="minorBidi"/>
          <w:sz w:val="24"/>
          <w:szCs w:val="24"/>
        </w:rPr>
      </w:pPr>
      <w:r w:rsidRPr="00033D31">
        <w:rPr>
          <w:rFonts w:asciiTheme="minorBidi" w:hAnsiTheme="minorBidi"/>
          <w:sz w:val="24"/>
          <w:szCs w:val="24"/>
        </w:rPr>
        <w:t xml:space="preserve">R. Kalonymus </w:t>
      </w:r>
      <w:r w:rsidR="00BF58CA">
        <w:rPr>
          <w:rFonts w:asciiTheme="minorBidi" w:hAnsiTheme="minorBidi"/>
          <w:sz w:val="24"/>
          <w:szCs w:val="24"/>
        </w:rPr>
        <w:t>finds it difficult to accept</w:t>
      </w:r>
      <w:r w:rsidRPr="00033D31">
        <w:rPr>
          <w:rFonts w:asciiTheme="minorBidi" w:hAnsiTheme="minorBidi"/>
          <w:sz w:val="24"/>
          <w:szCs w:val="24"/>
        </w:rPr>
        <w:t xml:space="preserve"> Rashi’s explanation</w:t>
      </w:r>
      <w:r w:rsidR="00BF58CA">
        <w:rPr>
          <w:rFonts w:asciiTheme="minorBidi" w:hAnsiTheme="minorBidi"/>
          <w:sz w:val="24"/>
          <w:szCs w:val="24"/>
        </w:rPr>
        <w:t xml:space="preserve"> (ad loc.)</w:t>
      </w:r>
      <w:r w:rsidRPr="00033D31">
        <w:rPr>
          <w:rFonts w:asciiTheme="minorBidi" w:hAnsiTheme="minorBidi"/>
          <w:sz w:val="24"/>
          <w:szCs w:val="24"/>
        </w:rPr>
        <w:t xml:space="preserve"> that the forty-eight men prophets and seven women prophets studied </w:t>
      </w:r>
      <w:r w:rsidR="00161057" w:rsidRPr="00033D31">
        <w:rPr>
          <w:rFonts w:asciiTheme="minorBidi" w:hAnsiTheme="minorBidi"/>
          <w:sz w:val="24"/>
          <w:szCs w:val="24"/>
        </w:rPr>
        <w:t xml:space="preserve">teachings and </w:t>
      </w:r>
      <w:r w:rsidR="00161057" w:rsidRPr="00033D31">
        <w:rPr>
          <w:rFonts w:asciiTheme="minorBidi" w:hAnsiTheme="minorBidi"/>
          <w:i/>
          <w:iCs/>
          <w:sz w:val="24"/>
          <w:szCs w:val="24"/>
        </w:rPr>
        <w:t>mussar</w:t>
      </w:r>
      <w:r w:rsidR="00161057" w:rsidRPr="00033D31">
        <w:rPr>
          <w:rFonts w:asciiTheme="minorBidi" w:hAnsiTheme="minorBidi"/>
          <w:sz w:val="24"/>
          <w:szCs w:val="24"/>
        </w:rPr>
        <w:t xml:space="preserve"> that would be needed for future generations, while the other prophets spoke about future events to their generations alone.</w:t>
      </w:r>
      <w:r w:rsidR="00161057" w:rsidRPr="00033D31">
        <w:rPr>
          <w:rStyle w:val="FootnoteReference"/>
          <w:rFonts w:asciiTheme="minorBidi" w:hAnsiTheme="minorBidi"/>
          <w:sz w:val="24"/>
          <w:szCs w:val="24"/>
        </w:rPr>
        <w:footnoteReference w:id="2"/>
      </w:r>
      <w:r w:rsidR="00161057" w:rsidRPr="00033D31">
        <w:rPr>
          <w:rFonts w:asciiTheme="minorBidi" w:hAnsiTheme="minorBidi"/>
          <w:sz w:val="24"/>
          <w:szCs w:val="24"/>
        </w:rPr>
        <w:t xml:space="preserve"> </w:t>
      </w:r>
      <w:r w:rsidR="00BF58CA">
        <w:rPr>
          <w:rFonts w:asciiTheme="minorBidi" w:hAnsiTheme="minorBidi"/>
          <w:sz w:val="24"/>
          <w:szCs w:val="24"/>
        </w:rPr>
        <w:t>Is it possible</w:t>
      </w:r>
      <w:r w:rsidR="00161057" w:rsidRPr="00033D31">
        <w:rPr>
          <w:rFonts w:asciiTheme="minorBidi" w:hAnsiTheme="minorBidi"/>
          <w:sz w:val="24"/>
          <w:szCs w:val="24"/>
        </w:rPr>
        <w:t xml:space="preserve"> that all the other prophets did not also convey teachings and </w:t>
      </w:r>
      <w:r w:rsidR="00161057" w:rsidRPr="00033D31">
        <w:rPr>
          <w:rFonts w:asciiTheme="minorBidi" w:hAnsiTheme="minorBidi"/>
          <w:i/>
          <w:iCs/>
          <w:sz w:val="24"/>
          <w:szCs w:val="24"/>
        </w:rPr>
        <w:t>mussar</w:t>
      </w:r>
      <w:r w:rsidR="00161057" w:rsidRPr="00033D31">
        <w:rPr>
          <w:rFonts w:asciiTheme="minorBidi" w:hAnsiTheme="minorBidi"/>
          <w:sz w:val="24"/>
          <w:szCs w:val="24"/>
        </w:rPr>
        <w:t>? Surely not. Rather, argues R. Kalonymus, the function of the forty-eight men prophets and seven women prophets was to convey God’s word to all the generations, while the other prophets “enabled their own [respective] generations to receive</w:t>
      </w:r>
      <w:r w:rsidR="00033D31">
        <w:rPr>
          <w:rFonts w:asciiTheme="minorBidi" w:hAnsiTheme="minorBidi"/>
          <w:sz w:val="24"/>
          <w:szCs w:val="24"/>
        </w:rPr>
        <w:t xml:space="preserve"> and internalize God’s spirit</w:t>
      </w:r>
      <w:r w:rsidR="00BF58CA">
        <w:rPr>
          <w:rFonts w:asciiTheme="minorBidi" w:hAnsiTheme="minorBidi"/>
          <w:sz w:val="24"/>
          <w:szCs w:val="24"/>
        </w:rPr>
        <w:t>.</w:t>
      </w:r>
      <w:r w:rsidR="00033D31">
        <w:rPr>
          <w:rFonts w:asciiTheme="minorBidi" w:hAnsiTheme="minorBidi"/>
          <w:sz w:val="24"/>
          <w:szCs w:val="24"/>
        </w:rPr>
        <w:t>”</w:t>
      </w:r>
      <w:r w:rsidR="00161057" w:rsidRPr="00033D31">
        <w:rPr>
          <w:rStyle w:val="FootnoteReference"/>
          <w:rFonts w:asciiTheme="minorBidi" w:hAnsiTheme="minorBidi"/>
          <w:sz w:val="24"/>
          <w:szCs w:val="24"/>
        </w:rPr>
        <w:footnoteReference w:id="3"/>
      </w:r>
    </w:p>
    <w:p w:rsidR="00033D31" w:rsidRPr="00033D31" w:rsidRDefault="00033D31" w:rsidP="0063771E">
      <w:pPr>
        <w:spacing w:after="0" w:line="240" w:lineRule="auto"/>
        <w:jc w:val="both"/>
        <w:rPr>
          <w:rFonts w:asciiTheme="minorBidi" w:hAnsiTheme="minorBidi"/>
          <w:sz w:val="24"/>
          <w:szCs w:val="24"/>
        </w:rPr>
      </w:pPr>
    </w:p>
    <w:p w:rsidR="00161057" w:rsidRDefault="00161057"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But why was there a need for so many prophets to prepare and enable the people to receive prophecy? R. Kalonymus refers us once again to </w:t>
      </w:r>
      <w:r w:rsidRPr="00033D31">
        <w:rPr>
          <w:rFonts w:asciiTheme="minorBidi" w:hAnsiTheme="minorBidi"/>
          <w:i/>
          <w:iCs/>
          <w:sz w:val="24"/>
          <w:szCs w:val="24"/>
        </w:rPr>
        <w:t>Sha’</w:t>
      </w:r>
      <w:r w:rsidR="006F51E5" w:rsidRPr="00033D31">
        <w:rPr>
          <w:rFonts w:asciiTheme="minorBidi" w:hAnsiTheme="minorBidi"/>
          <w:i/>
          <w:iCs/>
          <w:sz w:val="24"/>
          <w:szCs w:val="24"/>
        </w:rPr>
        <w:t>arei Kedusha</w:t>
      </w:r>
      <w:r w:rsidR="006F51E5" w:rsidRPr="00033D31">
        <w:rPr>
          <w:rFonts w:asciiTheme="minorBidi" w:hAnsiTheme="minorBidi"/>
          <w:sz w:val="24"/>
          <w:szCs w:val="24"/>
        </w:rPr>
        <w:t>, where we learn of the</w:t>
      </w:r>
      <w:r w:rsidRPr="00033D31">
        <w:rPr>
          <w:rFonts w:asciiTheme="minorBidi" w:hAnsiTheme="minorBidi"/>
          <w:sz w:val="24"/>
          <w:szCs w:val="24"/>
        </w:rPr>
        <w:t xml:space="preserve"> complex </w:t>
      </w:r>
      <w:r w:rsidR="006F51E5" w:rsidRPr="00033D31">
        <w:rPr>
          <w:rFonts w:asciiTheme="minorBidi" w:hAnsiTheme="minorBidi"/>
          <w:sz w:val="24"/>
          <w:szCs w:val="24"/>
        </w:rPr>
        <w:t xml:space="preserve">path of service required to prepare for the Divine spirit – “unimaginable, endless </w:t>
      </w:r>
      <w:r w:rsidR="006F51E5" w:rsidRPr="00BF58CA">
        <w:rPr>
          <w:rFonts w:asciiTheme="minorBidi" w:hAnsiTheme="minorBidi"/>
          <w:i/>
          <w:iCs/>
          <w:sz w:val="24"/>
          <w:szCs w:val="24"/>
        </w:rPr>
        <w:t>tikkunim</w:t>
      </w:r>
      <w:r w:rsidR="006F51E5" w:rsidRPr="00033D31">
        <w:rPr>
          <w:rFonts w:asciiTheme="minorBidi" w:hAnsiTheme="minorBidi"/>
          <w:sz w:val="24"/>
          <w:szCs w:val="24"/>
        </w:rPr>
        <w:t xml:space="preserve"> and preparations</w:t>
      </w:r>
      <w:r w:rsidR="00BF58CA">
        <w:rPr>
          <w:rFonts w:asciiTheme="minorBidi" w:hAnsiTheme="minorBidi"/>
          <w:sz w:val="24"/>
          <w:szCs w:val="24"/>
        </w:rPr>
        <w:t>.</w:t>
      </w:r>
      <w:r w:rsidR="006F51E5" w:rsidRPr="00033D31">
        <w:rPr>
          <w:rFonts w:asciiTheme="minorBidi" w:hAnsiTheme="minorBidi"/>
          <w:sz w:val="24"/>
          <w:szCs w:val="24"/>
        </w:rPr>
        <w:t xml:space="preserve">” Not only is the preparation for prophecy a complex and protracted process, but a great number of teachers of prophecy were necessary, so </w:t>
      </w:r>
      <w:r w:rsidR="008A3795" w:rsidRPr="00033D31">
        <w:rPr>
          <w:rFonts w:asciiTheme="minorBidi" w:hAnsiTheme="minorBidi"/>
          <w:sz w:val="24"/>
          <w:szCs w:val="24"/>
        </w:rPr>
        <w:t xml:space="preserve">that </w:t>
      </w:r>
      <w:r w:rsidR="006F51E5" w:rsidRPr="00033D31">
        <w:rPr>
          <w:rFonts w:asciiTheme="minorBidi" w:hAnsiTheme="minorBidi"/>
          <w:sz w:val="24"/>
          <w:szCs w:val="24"/>
        </w:rPr>
        <w:t xml:space="preserve">a special </w:t>
      </w:r>
      <w:r w:rsidR="006F51E5" w:rsidRPr="00033D31">
        <w:rPr>
          <w:rFonts w:asciiTheme="minorBidi" w:hAnsiTheme="minorBidi"/>
          <w:i/>
          <w:iCs/>
          <w:sz w:val="24"/>
          <w:szCs w:val="24"/>
        </w:rPr>
        <w:t>tikkun</w:t>
      </w:r>
      <w:r w:rsidR="006F51E5" w:rsidRPr="00033D31">
        <w:rPr>
          <w:rFonts w:asciiTheme="minorBidi" w:hAnsiTheme="minorBidi"/>
          <w:sz w:val="24"/>
          <w:szCs w:val="24"/>
        </w:rPr>
        <w:t xml:space="preserve"> </w:t>
      </w:r>
      <w:r w:rsidR="008A3795" w:rsidRPr="00033D31">
        <w:rPr>
          <w:rFonts w:asciiTheme="minorBidi" w:hAnsiTheme="minorBidi"/>
          <w:sz w:val="24"/>
          <w:szCs w:val="24"/>
        </w:rPr>
        <w:t xml:space="preserve">could </w:t>
      </w:r>
      <w:r w:rsidR="008A3795" w:rsidRPr="00033D31">
        <w:rPr>
          <w:rFonts w:asciiTheme="minorBidi" w:hAnsiTheme="minorBidi"/>
          <w:sz w:val="24"/>
          <w:szCs w:val="24"/>
        </w:rPr>
        <w:lastRenderedPageBreak/>
        <w:t xml:space="preserve">be devised and adapted </w:t>
      </w:r>
      <w:r w:rsidR="00BF58CA">
        <w:rPr>
          <w:rFonts w:asciiTheme="minorBidi" w:hAnsiTheme="minorBidi"/>
          <w:sz w:val="24"/>
          <w:szCs w:val="24"/>
        </w:rPr>
        <w:t>for each and every individual.</w:t>
      </w:r>
      <w:r w:rsidR="006F51E5" w:rsidRPr="00033D31">
        <w:rPr>
          <w:rFonts w:asciiTheme="minorBidi" w:hAnsiTheme="minorBidi"/>
          <w:sz w:val="24"/>
          <w:szCs w:val="24"/>
        </w:rPr>
        <w:t xml:space="preserve"> </w:t>
      </w:r>
      <w:r w:rsidR="00BF58CA">
        <w:rPr>
          <w:rFonts w:asciiTheme="minorBidi" w:hAnsiTheme="minorBidi"/>
          <w:sz w:val="24"/>
          <w:szCs w:val="24"/>
        </w:rPr>
        <w:t>N</w:t>
      </w:r>
      <w:r w:rsidR="006F51E5" w:rsidRPr="00033D31">
        <w:rPr>
          <w:rFonts w:asciiTheme="minorBidi" w:hAnsiTheme="minorBidi"/>
          <w:sz w:val="24"/>
          <w:szCs w:val="24"/>
        </w:rPr>
        <w:t>o single prophet could prepare and train the entire nation. R. Kalonymus in fact describes academies in which many prophets taught throughout the generations</w:t>
      </w:r>
      <w:r w:rsidR="00F23652" w:rsidRPr="00033D31">
        <w:rPr>
          <w:rFonts w:asciiTheme="minorBidi" w:hAnsiTheme="minorBidi"/>
          <w:sz w:val="24"/>
          <w:szCs w:val="24"/>
        </w:rPr>
        <w:t>,</w:t>
      </w:r>
      <w:r w:rsidR="006F51E5" w:rsidRPr="00033D31">
        <w:rPr>
          <w:rStyle w:val="FootnoteReference"/>
          <w:rFonts w:asciiTheme="minorBidi" w:hAnsiTheme="minorBidi"/>
          <w:sz w:val="24"/>
          <w:szCs w:val="24"/>
        </w:rPr>
        <w:footnoteReference w:id="4"/>
      </w:r>
      <w:r w:rsidR="008A3795" w:rsidRPr="00033D31">
        <w:rPr>
          <w:rFonts w:asciiTheme="minorBidi" w:hAnsiTheme="minorBidi"/>
          <w:sz w:val="24"/>
          <w:szCs w:val="24"/>
        </w:rPr>
        <w:t xml:space="preserve"> training </w:t>
      </w:r>
      <w:r w:rsidR="006F51E5" w:rsidRPr="00033D31">
        <w:rPr>
          <w:rFonts w:asciiTheme="minorBidi" w:hAnsiTheme="minorBidi"/>
          <w:sz w:val="24"/>
          <w:szCs w:val="24"/>
        </w:rPr>
        <w:t>people to receive prophecy.</w:t>
      </w:r>
    </w:p>
    <w:p w:rsidR="00033D31" w:rsidRPr="00033D31" w:rsidRDefault="00033D31" w:rsidP="0063771E">
      <w:pPr>
        <w:spacing w:after="0" w:line="240" w:lineRule="auto"/>
        <w:jc w:val="both"/>
        <w:rPr>
          <w:rFonts w:asciiTheme="minorBidi" w:hAnsiTheme="minorBidi"/>
          <w:sz w:val="24"/>
          <w:szCs w:val="24"/>
        </w:rPr>
      </w:pPr>
    </w:p>
    <w:p w:rsidR="007300E4" w:rsidRPr="00033D31" w:rsidRDefault="007300E4"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R. Kalonymus goes on to explain that a distinction should be drawn </w:t>
      </w:r>
      <w:r w:rsidR="00BF58CA">
        <w:rPr>
          <w:rFonts w:asciiTheme="minorBidi" w:hAnsiTheme="minorBidi"/>
          <w:sz w:val="24"/>
          <w:szCs w:val="24"/>
        </w:rPr>
        <w:t>between two types of prophets: T</w:t>
      </w:r>
      <w:r w:rsidRPr="00033D31">
        <w:rPr>
          <w:rFonts w:asciiTheme="minorBidi" w:hAnsiTheme="minorBidi"/>
          <w:sz w:val="24"/>
          <w:szCs w:val="24"/>
        </w:rPr>
        <w:t xml:space="preserve">he forty-eight prophets and seven prophetesses “brought down the [Divine] light from the supernal worlds” into the physical, material world, while the other prophets of later generations concerned themselves with the repair and elevation of this world so that it would be ready for and capable of receiving the light brought down by the early prophets. Their method of impacting this world was by working to repair and prepare </w:t>
      </w:r>
      <w:r w:rsidRPr="00BF58CA">
        <w:rPr>
          <w:rFonts w:asciiTheme="minorBidi" w:hAnsiTheme="minorBidi"/>
          <w:i/>
          <w:iCs/>
          <w:sz w:val="24"/>
          <w:szCs w:val="24"/>
        </w:rPr>
        <w:t>Am Yisrael</w:t>
      </w:r>
      <w:r w:rsidRPr="00033D31">
        <w:rPr>
          <w:rFonts w:asciiTheme="minorBidi" w:hAnsiTheme="minorBidi"/>
          <w:sz w:val="24"/>
          <w:szCs w:val="24"/>
        </w:rPr>
        <w:t xml:space="preserve"> to receive prophecy.</w:t>
      </w:r>
      <w:r w:rsidRPr="00033D31">
        <w:rPr>
          <w:rStyle w:val="FootnoteReference"/>
          <w:rFonts w:asciiTheme="minorBidi" w:hAnsiTheme="minorBidi"/>
          <w:sz w:val="24"/>
          <w:szCs w:val="24"/>
        </w:rPr>
        <w:footnoteReference w:id="5"/>
      </w:r>
      <w:r w:rsidRPr="00033D31">
        <w:rPr>
          <w:rFonts w:asciiTheme="minorBidi" w:hAnsiTheme="minorBidi"/>
          <w:sz w:val="24"/>
          <w:szCs w:val="24"/>
        </w:rPr>
        <w:t xml:space="preserve"> </w:t>
      </w:r>
      <w:r w:rsidR="008A3795" w:rsidRPr="00033D31">
        <w:rPr>
          <w:rFonts w:asciiTheme="minorBidi" w:hAnsiTheme="minorBidi"/>
          <w:sz w:val="24"/>
          <w:szCs w:val="24"/>
        </w:rPr>
        <w:t xml:space="preserve">R. Kalonymus </w:t>
      </w:r>
      <w:r w:rsidRPr="00033D31">
        <w:rPr>
          <w:rFonts w:asciiTheme="minorBidi" w:hAnsiTheme="minorBidi"/>
          <w:sz w:val="24"/>
          <w:szCs w:val="24"/>
        </w:rPr>
        <w:t>expresses great longing when he writes that through the activity of both types of prophets, all of Israel merited to be affe</w:t>
      </w:r>
      <w:r w:rsidR="00BF58CA">
        <w:rPr>
          <w:rFonts w:asciiTheme="minorBidi" w:hAnsiTheme="minorBidi"/>
          <w:sz w:val="24"/>
          <w:szCs w:val="24"/>
        </w:rPr>
        <w:t>cted and influenced by prophecy.</w:t>
      </w:r>
      <w:r w:rsidRPr="00033D31">
        <w:rPr>
          <w:rFonts w:asciiTheme="minorBidi" w:hAnsiTheme="minorBidi"/>
          <w:sz w:val="24"/>
          <w:szCs w:val="24"/>
        </w:rPr>
        <w:t xml:space="preserve"> </w:t>
      </w:r>
      <w:r w:rsidR="00BF58CA">
        <w:rPr>
          <w:rFonts w:asciiTheme="minorBidi" w:hAnsiTheme="minorBidi"/>
          <w:sz w:val="24"/>
          <w:szCs w:val="24"/>
        </w:rPr>
        <w:t>E</w:t>
      </w:r>
      <w:r w:rsidRPr="00033D31">
        <w:rPr>
          <w:rFonts w:asciiTheme="minorBidi" w:hAnsiTheme="minorBidi"/>
          <w:sz w:val="24"/>
          <w:szCs w:val="24"/>
        </w:rPr>
        <w:t>ven “the simplest of simple people… could not fail to draw close to God with prophetically-inspired closeness and elevation.”</w:t>
      </w:r>
      <w:r w:rsidRPr="00033D31">
        <w:rPr>
          <w:rStyle w:val="FootnoteReference"/>
          <w:rFonts w:asciiTheme="minorBidi" w:hAnsiTheme="minorBidi"/>
          <w:sz w:val="24"/>
          <w:szCs w:val="24"/>
        </w:rPr>
        <w:footnoteReference w:id="6"/>
      </w:r>
    </w:p>
    <w:p w:rsidR="007300E4" w:rsidRPr="00033D31" w:rsidRDefault="007300E4" w:rsidP="0063771E">
      <w:pPr>
        <w:spacing w:after="0" w:line="240" w:lineRule="auto"/>
        <w:jc w:val="both"/>
        <w:rPr>
          <w:rFonts w:asciiTheme="minorBidi" w:hAnsiTheme="minorBidi"/>
          <w:sz w:val="24"/>
          <w:szCs w:val="24"/>
        </w:rPr>
      </w:pPr>
    </w:p>
    <w:p w:rsidR="007300E4" w:rsidRDefault="007300E4" w:rsidP="0063771E">
      <w:pPr>
        <w:spacing w:after="0" w:line="240" w:lineRule="auto"/>
        <w:jc w:val="both"/>
        <w:rPr>
          <w:rFonts w:asciiTheme="minorBidi" w:hAnsiTheme="minorBidi"/>
          <w:b/>
          <w:bCs/>
          <w:sz w:val="24"/>
          <w:szCs w:val="24"/>
        </w:rPr>
      </w:pPr>
      <w:r w:rsidRPr="00033D31">
        <w:rPr>
          <w:rFonts w:asciiTheme="minorBidi" w:hAnsiTheme="minorBidi"/>
          <w:b/>
          <w:bCs/>
          <w:sz w:val="24"/>
          <w:szCs w:val="24"/>
        </w:rPr>
        <w:t xml:space="preserve">Absence of </w:t>
      </w:r>
      <w:r w:rsidR="00BF58CA">
        <w:rPr>
          <w:rFonts w:asciiTheme="minorBidi" w:hAnsiTheme="minorBidi"/>
          <w:b/>
          <w:bCs/>
          <w:sz w:val="24"/>
          <w:szCs w:val="24"/>
        </w:rPr>
        <w:t>P</w:t>
      </w:r>
      <w:r w:rsidRPr="00033D31">
        <w:rPr>
          <w:rFonts w:asciiTheme="minorBidi" w:hAnsiTheme="minorBidi"/>
          <w:b/>
          <w:bCs/>
          <w:sz w:val="24"/>
          <w:szCs w:val="24"/>
        </w:rPr>
        <w:t xml:space="preserve">rophecy </w:t>
      </w:r>
      <w:r w:rsidR="00BF58CA">
        <w:rPr>
          <w:rFonts w:asciiTheme="minorBidi" w:hAnsiTheme="minorBidi"/>
          <w:b/>
          <w:bCs/>
          <w:sz w:val="24"/>
          <w:szCs w:val="24"/>
        </w:rPr>
        <w:t>T</w:t>
      </w:r>
      <w:r w:rsidRPr="00033D31">
        <w:rPr>
          <w:rFonts w:asciiTheme="minorBidi" w:hAnsiTheme="minorBidi"/>
          <w:b/>
          <w:bCs/>
          <w:sz w:val="24"/>
          <w:szCs w:val="24"/>
        </w:rPr>
        <w:t>oday</w:t>
      </w:r>
    </w:p>
    <w:p w:rsidR="00033D31" w:rsidRPr="00033D31" w:rsidRDefault="00033D31" w:rsidP="0063771E">
      <w:pPr>
        <w:spacing w:after="0" w:line="240" w:lineRule="auto"/>
        <w:jc w:val="both"/>
        <w:rPr>
          <w:rFonts w:asciiTheme="minorBidi" w:hAnsiTheme="minorBidi"/>
          <w:b/>
          <w:bCs/>
          <w:sz w:val="24"/>
          <w:szCs w:val="24"/>
        </w:rPr>
      </w:pPr>
    </w:p>
    <w:p w:rsidR="007300E4" w:rsidRPr="00033D31" w:rsidRDefault="007300E4"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The reason for the absence of prophecy today is the simple fact that the gates of heaven have been </w:t>
      </w:r>
      <w:r w:rsidR="00DA6D32" w:rsidRPr="00033D31">
        <w:rPr>
          <w:rFonts w:asciiTheme="minorBidi" w:hAnsiTheme="minorBidi"/>
          <w:sz w:val="24"/>
          <w:szCs w:val="24"/>
        </w:rPr>
        <w:t>shut tight,</w:t>
      </w:r>
      <w:r w:rsidR="00DA6D32" w:rsidRPr="00033D31">
        <w:rPr>
          <w:rStyle w:val="FootnoteReference"/>
          <w:rFonts w:asciiTheme="minorBidi" w:hAnsiTheme="minorBidi"/>
          <w:sz w:val="24"/>
          <w:szCs w:val="24"/>
        </w:rPr>
        <w:footnoteReference w:id="7"/>
      </w:r>
      <w:r w:rsidR="00C930F0" w:rsidRPr="00033D31">
        <w:rPr>
          <w:rFonts w:asciiTheme="minorBidi" w:hAnsiTheme="minorBidi"/>
          <w:sz w:val="24"/>
          <w:szCs w:val="24"/>
        </w:rPr>
        <w:t xml:space="preserve"> and “</w:t>
      </w:r>
      <w:r w:rsidR="008A3795" w:rsidRPr="00033D31">
        <w:rPr>
          <w:rFonts w:asciiTheme="minorBidi" w:hAnsiTheme="minorBidi"/>
          <w:sz w:val="24"/>
          <w:szCs w:val="24"/>
        </w:rPr>
        <w:t xml:space="preserve">the prophets who existed throughout </w:t>
      </w:r>
      <w:r w:rsidR="00C930F0" w:rsidRPr="00033D31">
        <w:rPr>
          <w:rFonts w:asciiTheme="minorBidi" w:hAnsiTheme="minorBidi"/>
          <w:sz w:val="24"/>
          <w:szCs w:val="24"/>
        </w:rPr>
        <w:t xml:space="preserve">all </w:t>
      </w:r>
      <w:r w:rsidR="008A3795" w:rsidRPr="00033D31">
        <w:rPr>
          <w:rFonts w:asciiTheme="minorBidi" w:hAnsiTheme="minorBidi"/>
          <w:sz w:val="24"/>
          <w:szCs w:val="24"/>
        </w:rPr>
        <w:t xml:space="preserve">the </w:t>
      </w:r>
      <w:r w:rsidR="00C930F0" w:rsidRPr="00033D31">
        <w:rPr>
          <w:rFonts w:asciiTheme="minorBidi" w:hAnsiTheme="minorBidi"/>
          <w:sz w:val="24"/>
          <w:szCs w:val="24"/>
        </w:rPr>
        <w:t>generations are sadly lacking.”</w:t>
      </w:r>
      <w:r w:rsidR="00C930F0" w:rsidRPr="00033D31">
        <w:rPr>
          <w:rStyle w:val="FootnoteReference"/>
          <w:rFonts w:asciiTheme="minorBidi" w:hAnsiTheme="minorBidi"/>
          <w:sz w:val="24"/>
          <w:szCs w:val="24"/>
        </w:rPr>
        <w:footnoteReference w:id="8"/>
      </w:r>
      <w:r w:rsidR="00C930F0" w:rsidRPr="00033D31">
        <w:rPr>
          <w:rFonts w:asciiTheme="minorBidi" w:hAnsiTheme="minorBidi"/>
          <w:sz w:val="24"/>
          <w:szCs w:val="24"/>
        </w:rPr>
        <w:t xml:space="preserve"> However, what we lack today is more than just the experience of direct prophecy. Even the words of the prophets, handed down to us in </w:t>
      </w:r>
      <w:r w:rsidR="00C930F0" w:rsidRPr="00BF58CA">
        <w:rPr>
          <w:rFonts w:asciiTheme="minorBidi" w:hAnsiTheme="minorBidi"/>
          <w:i/>
          <w:iCs/>
          <w:sz w:val="24"/>
          <w:szCs w:val="24"/>
        </w:rPr>
        <w:t>Tanakh</w:t>
      </w:r>
      <w:r w:rsidR="00C930F0" w:rsidRPr="00033D31">
        <w:rPr>
          <w:rFonts w:asciiTheme="minorBidi" w:hAnsiTheme="minorBidi"/>
          <w:sz w:val="24"/>
          <w:szCs w:val="24"/>
        </w:rPr>
        <w:t>, are not fully accessible to us</w:t>
      </w:r>
      <w:r w:rsidR="00BF58CA">
        <w:rPr>
          <w:rFonts w:asciiTheme="minorBidi" w:hAnsiTheme="minorBidi"/>
          <w:sz w:val="24"/>
          <w:szCs w:val="24"/>
        </w:rPr>
        <w:t>,</w:t>
      </w:r>
      <w:r w:rsidR="00C930F0" w:rsidRPr="00033D31">
        <w:rPr>
          <w:rFonts w:asciiTheme="minorBidi" w:hAnsiTheme="minorBidi"/>
          <w:sz w:val="24"/>
          <w:szCs w:val="24"/>
        </w:rPr>
        <w:t xml:space="preserve"> because we lack the prophets who used to prepare </w:t>
      </w:r>
      <w:r w:rsidR="00C930F0" w:rsidRPr="00BF58CA">
        <w:rPr>
          <w:rFonts w:asciiTheme="minorBidi" w:hAnsiTheme="minorBidi"/>
          <w:i/>
          <w:iCs/>
          <w:sz w:val="24"/>
          <w:szCs w:val="24"/>
        </w:rPr>
        <w:t>Am Yisrael</w:t>
      </w:r>
      <w:r w:rsidR="00C930F0" w:rsidRPr="00033D31">
        <w:rPr>
          <w:rFonts w:asciiTheme="minorBidi" w:hAnsiTheme="minorBidi"/>
          <w:sz w:val="24"/>
          <w:szCs w:val="24"/>
        </w:rPr>
        <w:t xml:space="preserve"> for prophecy. Thus, “we fail to grasp even the words of Moshe and the forty-eight prophets and seven prophetesses in the fullness of their illumination.”</w:t>
      </w:r>
      <w:r w:rsidR="00C930F0" w:rsidRPr="00033D31">
        <w:rPr>
          <w:rStyle w:val="FootnoteReference"/>
          <w:rFonts w:asciiTheme="minorBidi" w:hAnsiTheme="minorBidi"/>
          <w:sz w:val="24"/>
          <w:szCs w:val="24"/>
        </w:rPr>
        <w:footnoteReference w:id="9"/>
      </w:r>
      <w:r w:rsidR="00C930F0" w:rsidRPr="00033D31">
        <w:rPr>
          <w:rFonts w:asciiTheme="minorBidi" w:hAnsiTheme="minorBidi"/>
          <w:sz w:val="24"/>
          <w:szCs w:val="24"/>
        </w:rPr>
        <w:t xml:space="preserve"> </w:t>
      </w:r>
    </w:p>
    <w:p w:rsidR="00C930F0" w:rsidRPr="00033D31" w:rsidRDefault="00C930F0" w:rsidP="0063771E">
      <w:pPr>
        <w:spacing w:after="0" w:line="240" w:lineRule="auto"/>
        <w:jc w:val="both"/>
        <w:rPr>
          <w:rFonts w:asciiTheme="minorBidi" w:hAnsiTheme="minorBidi"/>
          <w:sz w:val="24"/>
          <w:szCs w:val="24"/>
        </w:rPr>
      </w:pPr>
    </w:p>
    <w:p w:rsidR="00C930F0" w:rsidRPr="00033D31" w:rsidRDefault="00C930F0" w:rsidP="0063771E">
      <w:pPr>
        <w:spacing w:after="0" w:line="240" w:lineRule="auto"/>
        <w:jc w:val="both"/>
        <w:rPr>
          <w:rFonts w:asciiTheme="minorBidi" w:hAnsiTheme="minorBidi"/>
          <w:b/>
          <w:bCs/>
          <w:sz w:val="24"/>
          <w:szCs w:val="24"/>
        </w:rPr>
      </w:pPr>
      <w:r w:rsidRPr="00033D31">
        <w:rPr>
          <w:rFonts w:asciiTheme="minorBidi" w:hAnsiTheme="minorBidi"/>
          <w:b/>
          <w:bCs/>
          <w:sz w:val="24"/>
          <w:szCs w:val="24"/>
        </w:rPr>
        <w:t xml:space="preserve">The Sages of the Oral Torah as </w:t>
      </w:r>
      <w:r w:rsidR="00BF58CA">
        <w:rPr>
          <w:rFonts w:asciiTheme="minorBidi" w:hAnsiTheme="minorBidi"/>
          <w:b/>
          <w:bCs/>
          <w:sz w:val="24"/>
          <w:szCs w:val="24"/>
        </w:rPr>
        <w:t>K</w:t>
      </w:r>
      <w:r w:rsidRPr="00033D31">
        <w:rPr>
          <w:rFonts w:asciiTheme="minorBidi" w:hAnsiTheme="minorBidi"/>
          <w:b/>
          <w:bCs/>
          <w:sz w:val="24"/>
          <w:szCs w:val="24"/>
        </w:rPr>
        <w:t xml:space="preserve">abbalists and </w:t>
      </w:r>
      <w:r w:rsidR="00BF58CA">
        <w:rPr>
          <w:rFonts w:asciiTheme="minorBidi" w:hAnsiTheme="minorBidi"/>
          <w:b/>
          <w:bCs/>
          <w:sz w:val="24"/>
          <w:szCs w:val="24"/>
        </w:rPr>
        <w:t>P</w:t>
      </w:r>
      <w:r w:rsidRPr="00033D31">
        <w:rPr>
          <w:rFonts w:asciiTheme="minorBidi" w:hAnsiTheme="minorBidi"/>
          <w:b/>
          <w:bCs/>
          <w:sz w:val="24"/>
          <w:szCs w:val="24"/>
        </w:rPr>
        <w:t>rophets</w:t>
      </w:r>
    </w:p>
    <w:p w:rsidR="00033D31" w:rsidRDefault="00033D31" w:rsidP="0063771E">
      <w:pPr>
        <w:spacing w:after="0" w:line="240" w:lineRule="auto"/>
        <w:jc w:val="both"/>
        <w:rPr>
          <w:rFonts w:asciiTheme="minorBidi" w:hAnsiTheme="minorBidi"/>
          <w:sz w:val="24"/>
          <w:szCs w:val="24"/>
        </w:rPr>
      </w:pPr>
    </w:p>
    <w:p w:rsidR="00C930F0" w:rsidRDefault="00C930F0"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The end of prophecy does not mean a complete cessation of illumination to </w:t>
      </w:r>
      <w:r w:rsidRPr="00BF58CA">
        <w:rPr>
          <w:rFonts w:asciiTheme="minorBidi" w:hAnsiTheme="minorBidi"/>
          <w:i/>
          <w:iCs/>
          <w:sz w:val="24"/>
          <w:szCs w:val="24"/>
        </w:rPr>
        <w:t>Am</w:t>
      </w:r>
      <w:r w:rsidRPr="00033D31">
        <w:rPr>
          <w:rFonts w:asciiTheme="minorBidi" w:hAnsiTheme="minorBidi"/>
          <w:sz w:val="24"/>
          <w:szCs w:val="24"/>
        </w:rPr>
        <w:t xml:space="preserve"> </w:t>
      </w:r>
      <w:r w:rsidRPr="00BF58CA">
        <w:rPr>
          <w:rFonts w:asciiTheme="minorBidi" w:hAnsiTheme="minorBidi"/>
          <w:i/>
          <w:iCs/>
          <w:sz w:val="24"/>
          <w:szCs w:val="24"/>
        </w:rPr>
        <w:t>Yisrael</w:t>
      </w:r>
      <w:r w:rsidRPr="00033D31">
        <w:rPr>
          <w:rFonts w:asciiTheme="minorBidi" w:hAnsiTheme="minorBidi"/>
          <w:sz w:val="24"/>
          <w:szCs w:val="24"/>
        </w:rPr>
        <w:t>. The light of prophecy</w:t>
      </w:r>
      <w:r w:rsidR="00033D31">
        <w:rPr>
          <w:rFonts w:asciiTheme="minorBidi" w:hAnsiTheme="minorBidi"/>
          <w:sz w:val="24"/>
          <w:szCs w:val="24"/>
        </w:rPr>
        <w:t xml:space="preserve"> passed to the masters of </w:t>
      </w:r>
      <w:r w:rsidR="00BF58CA">
        <w:rPr>
          <w:rFonts w:asciiTheme="minorBidi" w:hAnsiTheme="minorBidi"/>
          <w:sz w:val="24"/>
          <w:szCs w:val="24"/>
        </w:rPr>
        <w:t>H</w:t>
      </w:r>
      <w:r w:rsidR="00033D31">
        <w:rPr>
          <w:rFonts w:asciiTheme="minorBidi" w:hAnsiTheme="minorBidi"/>
          <w:sz w:val="24"/>
          <w:szCs w:val="24"/>
        </w:rPr>
        <w:t>alak</w:t>
      </w:r>
      <w:r w:rsidRPr="00033D31">
        <w:rPr>
          <w:rFonts w:asciiTheme="minorBidi" w:hAnsiTheme="minorBidi"/>
          <w:sz w:val="24"/>
          <w:szCs w:val="24"/>
        </w:rPr>
        <w:t xml:space="preserve">ha. The Men of the Great Assembly, the </w:t>
      </w:r>
      <w:r w:rsidRPr="00BF58CA">
        <w:rPr>
          <w:rFonts w:asciiTheme="minorBidi" w:hAnsiTheme="minorBidi"/>
          <w:i/>
          <w:iCs/>
          <w:sz w:val="24"/>
          <w:szCs w:val="24"/>
        </w:rPr>
        <w:t>Tannaim</w:t>
      </w:r>
      <w:r w:rsidRPr="00033D31">
        <w:rPr>
          <w:rFonts w:asciiTheme="minorBidi" w:hAnsiTheme="minorBidi"/>
          <w:sz w:val="24"/>
          <w:szCs w:val="24"/>
        </w:rPr>
        <w:t xml:space="preserve">, </w:t>
      </w:r>
      <w:r w:rsidRPr="00BF58CA">
        <w:rPr>
          <w:rFonts w:asciiTheme="minorBidi" w:hAnsiTheme="minorBidi"/>
          <w:i/>
          <w:iCs/>
          <w:sz w:val="24"/>
          <w:szCs w:val="24"/>
        </w:rPr>
        <w:t>Amoraim</w:t>
      </w:r>
      <w:r w:rsidRPr="00033D31">
        <w:rPr>
          <w:rFonts w:asciiTheme="minorBidi" w:hAnsiTheme="minorBidi"/>
          <w:sz w:val="24"/>
          <w:szCs w:val="24"/>
        </w:rPr>
        <w:t xml:space="preserve">, </w:t>
      </w:r>
      <w:r w:rsidRPr="00BF58CA">
        <w:rPr>
          <w:rFonts w:asciiTheme="minorBidi" w:hAnsiTheme="minorBidi"/>
          <w:i/>
          <w:iCs/>
          <w:sz w:val="24"/>
          <w:szCs w:val="24"/>
        </w:rPr>
        <w:t>Geonim</w:t>
      </w:r>
      <w:r w:rsidRPr="00033D31">
        <w:rPr>
          <w:rFonts w:asciiTheme="minorBidi" w:hAnsiTheme="minorBidi"/>
          <w:sz w:val="24"/>
          <w:szCs w:val="24"/>
        </w:rPr>
        <w:t>, and al</w:t>
      </w:r>
      <w:r w:rsidR="00BF58CA">
        <w:rPr>
          <w:rFonts w:asciiTheme="minorBidi" w:hAnsiTheme="minorBidi"/>
          <w:sz w:val="24"/>
          <w:szCs w:val="24"/>
        </w:rPr>
        <w:t>l the sages of the Oral Law,</w:t>
      </w:r>
      <w:r w:rsidRPr="00033D31">
        <w:rPr>
          <w:rFonts w:asciiTheme="minorBidi" w:hAnsiTheme="minorBidi"/>
          <w:sz w:val="24"/>
          <w:szCs w:val="24"/>
        </w:rPr>
        <w:t xml:space="preserve"> brought light from the supernal worlds into our material re</w:t>
      </w:r>
      <w:r w:rsidR="009B1562" w:rsidRPr="00033D31">
        <w:rPr>
          <w:rFonts w:asciiTheme="minorBidi" w:hAnsiTheme="minorBidi"/>
          <w:sz w:val="24"/>
          <w:szCs w:val="24"/>
        </w:rPr>
        <w:t>ality. R. Kalonymus bases himsel</w:t>
      </w:r>
      <w:r w:rsidRPr="00033D31">
        <w:rPr>
          <w:rFonts w:asciiTheme="minorBidi" w:hAnsiTheme="minorBidi"/>
          <w:sz w:val="24"/>
          <w:szCs w:val="24"/>
        </w:rPr>
        <w:t>f</w:t>
      </w:r>
      <w:r w:rsidR="009B1562" w:rsidRPr="00033D31">
        <w:rPr>
          <w:rFonts w:asciiTheme="minorBidi" w:hAnsiTheme="minorBidi"/>
          <w:sz w:val="24"/>
          <w:szCs w:val="24"/>
        </w:rPr>
        <w:t xml:space="preserve"> in this regard on a teaching by R. Avdimi: “From the </w:t>
      </w:r>
      <w:r w:rsidR="009B1562" w:rsidRPr="00033D31">
        <w:rPr>
          <w:rFonts w:asciiTheme="minorBidi" w:hAnsiTheme="minorBidi"/>
          <w:sz w:val="24"/>
          <w:szCs w:val="24"/>
        </w:rPr>
        <w:lastRenderedPageBreak/>
        <w:t>day that the Temple was destroyed, prophecy was taken from the prophets and given to the Sages” (</w:t>
      </w:r>
      <w:r w:rsidR="009B1562" w:rsidRPr="00033D31">
        <w:rPr>
          <w:rFonts w:asciiTheme="minorBidi" w:hAnsiTheme="minorBidi"/>
          <w:i/>
          <w:iCs/>
          <w:sz w:val="24"/>
          <w:szCs w:val="24"/>
        </w:rPr>
        <w:t>Bava Batra</w:t>
      </w:r>
      <w:r w:rsidR="009B1562" w:rsidRPr="00033D31">
        <w:rPr>
          <w:rFonts w:asciiTheme="minorBidi" w:hAnsiTheme="minorBidi"/>
          <w:sz w:val="24"/>
          <w:szCs w:val="24"/>
        </w:rPr>
        <w:t xml:space="preserve"> 12a). The wisdom of the Torah is not just a reflection of human intellect; it also contains Divine light.</w:t>
      </w:r>
      <w:r w:rsidR="009B1562" w:rsidRPr="00033D31">
        <w:rPr>
          <w:rStyle w:val="FootnoteReference"/>
          <w:rFonts w:asciiTheme="minorBidi" w:hAnsiTheme="minorBidi"/>
          <w:sz w:val="24"/>
          <w:szCs w:val="24"/>
        </w:rPr>
        <w:footnoteReference w:id="10"/>
      </w:r>
      <w:r w:rsidRPr="00033D31">
        <w:rPr>
          <w:rFonts w:asciiTheme="minorBidi" w:hAnsiTheme="minorBidi"/>
          <w:sz w:val="24"/>
          <w:szCs w:val="24"/>
        </w:rPr>
        <w:t xml:space="preserve"> </w:t>
      </w:r>
    </w:p>
    <w:p w:rsidR="00033D31" w:rsidRPr="00033D31" w:rsidRDefault="00033D31" w:rsidP="0063771E">
      <w:pPr>
        <w:spacing w:after="0" w:line="240" w:lineRule="auto"/>
        <w:jc w:val="both"/>
        <w:rPr>
          <w:rFonts w:asciiTheme="minorBidi" w:hAnsiTheme="minorBidi"/>
          <w:sz w:val="24"/>
          <w:szCs w:val="24"/>
        </w:rPr>
      </w:pPr>
    </w:p>
    <w:p w:rsidR="00816507" w:rsidRDefault="00007DBF"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The Sages of the Oral Law were kabbalists. The Oral Law itself, although generally </w:t>
      </w:r>
      <w:r w:rsidR="00BF58CA">
        <w:rPr>
          <w:rFonts w:asciiTheme="minorBidi" w:hAnsiTheme="minorBidi"/>
          <w:sz w:val="24"/>
          <w:szCs w:val="24"/>
        </w:rPr>
        <w:t xml:space="preserve">regarded as belonging to </w:t>
      </w:r>
      <w:r w:rsidR="00BF58CA">
        <w:rPr>
          <w:rFonts w:asciiTheme="minorBidi" w:hAnsiTheme="minorBidi"/>
          <w:i/>
          <w:iCs/>
          <w:sz w:val="24"/>
          <w:szCs w:val="24"/>
        </w:rPr>
        <w:t>nigleh</w:t>
      </w:r>
      <w:r w:rsidR="00BF58CA">
        <w:rPr>
          <w:rFonts w:asciiTheme="minorBidi" w:hAnsiTheme="minorBidi"/>
          <w:sz w:val="24"/>
          <w:szCs w:val="24"/>
        </w:rPr>
        <w:t xml:space="preserve"> – i.e., the “revealed” teachings –</w:t>
      </w:r>
      <w:r w:rsidRPr="00033D31">
        <w:rPr>
          <w:rFonts w:asciiTheme="minorBidi" w:hAnsiTheme="minorBidi"/>
          <w:sz w:val="24"/>
          <w:szCs w:val="24"/>
        </w:rPr>
        <w:t xml:space="preserve"> is actually based on mystical traditions, as stated explicitly in a teaching of the </w:t>
      </w:r>
      <w:r w:rsidRPr="00BF58CA">
        <w:rPr>
          <w:rFonts w:asciiTheme="minorBidi" w:hAnsiTheme="minorBidi"/>
          <w:i/>
          <w:iCs/>
          <w:sz w:val="24"/>
          <w:szCs w:val="24"/>
        </w:rPr>
        <w:t>Zohar</w:t>
      </w:r>
      <w:r w:rsidRPr="00033D31">
        <w:rPr>
          <w:rFonts w:asciiTheme="minorBidi" w:hAnsiTheme="minorBidi"/>
          <w:sz w:val="24"/>
          <w:szCs w:val="24"/>
        </w:rPr>
        <w:t xml:space="preserve"> quoted by R. Kalonymus: “The </w:t>
      </w:r>
      <w:r w:rsidRPr="00BF58CA">
        <w:rPr>
          <w:rFonts w:asciiTheme="minorBidi" w:hAnsiTheme="minorBidi"/>
          <w:i/>
          <w:iCs/>
          <w:sz w:val="24"/>
          <w:szCs w:val="24"/>
        </w:rPr>
        <w:t>Tannaim</w:t>
      </w:r>
      <w:r w:rsidRPr="00033D31">
        <w:rPr>
          <w:rFonts w:asciiTheme="minorBidi" w:hAnsiTheme="minorBidi"/>
          <w:sz w:val="24"/>
          <w:szCs w:val="24"/>
        </w:rPr>
        <w:t xml:space="preserve"> and </w:t>
      </w:r>
      <w:r w:rsidRPr="00BF58CA">
        <w:rPr>
          <w:rFonts w:asciiTheme="minorBidi" w:hAnsiTheme="minorBidi"/>
          <w:i/>
          <w:iCs/>
          <w:sz w:val="24"/>
          <w:szCs w:val="24"/>
        </w:rPr>
        <w:t>Amoraim</w:t>
      </w:r>
      <w:r w:rsidRPr="00033D31">
        <w:rPr>
          <w:rFonts w:asciiTheme="minorBidi" w:hAnsiTheme="minorBidi"/>
          <w:sz w:val="24"/>
          <w:szCs w:val="24"/>
        </w:rPr>
        <w:t xml:space="preserve"> [i.e., the Sages of the Mishna and the Talmud] – all their teachings are based on the [mystical] secrets of the Torah.”</w:t>
      </w:r>
      <w:r w:rsidRPr="00033D31">
        <w:rPr>
          <w:rStyle w:val="FootnoteReference"/>
          <w:rFonts w:asciiTheme="minorBidi" w:hAnsiTheme="minorBidi"/>
          <w:sz w:val="24"/>
          <w:szCs w:val="24"/>
        </w:rPr>
        <w:footnoteReference w:id="11"/>
      </w:r>
      <w:r w:rsidRPr="00033D31">
        <w:rPr>
          <w:rFonts w:asciiTheme="minorBidi" w:hAnsiTheme="minorBidi"/>
          <w:sz w:val="24"/>
          <w:szCs w:val="24"/>
        </w:rPr>
        <w:t xml:space="preserve"> </w:t>
      </w:r>
      <w:r w:rsidR="0089545C" w:rsidRPr="00033D31">
        <w:rPr>
          <w:rFonts w:asciiTheme="minorBidi" w:hAnsiTheme="minorBidi"/>
          <w:sz w:val="24"/>
          <w:szCs w:val="24"/>
        </w:rPr>
        <w:t xml:space="preserve">This fact has far-reaching ramifications, in view of the conventional perception that the “revealed” and “hidden” (i.e., </w:t>
      </w:r>
      <w:r w:rsidR="005666E8" w:rsidRPr="00033D31">
        <w:rPr>
          <w:rFonts w:asciiTheme="minorBidi" w:hAnsiTheme="minorBidi"/>
          <w:sz w:val="24"/>
          <w:szCs w:val="24"/>
        </w:rPr>
        <w:t xml:space="preserve">kabbalistic) </w:t>
      </w:r>
      <w:r w:rsidR="00816507" w:rsidRPr="00033D31">
        <w:rPr>
          <w:rFonts w:asciiTheme="minorBidi" w:hAnsiTheme="minorBidi"/>
          <w:sz w:val="24"/>
          <w:szCs w:val="24"/>
        </w:rPr>
        <w:t xml:space="preserve">aspects </w:t>
      </w:r>
      <w:r w:rsidR="005666E8" w:rsidRPr="00033D31">
        <w:rPr>
          <w:rFonts w:asciiTheme="minorBidi" w:hAnsiTheme="minorBidi"/>
          <w:sz w:val="24"/>
          <w:szCs w:val="24"/>
        </w:rPr>
        <w:t>are two distinct branches</w:t>
      </w:r>
      <w:r w:rsidR="00816507" w:rsidRPr="00033D31">
        <w:rPr>
          <w:rFonts w:asciiTheme="minorBidi" w:hAnsiTheme="minorBidi"/>
          <w:sz w:val="24"/>
          <w:szCs w:val="24"/>
        </w:rPr>
        <w:t xml:space="preserve"> of Torah</w:t>
      </w:r>
      <w:r w:rsidR="005666E8" w:rsidRPr="00033D31">
        <w:rPr>
          <w:rFonts w:asciiTheme="minorBidi" w:hAnsiTheme="minorBidi"/>
          <w:sz w:val="24"/>
          <w:szCs w:val="24"/>
        </w:rPr>
        <w:t>.</w:t>
      </w:r>
      <w:r w:rsidR="00816507" w:rsidRPr="00033D31">
        <w:rPr>
          <w:rFonts w:asciiTheme="minorBidi" w:hAnsiTheme="minorBidi"/>
          <w:sz w:val="24"/>
          <w:szCs w:val="24"/>
        </w:rPr>
        <w:t xml:space="preserve"> Here we encounter the claim that the Oral Torah is in fact based on the hidden, inner teachings. At the same time, R. Kalonymus adds that although </w:t>
      </w:r>
      <w:r w:rsidR="00033D31">
        <w:rPr>
          <w:rFonts w:asciiTheme="minorBidi" w:hAnsiTheme="minorBidi"/>
          <w:sz w:val="24"/>
          <w:szCs w:val="24"/>
        </w:rPr>
        <w:t>Kabbala</w:t>
      </w:r>
      <w:r w:rsidR="00816507" w:rsidRPr="00033D31">
        <w:rPr>
          <w:rFonts w:asciiTheme="minorBidi" w:hAnsiTheme="minorBidi"/>
          <w:sz w:val="24"/>
          <w:szCs w:val="24"/>
        </w:rPr>
        <w:t xml:space="preserve"> was hidden within the Torah, and although the Oral Law was built on the foundations of </w:t>
      </w:r>
      <w:r w:rsidR="00033D31">
        <w:rPr>
          <w:rFonts w:asciiTheme="minorBidi" w:hAnsiTheme="minorBidi"/>
          <w:sz w:val="24"/>
          <w:szCs w:val="24"/>
        </w:rPr>
        <w:t>Kabbala</w:t>
      </w:r>
      <w:r w:rsidR="00816507" w:rsidRPr="00033D31">
        <w:rPr>
          <w:rFonts w:asciiTheme="minorBidi" w:hAnsiTheme="minorBidi"/>
          <w:sz w:val="24"/>
          <w:szCs w:val="24"/>
        </w:rPr>
        <w:t xml:space="preserve">, R. Shimon bar Yochai and his colleagues were permitted to create an opening </w:t>
      </w:r>
      <w:r w:rsidR="008A3795" w:rsidRPr="00033D31">
        <w:rPr>
          <w:rFonts w:asciiTheme="minorBidi" w:hAnsiTheme="minorBidi"/>
          <w:sz w:val="24"/>
          <w:szCs w:val="24"/>
        </w:rPr>
        <w:t xml:space="preserve">for </w:t>
      </w:r>
      <w:r w:rsidR="00816507" w:rsidRPr="00033D31">
        <w:rPr>
          <w:rFonts w:asciiTheme="minorBidi" w:hAnsiTheme="minorBidi"/>
          <w:sz w:val="24"/>
          <w:szCs w:val="24"/>
        </w:rPr>
        <w:t xml:space="preserve">the study of </w:t>
      </w:r>
      <w:r w:rsidR="00033D31">
        <w:rPr>
          <w:rFonts w:asciiTheme="minorBidi" w:hAnsiTheme="minorBidi"/>
          <w:sz w:val="24"/>
          <w:szCs w:val="24"/>
        </w:rPr>
        <w:t>Kabbala</w:t>
      </w:r>
      <w:r w:rsidR="00816507" w:rsidRPr="00033D31">
        <w:rPr>
          <w:rFonts w:asciiTheme="minorBidi" w:hAnsiTheme="minorBidi"/>
          <w:sz w:val="24"/>
          <w:szCs w:val="24"/>
        </w:rPr>
        <w:t xml:space="preserve"> as a special branch of Torah.</w:t>
      </w:r>
      <w:r w:rsidR="00816507" w:rsidRPr="00033D31">
        <w:rPr>
          <w:rStyle w:val="FootnoteReference"/>
          <w:rFonts w:asciiTheme="minorBidi" w:hAnsiTheme="minorBidi"/>
          <w:sz w:val="24"/>
          <w:szCs w:val="24"/>
        </w:rPr>
        <w:footnoteReference w:id="12"/>
      </w:r>
    </w:p>
    <w:p w:rsidR="00033D31" w:rsidRPr="00033D31" w:rsidRDefault="00033D31" w:rsidP="0063771E">
      <w:pPr>
        <w:spacing w:after="0" w:line="240" w:lineRule="auto"/>
        <w:jc w:val="both"/>
        <w:rPr>
          <w:rFonts w:asciiTheme="minorBidi" w:hAnsiTheme="minorBidi"/>
          <w:sz w:val="24"/>
          <w:szCs w:val="24"/>
        </w:rPr>
      </w:pPr>
    </w:p>
    <w:p w:rsidR="00007DBF" w:rsidRPr="00033D31" w:rsidRDefault="00816507"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The </w:t>
      </w:r>
      <w:r w:rsidR="00BF58CA">
        <w:rPr>
          <w:rFonts w:asciiTheme="minorBidi" w:hAnsiTheme="minorBidi"/>
          <w:sz w:val="24"/>
          <w:szCs w:val="24"/>
        </w:rPr>
        <w:t>k</w:t>
      </w:r>
      <w:r w:rsidRPr="00033D31">
        <w:rPr>
          <w:rFonts w:asciiTheme="minorBidi" w:hAnsiTheme="minorBidi"/>
          <w:sz w:val="24"/>
          <w:szCs w:val="24"/>
        </w:rPr>
        <w:t>abbalistic Sages occupy different levels. R. Kalonymus draws a distinction between those who “ascend with the [Divine] chariot” – i.e., those sages who entered the supernal “</w:t>
      </w:r>
      <w:r w:rsidRPr="00033D31">
        <w:rPr>
          <w:rFonts w:asciiTheme="minorBidi" w:hAnsiTheme="minorBidi"/>
          <w:i/>
          <w:iCs/>
          <w:sz w:val="24"/>
          <w:szCs w:val="24"/>
        </w:rPr>
        <w:t>pardes</w:t>
      </w:r>
      <w:r w:rsidRPr="00033D31">
        <w:rPr>
          <w:rFonts w:asciiTheme="minorBidi" w:hAnsiTheme="minorBidi"/>
          <w:sz w:val="24"/>
          <w:szCs w:val="24"/>
        </w:rPr>
        <w:t>” (literally, “orchard</w:t>
      </w:r>
      <w:r w:rsidR="00BF58CA">
        <w:rPr>
          <w:rFonts w:asciiTheme="minorBidi" w:hAnsiTheme="minorBidi"/>
          <w:sz w:val="24"/>
          <w:szCs w:val="24"/>
        </w:rPr>
        <w:t>,</w:t>
      </w:r>
      <w:r w:rsidRPr="00033D31">
        <w:rPr>
          <w:rFonts w:asciiTheme="minorBidi" w:hAnsiTheme="minorBidi"/>
          <w:sz w:val="24"/>
          <w:szCs w:val="24"/>
        </w:rPr>
        <w:t>” an abbreviation of the different levels of interpretation of the Torah) and “ascended to the firmament” and those (like R. Shimon bar Yochai and his colleagues) who effected a “drawing down” of Divine light, such that even those who are incapable of living on the spiritual level of those who rose up to the heavens</w:t>
      </w:r>
      <w:r w:rsidR="000A7A83" w:rsidRPr="00033D31">
        <w:rPr>
          <w:rFonts w:asciiTheme="minorBidi" w:hAnsiTheme="minorBidi"/>
          <w:sz w:val="24"/>
          <w:szCs w:val="24"/>
        </w:rPr>
        <w:t xml:space="preserve"> could still study </w:t>
      </w:r>
      <w:r w:rsidR="00033D31">
        <w:rPr>
          <w:rFonts w:asciiTheme="minorBidi" w:hAnsiTheme="minorBidi"/>
          <w:sz w:val="24"/>
          <w:szCs w:val="24"/>
        </w:rPr>
        <w:t>Kabbala</w:t>
      </w:r>
      <w:r w:rsidR="000A7A83" w:rsidRPr="00033D31">
        <w:rPr>
          <w:rFonts w:asciiTheme="minorBidi" w:hAnsiTheme="minorBidi"/>
          <w:sz w:val="24"/>
          <w:szCs w:val="24"/>
        </w:rPr>
        <w:t xml:space="preserve"> and benefit from its illumination.</w:t>
      </w:r>
      <w:r w:rsidR="000A7A83" w:rsidRPr="00033D31">
        <w:rPr>
          <w:rStyle w:val="FootnoteReference"/>
          <w:rFonts w:asciiTheme="minorBidi" w:hAnsiTheme="minorBidi"/>
          <w:sz w:val="24"/>
          <w:szCs w:val="24"/>
        </w:rPr>
        <w:footnoteReference w:id="13"/>
      </w:r>
      <w:r w:rsidR="005666E8" w:rsidRPr="00033D31">
        <w:rPr>
          <w:rFonts w:asciiTheme="minorBidi" w:hAnsiTheme="minorBidi"/>
          <w:sz w:val="24"/>
          <w:szCs w:val="24"/>
        </w:rPr>
        <w:t xml:space="preserve"> </w:t>
      </w:r>
      <w:r w:rsidR="00CD7EAB" w:rsidRPr="00033D31">
        <w:rPr>
          <w:rFonts w:asciiTheme="minorBidi" w:hAnsiTheme="minorBidi"/>
          <w:sz w:val="24"/>
          <w:szCs w:val="24"/>
        </w:rPr>
        <w:t>R. Shimon bar Yochai and his generation merited the revelation of great and profound secrets that King Shelomo and his generation did not merit to understand, even though the time of Shelomo was a period of “</w:t>
      </w:r>
      <w:r w:rsidR="008A3795" w:rsidRPr="00033D31">
        <w:rPr>
          <w:rFonts w:asciiTheme="minorBidi" w:hAnsiTheme="minorBidi"/>
          <w:sz w:val="24"/>
          <w:szCs w:val="24"/>
        </w:rPr>
        <w:t>the moon in its fullness</w:t>
      </w:r>
      <w:r w:rsidR="00BF58CA">
        <w:rPr>
          <w:rFonts w:asciiTheme="minorBidi" w:hAnsiTheme="minorBidi"/>
          <w:sz w:val="24"/>
          <w:szCs w:val="24"/>
        </w:rPr>
        <w:t>.</w:t>
      </w:r>
      <w:r w:rsidR="008A3795" w:rsidRPr="00033D31">
        <w:rPr>
          <w:rFonts w:asciiTheme="minorBidi" w:hAnsiTheme="minorBidi"/>
          <w:sz w:val="24"/>
          <w:szCs w:val="24"/>
        </w:rPr>
        <w:t>”</w:t>
      </w:r>
    </w:p>
    <w:p w:rsidR="00CD7EAB" w:rsidRPr="00033D31" w:rsidRDefault="00CD7EAB" w:rsidP="0063771E">
      <w:pPr>
        <w:spacing w:after="0" w:line="240" w:lineRule="auto"/>
        <w:jc w:val="both"/>
        <w:rPr>
          <w:rFonts w:asciiTheme="minorBidi" w:hAnsiTheme="minorBidi"/>
          <w:sz w:val="24"/>
          <w:szCs w:val="24"/>
        </w:rPr>
      </w:pPr>
    </w:p>
    <w:p w:rsidR="00CD7EAB" w:rsidRPr="00033D31" w:rsidRDefault="00033D31" w:rsidP="0063771E">
      <w:pPr>
        <w:spacing w:after="0" w:line="240" w:lineRule="auto"/>
        <w:jc w:val="both"/>
        <w:rPr>
          <w:rFonts w:asciiTheme="minorBidi" w:hAnsiTheme="minorBidi"/>
          <w:b/>
          <w:bCs/>
          <w:sz w:val="24"/>
          <w:szCs w:val="24"/>
        </w:rPr>
      </w:pPr>
      <w:r>
        <w:rPr>
          <w:rFonts w:asciiTheme="minorBidi" w:hAnsiTheme="minorBidi"/>
          <w:b/>
          <w:bCs/>
          <w:sz w:val="24"/>
          <w:szCs w:val="24"/>
        </w:rPr>
        <w:t>Kabbala</w:t>
      </w:r>
      <w:r w:rsidR="00CD7EAB" w:rsidRPr="00033D31">
        <w:rPr>
          <w:rFonts w:asciiTheme="minorBidi" w:hAnsiTheme="minorBidi"/>
          <w:b/>
          <w:bCs/>
          <w:sz w:val="24"/>
          <w:szCs w:val="24"/>
        </w:rPr>
        <w:t xml:space="preserve"> as the </w:t>
      </w:r>
      <w:r w:rsidR="00BF58CA">
        <w:rPr>
          <w:rFonts w:asciiTheme="minorBidi" w:hAnsiTheme="minorBidi"/>
          <w:b/>
          <w:bCs/>
          <w:sz w:val="24"/>
          <w:szCs w:val="24"/>
        </w:rPr>
        <w:t>C</w:t>
      </w:r>
      <w:r w:rsidR="00CD7EAB" w:rsidRPr="00033D31">
        <w:rPr>
          <w:rFonts w:asciiTheme="minorBidi" w:hAnsiTheme="minorBidi"/>
          <w:b/>
          <w:bCs/>
          <w:sz w:val="24"/>
          <w:szCs w:val="24"/>
        </w:rPr>
        <w:t>onti</w:t>
      </w:r>
      <w:r w:rsidR="00BF58CA">
        <w:rPr>
          <w:rFonts w:asciiTheme="minorBidi" w:hAnsiTheme="minorBidi"/>
          <w:b/>
          <w:bCs/>
          <w:sz w:val="24"/>
          <w:szCs w:val="24"/>
        </w:rPr>
        <w:t>nuation of P</w:t>
      </w:r>
      <w:r w:rsidR="00CD7EAB" w:rsidRPr="00033D31">
        <w:rPr>
          <w:rFonts w:asciiTheme="minorBidi" w:hAnsiTheme="minorBidi"/>
          <w:b/>
          <w:bCs/>
          <w:sz w:val="24"/>
          <w:szCs w:val="24"/>
        </w:rPr>
        <w:t>rophecy</w:t>
      </w:r>
    </w:p>
    <w:p w:rsidR="00033D31" w:rsidRDefault="00033D31" w:rsidP="0063771E">
      <w:pPr>
        <w:spacing w:after="0" w:line="240" w:lineRule="auto"/>
        <w:jc w:val="both"/>
        <w:rPr>
          <w:rFonts w:asciiTheme="minorBidi" w:hAnsiTheme="minorBidi"/>
          <w:sz w:val="24"/>
          <w:szCs w:val="24"/>
        </w:rPr>
      </w:pPr>
    </w:p>
    <w:p w:rsidR="00BF58CA" w:rsidRDefault="00CD7EAB"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It is no coincidence that the appearance of </w:t>
      </w:r>
      <w:r w:rsidR="00033D31">
        <w:rPr>
          <w:rFonts w:asciiTheme="minorBidi" w:hAnsiTheme="minorBidi"/>
          <w:sz w:val="24"/>
          <w:szCs w:val="24"/>
        </w:rPr>
        <w:t>Kabbala</w:t>
      </w:r>
      <w:r w:rsidR="00BF58CA">
        <w:rPr>
          <w:rFonts w:asciiTheme="minorBidi" w:hAnsiTheme="minorBidi"/>
          <w:sz w:val="24"/>
          <w:szCs w:val="24"/>
        </w:rPr>
        <w:t xml:space="preserve">, the revelation of </w:t>
      </w:r>
      <w:r w:rsidR="00BF58CA" w:rsidRPr="00BF58CA">
        <w:rPr>
          <w:rFonts w:asciiTheme="minorBidi" w:hAnsiTheme="minorBidi"/>
          <w:i/>
          <w:iCs/>
          <w:sz w:val="24"/>
          <w:szCs w:val="24"/>
        </w:rPr>
        <w:t>Sefer H</w:t>
      </w:r>
      <w:r w:rsidRPr="00BF58CA">
        <w:rPr>
          <w:rFonts w:asciiTheme="minorBidi" w:hAnsiTheme="minorBidi"/>
          <w:i/>
          <w:iCs/>
          <w:sz w:val="24"/>
          <w:szCs w:val="24"/>
        </w:rPr>
        <w:t>a-Zohar</w:t>
      </w:r>
      <w:r w:rsidRPr="00033D31">
        <w:rPr>
          <w:rFonts w:asciiTheme="minorBidi" w:hAnsiTheme="minorBidi"/>
          <w:sz w:val="24"/>
          <w:szCs w:val="24"/>
        </w:rPr>
        <w:t>, and the flourishing of kabbalistic literature that followed took place after the cessation of prophecy</w:t>
      </w:r>
      <w:r w:rsidR="00A20D24" w:rsidRPr="00033D31">
        <w:rPr>
          <w:rFonts w:asciiTheme="minorBidi" w:hAnsiTheme="minorBidi"/>
          <w:sz w:val="24"/>
          <w:szCs w:val="24"/>
        </w:rPr>
        <w:t xml:space="preserve">. What in fact happened was that fundamental aspects of prophecy took on a new form in </w:t>
      </w:r>
      <w:r w:rsidR="00033D31">
        <w:rPr>
          <w:rFonts w:asciiTheme="minorBidi" w:hAnsiTheme="minorBidi"/>
          <w:sz w:val="24"/>
          <w:szCs w:val="24"/>
        </w:rPr>
        <w:t>Kabbala</w:t>
      </w:r>
      <w:r w:rsidR="00A20D24" w:rsidRPr="00033D31">
        <w:rPr>
          <w:rFonts w:asciiTheme="minorBidi" w:hAnsiTheme="minorBidi"/>
          <w:sz w:val="24"/>
          <w:szCs w:val="24"/>
        </w:rPr>
        <w:t xml:space="preserve">. </w:t>
      </w:r>
    </w:p>
    <w:p w:rsidR="00BF58CA" w:rsidRDefault="00BF58CA" w:rsidP="0063771E">
      <w:pPr>
        <w:spacing w:after="0" w:line="240" w:lineRule="auto"/>
        <w:jc w:val="both"/>
        <w:rPr>
          <w:rFonts w:asciiTheme="minorBidi" w:hAnsiTheme="minorBidi"/>
          <w:sz w:val="24"/>
          <w:szCs w:val="24"/>
        </w:rPr>
      </w:pPr>
    </w:p>
    <w:p w:rsidR="00CD7EAB" w:rsidRDefault="00A20D24" w:rsidP="0063771E">
      <w:pPr>
        <w:spacing w:after="0" w:line="240" w:lineRule="auto"/>
        <w:jc w:val="both"/>
        <w:rPr>
          <w:rFonts w:asciiTheme="minorBidi" w:hAnsiTheme="minorBidi"/>
          <w:sz w:val="24"/>
          <w:szCs w:val="24"/>
        </w:rPr>
      </w:pPr>
      <w:r w:rsidRPr="00033D31">
        <w:rPr>
          <w:rFonts w:asciiTheme="minorBidi" w:hAnsiTheme="minorBidi"/>
          <w:sz w:val="24"/>
          <w:szCs w:val="24"/>
        </w:rPr>
        <w:t xml:space="preserve">R. Kalonymus maintains that there is a great similarity between the kabbalists and the prophets. Both the prophet and the kabbalist use the power of the imagination to express their visions. The prophet envisions the heavenly Chariot, </w:t>
      </w:r>
      <w:r w:rsidRPr="00033D31">
        <w:rPr>
          <w:rFonts w:asciiTheme="minorBidi" w:hAnsiTheme="minorBidi"/>
          <w:sz w:val="24"/>
          <w:szCs w:val="24"/>
        </w:rPr>
        <w:lastRenderedPageBreak/>
        <w:t>the holy “</w:t>
      </w:r>
      <w:r w:rsidRPr="00033D31">
        <w:rPr>
          <w:rFonts w:asciiTheme="minorBidi" w:hAnsiTheme="minorBidi"/>
          <w:i/>
          <w:iCs/>
          <w:sz w:val="24"/>
          <w:szCs w:val="24"/>
        </w:rPr>
        <w:t>chayot</w:t>
      </w:r>
      <w:r w:rsidRPr="00033D31">
        <w:rPr>
          <w:rFonts w:asciiTheme="minorBidi" w:hAnsiTheme="minorBidi"/>
          <w:sz w:val="24"/>
          <w:szCs w:val="24"/>
        </w:rPr>
        <w:t xml:space="preserve">” and the Throne of Glory, while the kabbalist, from the </w:t>
      </w:r>
      <w:r w:rsidRPr="00BF58CA">
        <w:rPr>
          <w:rFonts w:asciiTheme="minorBidi" w:hAnsiTheme="minorBidi"/>
          <w:i/>
          <w:iCs/>
          <w:sz w:val="24"/>
          <w:szCs w:val="24"/>
        </w:rPr>
        <w:t xml:space="preserve">Sefer </w:t>
      </w:r>
      <w:r w:rsidR="00BF58CA" w:rsidRPr="00BF58CA">
        <w:rPr>
          <w:rFonts w:asciiTheme="minorBidi" w:hAnsiTheme="minorBidi"/>
          <w:i/>
          <w:iCs/>
          <w:sz w:val="24"/>
          <w:szCs w:val="24"/>
        </w:rPr>
        <w:t>H</w:t>
      </w:r>
      <w:r w:rsidRPr="00BF58CA">
        <w:rPr>
          <w:rFonts w:asciiTheme="minorBidi" w:hAnsiTheme="minorBidi"/>
          <w:i/>
          <w:iCs/>
          <w:sz w:val="24"/>
          <w:szCs w:val="24"/>
        </w:rPr>
        <w:t>a-Zohar</w:t>
      </w:r>
      <w:r w:rsidRPr="00033D31">
        <w:rPr>
          <w:rFonts w:asciiTheme="minorBidi" w:hAnsiTheme="minorBidi"/>
          <w:sz w:val="24"/>
          <w:szCs w:val="24"/>
        </w:rPr>
        <w:t xml:space="preserve"> onwards, describes the four worlds – </w:t>
      </w:r>
      <w:r w:rsidRPr="00BF58CA">
        <w:rPr>
          <w:rFonts w:asciiTheme="minorBidi" w:hAnsiTheme="minorBidi"/>
          <w:i/>
          <w:iCs/>
          <w:sz w:val="24"/>
          <w:szCs w:val="24"/>
        </w:rPr>
        <w:t>Atz</w:t>
      </w:r>
      <w:r w:rsidR="00BF58CA" w:rsidRPr="00BF58CA">
        <w:rPr>
          <w:rFonts w:asciiTheme="minorBidi" w:hAnsiTheme="minorBidi"/>
          <w:i/>
          <w:iCs/>
          <w:sz w:val="24"/>
          <w:szCs w:val="24"/>
        </w:rPr>
        <w:t>ilut</w:t>
      </w:r>
      <w:r w:rsidR="00BF58CA">
        <w:rPr>
          <w:rFonts w:asciiTheme="minorBidi" w:hAnsiTheme="minorBidi"/>
          <w:sz w:val="24"/>
          <w:szCs w:val="24"/>
        </w:rPr>
        <w:t xml:space="preserve">, </w:t>
      </w:r>
      <w:r w:rsidR="00BF58CA" w:rsidRPr="00BF58CA">
        <w:rPr>
          <w:rFonts w:asciiTheme="minorBidi" w:hAnsiTheme="minorBidi"/>
          <w:i/>
          <w:iCs/>
          <w:sz w:val="24"/>
          <w:szCs w:val="24"/>
        </w:rPr>
        <w:t>Beria</w:t>
      </w:r>
      <w:r w:rsidR="00BF58CA">
        <w:rPr>
          <w:rFonts w:asciiTheme="minorBidi" w:hAnsiTheme="minorBidi"/>
          <w:sz w:val="24"/>
          <w:szCs w:val="24"/>
        </w:rPr>
        <w:t xml:space="preserve">, </w:t>
      </w:r>
      <w:r w:rsidR="00BF58CA" w:rsidRPr="00BF58CA">
        <w:rPr>
          <w:rFonts w:asciiTheme="minorBidi" w:hAnsiTheme="minorBidi"/>
          <w:i/>
          <w:iCs/>
          <w:sz w:val="24"/>
          <w:szCs w:val="24"/>
        </w:rPr>
        <w:t>Yetzira</w:t>
      </w:r>
      <w:r w:rsidR="00BF58CA">
        <w:rPr>
          <w:rFonts w:asciiTheme="minorBidi" w:hAnsiTheme="minorBidi"/>
          <w:sz w:val="24"/>
          <w:szCs w:val="24"/>
        </w:rPr>
        <w:t xml:space="preserve">, and </w:t>
      </w:r>
      <w:r w:rsidR="00BF58CA" w:rsidRPr="00BF58CA">
        <w:rPr>
          <w:rFonts w:asciiTheme="minorBidi" w:hAnsiTheme="minorBidi"/>
          <w:i/>
          <w:iCs/>
          <w:sz w:val="24"/>
          <w:szCs w:val="24"/>
        </w:rPr>
        <w:t>Asiya</w:t>
      </w:r>
      <w:r w:rsidR="00BF58CA">
        <w:rPr>
          <w:rFonts w:asciiTheme="minorBidi" w:hAnsiTheme="minorBidi"/>
          <w:sz w:val="24"/>
          <w:szCs w:val="24"/>
        </w:rPr>
        <w:t xml:space="preserve"> –</w:t>
      </w:r>
      <w:r w:rsidRPr="00033D31">
        <w:rPr>
          <w:rFonts w:asciiTheme="minorBidi" w:hAnsiTheme="minorBidi"/>
          <w:sz w:val="24"/>
          <w:szCs w:val="24"/>
        </w:rPr>
        <w:t xml:space="preserve"> as well as the “</w:t>
      </w:r>
      <w:r w:rsidRPr="00BF58CA">
        <w:rPr>
          <w:rFonts w:asciiTheme="minorBidi" w:hAnsiTheme="minorBidi"/>
          <w:i/>
          <w:iCs/>
          <w:sz w:val="24"/>
          <w:szCs w:val="24"/>
        </w:rPr>
        <w:t>partzufim</w:t>
      </w:r>
      <w:r w:rsidRPr="00033D31">
        <w:rPr>
          <w:rFonts w:asciiTheme="minorBidi" w:hAnsiTheme="minorBidi"/>
          <w:sz w:val="24"/>
          <w:szCs w:val="24"/>
        </w:rPr>
        <w:t xml:space="preserve">” and </w:t>
      </w:r>
      <w:r w:rsidRPr="00BF58CA">
        <w:rPr>
          <w:rFonts w:asciiTheme="minorBidi" w:hAnsiTheme="minorBidi"/>
          <w:i/>
          <w:iCs/>
          <w:sz w:val="24"/>
          <w:szCs w:val="24"/>
        </w:rPr>
        <w:t>sefirot</w:t>
      </w:r>
      <w:r w:rsidRPr="00033D31">
        <w:rPr>
          <w:rFonts w:asciiTheme="minorBidi" w:hAnsiTheme="minorBidi"/>
          <w:sz w:val="24"/>
          <w:szCs w:val="24"/>
        </w:rPr>
        <w:t xml:space="preserve">. Both schools describe supernal perceptions by means of images, and therefore </w:t>
      </w:r>
      <w:r w:rsidR="00CD09FD" w:rsidRPr="00033D31">
        <w:rPr>
          <w:rFonts w:asciiTheme="minorBidi" w:hAnsiTheme="minorBidi"/>
          <w:sz w:val="24"/>
          <w:szCs w:val="24"/>
        </w:rPr>
        <w:t xml:space="preserve">“the kabbalists, too, perceived not only </w:t>
      </w:r>
      <w:r w:rsidR="00CD09FD" w:rsidRPr="00033D31">
        <w:rPr>
          <w:rFonts w:asciiTheme="minorBidi" w:hAnsiTheme="minorBidi"/>
          <w:i/>
          <w:iCs/>
          <w:sz w:val="24"/>
          <w:szCs w:val="24"/>
        </w:rPr>
        <w:t>Adam Kadmon</w:t>
      </w:r>
      <w:r w:rsidR="00CD09FD" w:rsidRPr="00033D31">
        <w:rPr>
          <w:rFonts w:asciiTheme="minorBidi" w:hAnsiTheme="minorBidi"/>
          <w:sz w:val="24"/>
          <w:szCs w:val="24"/>
        </w:rPr>
        <w:t xml:space="preserve">, </w:t>
      </w:r>
      <w:r w:rsidR="00CD09FD" w:rsidRPr="00033D31">
        <w:rPr>
          <w:rFonts w:asciiTheme="minorBidi" w:hAnsiTheme="minorBidi"/>
          <w:i/>
          <w:iCs/>
          <w:sz w:val="24"/>
          <w:szCs w:val="24"/>
        </w:rPr>
        <w:t>Tiferet</w:t>
      </w:r>
      <w:r w:rsidR="00CD09FD" w:rsidRPr="00033D31">
        <w:rPr>
          <w:rFonts w:asciiTheme="minorBidi" w:hAnsiTheme="minorBidi"/>
          <w:sz w:val="24"/>
          <w:szCs w:val="24"/>
        </w:rPr>
        <w:t xml:space="preserve">, and </w:t>
      </w:r>
      <w:r w:rsidR="00CD09FD" w:rsidRPr="00033D31">
        <w:rPr>
          <w:rFonts w:asciiTheme="minorBidi" w:hAnsiTheme="minorBidi"/>
          <w:i/>
          <w:iCs/>
          <w:sz w:val="24"/>
          <w:szCs w:val="24"/>
        </w:rPr>
        <w:t>Malkhut</w:t>
      </w:r>
      <w:r w:rsidR="00CD09FD" w:rsidRPr="00033D31">
        <w:rPr>
          <w:rFonts w:asciiTheme="minorBidi" w:hAnsiTheme="minorBidi"/>
          <w:sz w:val="24"/>
          <w:szCs w:val="24"/>
        </w:rPr>
        <w:t>, but also prophetic visions.”</w:t>
      </w:r>
      <w:r w:rsidR="00CD09FD" w:rsidRPr="00033D31">
        <w:rPr>
          <w:rStyle w:val="FootnoteReference"/>
          <w:rFonts w:asciiTheme="minorBidi" w:hAnsiTheme="minorBidi"/>
          <w:sz w:val="24"/>
          <w:szCs w:val="24"/>
        </w:rPr>
        <w:footnoteReference w:id="14"/>
      </w:r>
      <w:r w:rsidR="00CD09FD" w:rsidRPr="00033D31">
        <w:rPr>
          <w:rFonts w:asciiTheme="minorBidi" w:hAnsiTheme="minorBidi"/>
          <w:sz w:val="24"/>
          <w:szCs w:val="24"/>
        </w:rPr>
        <w:t xml:space="preserve"> Elsewhere, in reference to the greatest of the kabbalists, R. Kalonymus writes, “The holy </w:t>
      </w:r>
      <w:r w:rsidR="00CD09FD" w:rsidRPr="00BF58CA">
        <w:rPr>
          <w:rFonts w:asciiTheme="minorBidi" w:hAnsiTheme="minorBidi"/>
          <w:i/>
          <w:iCs/>
          <w:sz w:val="24"/>
          <w:szCs w:val="24"/>
        </w:rPr>
        <w:t>Zohar</w:t>
      </w:r>
      <w:r w:rsidR="00CD09FD" w:rsidRPr="00033D31">
        <w:rPr>
          <w:rFonts w:asciiTheme="minorBidi" w:hAnsiTheme="minorBidi"/>
          <w:sz w:val="24"/>
          <w:szCs w:val="24"/>
        </w:rPr>
        <w:t>… is the revelation of real prophecy.”</w:t>
      </w:r>
      <w:r w:rsidR="00CD09FD" w:rsidRPr="00033D31">
        <w:rPr>
          <w:rStyle w:val="FootnoteReference"/>
          <w:rFonts w:asciiTheme="minorBidi" w:hAnsiTheme="minorBidi"/>
          <w:sz w:val="24"/>
          <w:szCs w:val="24"/>
        </w:rPr>
        <w:footnoteReference w:id="15"/>
      </w:r>
    </w:p>
    <w:p w:rsidR="00033D31" w:rsidRPr="00033D31" w:rsidRDefault="00033D31" w:rsidP="0063771E">
      <w:pPr>
        <w:spacing w:after="0" w:line="240" w:lineRule="auto"/>
        <w:jc w:val="both"/>
        <w:rPr>
          <w:rFonts w:asciiTheme="minorBidi" w:hAnsiTheme="minorBidi"/>
          <w:sz w:val="24"/>
          <w:szCs w:val="24"/>
        </w:rPr>
      </w:pPr>
    </w:p>
    <w:p w:rsidR="00CD09FD" w:rsidRPr="00033D31" w:rsidRDefault="00CD09FD" w:rsidP="0063771E">
      <w:pPr>
        <w:spacing w:after="0" w:line="240" w:lineRule="auto"/>
        <w:jc w:val="both"/>
        <w:rPr>
          <w:rFonts w:asciiTheme="minorBidi" w:hAnsiTheme="minorBidi"/>
          <w:sz w:val="24"/>
          <w:szCs w:val="24"/>
          <w:rtl/>
        </w:rPr>
      </w:pPr>
      <w:r w:rsidRPr="00033D31">
        <w:rPr>
          <w:rFonts w:asciiTheme="minorBidi" w:hAnsiTheme="minorBidi"/>
          <w:sz w:val="24"/>
          <w:szCs w:val="24"/>
        </w:rPr>
        <w:t xml:space="preserve">However, not only the giants of </w:t>
      </w:r>
      <w:r w:rsidR="00033D31">
        <w:rPr>
          <w:rFonts w:asciiTheme="minorBidi" w:hAnsiTheme="minorBidi"/>
          <w:sz w:val="24"/>
          <w:szCs w:val="24"/>
        </w:rPr>
        <w:t>Kabbala</w:t>
      </w:r>
      <w:r w:rsidR="00BF58CA">
        <w:rPr>
          <w:rFonts w:asciiTheme="minorBidi" w:hAnsiTheme="minorBidi"/>
          <w:sz w:val="24"/>
          <w:szCs w:val="24"/>
        </w:rPr>
        <w:t>,</w:t>
      </w:r>
      <w:r w:rsidRPr="00033D31">
        <w:rPr>
          <w:rFonts w:asciiTheme="minorBidi" w:hAnsiTheme="minorBidi"/>
          <w:sz w:val="24"/>
          <w:szCs w:val="24"/>
        </w:rPr>
        <w:t xml:space="preserve"> but all those who study the inner teachings of the Torah may “merit the spark of prophecy that is in </w:t>
      </w:r>
      <w:r w:rsidR="00033D31">
        <w:rPr>
          <w:rFonts w:asciiTheme="minorBidi" w:hAnsiTheme="minorBidi"/>
          <w:sz w:val="24"/>
          <w:szCs w:val="24"/>
        </w:rPr>
        <w:t>Kabbala</w:t>
      </w:r>
      <w:r w:rsidRPr="00033D31">
        <w:rPr>
          <w:rFonts w:asciiTheme="minorBidi" w:hAnsiTheme="minorBidi"/>
          <w:sz w:val="24"/>
          <w:szCs w:val="24"/>
        </w:rPr>
        <w:t xml:space="preserve"> – each individual in accordance with his level.”</w:t>
      </w:r>
      <w:r w:rsidRPr="00033D31">
        <w:rPr>
          <w:rStyle w:val="FootnoteReference"/>
          <w:rFonts w:asciiTheme="minorBidi" w:hAnsiTheme="minorBidi"/>
          <w:sz w:val="24"/>
          <w:szCs w:val="24"/>
        </w:rPr>
        <w:footnoteReference w:id="16"/>
      </w:r>
      <w:r w:rsidRPr="00033D31">
        <w:rPr>
          <w:rFonts w:asciiTheme="minorBidi" w:hAnsiTheme="minorBidi"/>
          <w:sz w:val="24"/>
          <w:szCs w:val="24"/>
        </w:rPr>
        <w:t xml:space="preserve"> This is so because when one studies </w:t>
      </w:r>
      <w:r w:rsidR="00033D31">
        <w:rPr>
          <w:rFonts w:asciiTheme="minorBidi" w:hAnsiTheme="minorBidi"/>
          <w:sz w:val="24"/>
          <w:szCs w:val="24"/>
        </w:rPr>
        <w:t>Kabbala</w:t>
      </w:r>
      <w:r w:rsidRPr="00033D31">
        <w:rPr>
          <w:rFonts w:asciiTheme="minorBidi" w:hAnsiTheme="minorBidi"/>
          <w:sz w:val="24"/>
          <w:szCs w:val="24"/>
        </w:rPr>
        <w:t>, if he has prepared himself properly and purified his body and his heart, he may merit an elevated level of insight the likes of which he has not experienced before. R. Kalonymus describes this as “a sparkling before him of something of God’s greatness.”</w:t>
      </w:r>
      <w:r w:rsidRPr="00033D31">
        <w:rPr>
          <w:rStyle w:val="FootnoteReference"/>
          <w:rFonts w:asciiTheme="minorBidi" w:hAnsiTheme="minorBidi"/>
          <w:sz w:val="24"/>
          <w:szCs w:val="24"/>
        </w:rPr>
        <w:footnoteReference w:id="17"/>
      </w:r>
      <w:r w:rsidRPr="00033D31">
        <w:rPr>
          <w:rFonts w:asciiTheme="minorBidi" w:hAnsiTheme="minorBidi"/>
          <w:sz w:val="24"/>
          <w:szCs w:val="24"/>
        </w:rPr>
        <w:t xml:space="preserve"> </w:t>
      </w:r>
    </w:p>
    <w:p w:rsidR="00F2771F" w:rsidRDefault="00F2771F" w:rsidP="0063771E">
      <w:pPr>
        <w:spacing w:after="0" w:line="240" w:lineRule="auto"/>
        <w:jc w:val="both"/>
        <w:rPr>
          <w:rFonts w:asciiTheme="minorBidi" w:hAnsiTheme="minorBidi"/>
          <w:sz w:val="24"/>
          <w:szCs w:val="24"/>
        </w:rPr>
      </w:pPr>
    </w:p>
    <w:p w:rsidR="007069F2" w:rsidRDefault="007069F2" w:rsidP="0063771E">
      <w:pPr>
        <w:spacing w:after="0" w:line="240" w:lineRule="auto"/>
        <w:jc w:val="both"/>
        <w:rPr>
          <w:rFonts w:asciiTheme="minorBidi" w:hAnsiTheme="minorBidi"/>
          <w:sz w:val="24"/>
          <w:szCs w:val="24"/>
        </w:rPr>
      </w:pPr>
    </w:p>
    <w:p w:rsidR="007069F2" w:rsidRPr="00033D31" w:rsidRDefault="007069F2" w:rsidP="0063771E">
      <w:pPr>
        <w:spacing w:after="0" w:line="240" w:lineRule="auto"/>
        <w:jc w:val="both"/>
        <w:rPr>
          <w:rFonts w:asciiTheme="minorBidi" w:hAnsiTheme="minorBidi"/>
          <w:sz w:val="24"/>
          <w:szCs w:val="24"/>
        </w:rPr>
      </w:pPr>
      <w:r>
        <w:rPr>
          <w:rFonts w:asciiTheme="minorBidi" w:hAnsiTheme="minorBidi"/>
          <w:sz w:val="24"/>
          <w:szCs w:val="24"/>
        </w:rPr>
        <w:t xml:space="preserve">Translated by </w:t>
      </w:r>
      <w:proofErr w:type="spellStart"/>
      <w:r>
        <w:rPr>
          <w:rFonts w:asciiTheme="minorBidi" w:hAnsiTheme="minorBidi"/>
          <w:sz w:val="24"/>
          <w:szCs w:val="24"/>
        </w:rPr>
        <w:t>Kaeren</w:t>
      </w:r>
      <w:proofErr w:type="spellEnd"/>
      <w:r>
        <w:rPr>
          <w:rFonts w:asciiTheme="minorBidi" w:hAnsiTheme="minorBidi"/>
          <w:sz w:val="24"/>
          <w:szCs w:val="24"/>
        </w:rPr>
        <w:t xml:space="preserve"> Fish</w:t>
      </w:r>
      <w:bookmarkStart w:id="0" w:name="_GoBack"/>
      <w:bookmarkEnd w:id="0"/>
    </w:p>
    <w:sectPr w:rsidR="007069F2" w:rsidRPr="00033D31" w:rsidSect="00033D31">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CC" w:rsidRDefault="005E7DCC" w:rsidP="00A442BF">
      <w:pPr>
        <w:spacing w:after="0" w:line="240" w:lineRule="auto"/>
      </w:pPr>
      <w:r>
        <w:separator/>
      </w:r>
    </w:p>
  </w:endnote>
  <w:endnote w:type="continuationSeparator" w:id="0">
    <w:p w:rsidR="005E7DCC" w:rsidRDefault="005E7DCC" w:rsidP="00A4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820119514"/>
      <w:docPartObj>
        <w:docPartGallery w:val="Page Numbers (Bottom of Page)"/>
        <w:docPartUnique/>
      </w:docPartObj>
    </w:sdtPr>
    <w:sdtEndPr>
      <w:rPr>
        <w:noProof/>
      </w:rPr>
    </w:sdtEndPr>
    <w:sdtContent>
      <w:p w:rsidR="00101D84" w:rsidRDefault="00101D84">
        <w:pPr>
          <w:pStyle w:val="Footer"/>
          <w:jc w:val="center"/>
        </w:pPr>
        <w:r>
          <w:rPr>
            <w:noProof w:val="0"/>
          </w:rPr>
          <w:fldChar w:fldCharType="begin"/>
        </w:r>
        <w:r>
          <w:instrText xml:space="preserve"> PAGE   \* MERGEFORMAT </w:instrText>
        </w:r>
        <w:r>
          <w:rPr>
            <w:noProof w:val="0"/>
          </w:rPr>
          <w:fldChar w:fldCharType="separate"/>
        </w:r>
        <w:r w:rsidR="007069F2">
          <w:rPr>
            <w:rtl/>
          </w:rPr>
          <w:t>4</w:t>
        </w:r>
        <w:r>
          <w:fldChar w:fldCharType="end"/>
        </w:r>
      </w:p>
    </w:sdtContent>
  </w:sdt>
  <w:p w:rsidR="00101D84" w:rsidRDefault="0010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CC" w:rsidRDefault="005E7DCC" w:rsidP="00A442BF">
      <w:pPr>
        <w:spacing w:after="0" w:line="240" w:lineRule="auto"/>
      </w:pPr>
      <w:r>
        <w:separator/>
      </w:r>
    </w:p>
  </w:footnote>
  <w:footnote w:type="continuationSeparator" w:id="0">
    <w:p w:rsidR="005E7DCC" w:rsidRDefault="005E7DCC" w:rsidP="00A442BF">
      <w:pPr>
        <w:spacing w:after="0" w:line="240" w:lineRule="auto"/>
      </w:pPr>
      <w:r>
        <w:continuationSeparator/>
      </w:r>
    </w:p>
  </w:footnote>
  <w:footnote w:id="1">
    <w:p w:rsidR="00A442BF" w:rsidRPr="00033D31" w:rsidRDefault="00A442BF"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w:t>
      </w:r>
      <w:r w:rsidR="007868A2" w:rsidRPr="00033D31">
        <w:rPr>
          <w:rFonts w:asciiTheme="minorBidi" w:hAnsiTheme="minorBidi"/>
        </w:rPr>
        <w:t xml:space="preserve">This </w:t>
      </w:r>
      <w:r w:rsidR="00BF58CA">
        <w:rPr>
          <w:rFonts w:asciiTheme="minorBidi" w:hAnsiTheme="minorBidi"/>
        </w:rPr>
        <w:t>is</w:t>
      </w:r>
      <w:r w:rsidR="007868A2" w:rsidRPr="00033D31">
        <w:rPr>
          <w:rFonts w:asciiTheme="minorBidi" w:hAnsiTheme="minorBidi"/>
        </w:rPr>
        <w:t xml:space="preserve"> the number of adult men, without the women and children. See, for example, </w:t>
      </w:r>
      <w:r w:rsidR="007868A2" w:rsidRPr="00033D31">
        <w:rPr>
          <w:rFonts w:asciiTheme="minorBidi" w:hAnsiTheme="minorBidi"/>
          <w:i/>
          <w:iCs/>
        </w:rPr>
        <w:t xml:space="preserve">Shir </w:t>
      </w:r>
      <w:r w:rsidR="00033D31" w:rsidRPr="00033D31">
        <w:rPr>
          <w:rFonts w:asciiTheme="minorBidi" w:hAnsiTheme="minorBidi"/>
          <w:i/>
          <w:iCs/>
        </w:rPr>
        <w:t>H</w:t>
      </w:r>
      <w:r w:rsidR="007868A2" w:rsidRPr="00033D31">
        <w:rPr>
          <w:rFonts w:asciiTheme="minorBidi" w:hAnsiTheme="minorBidi"/>
          <w:i/>
          <w:iCs/>
        </w:rPr>
        <w:t>a-</w:t>
      </w:r>
      <w:r w:rsidR="00BF58CA">
        <w:rPr>
          <w:rFonts w:asciiTheme="minorBidi" w:hAnsiTheme="minorBidi"/>
          <w:i/>
          <w:iCs/>
        </w:rPr>
        <w:t>S</w:t>
      </w:r>
      <w:r w:rsidR="007868A2" w:rsidRPr="00033D31">
        <w:rPr>
          <w:rFonts w:asciiTheme="minorBidi" w:hAnsiTheme="minorBidi"/>
          <w:i/>
          <w:iCs/>
        </w:rPr>
        <w:t>hirim Rabba</w:t>
      </w:r>
      <w:r w:rsidR="00BF58CA">
        <w:rPr>
          <w:rFonts w:asciiTheme="minorBidi" w:hAnsiTheme="minorBidi"/>
        </w:rPr>
        <w:t xml:space="preserve"> 3:</w:t>
      </w:r>
      <w:r w:rsidR="007868A2" w:rsidRPr="00033D31">
        <w:rPr>
          <w:rFonts w:asciiTheme="minorBidi" w:hAnsiTheme="minorBidi"/>
        </w:rPr>
        <w:t>4: “Six hundred thousand [males] came out of Egypt aged twenty and upwards.”</w:t>
      </w:r>
    </w:p>
  </w:footnote>
  <w:footnote w:id="2">
    <w:p w:rsidR="00161057" w:rsidRPr="00033D31" w:rsidRDefault="00161057"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w:t>
      </w:r>
      <w:r w:rsidR="00BF58CA">
        <w:rPr>
          <w:rFonts w:asciiTheme="minorBidi" w:hAnsiTheme="minorBidi"/>
          <w:i/>
          <w:iCs/>
        </w:rPr>
        <w:t>Mevo H</w:t>
      </w:r>
      <w:r w:rsidRPr="00033D31">
        <w:rPr>
          <w:rFonts w:asciiTheme="minorBidi" w:hAnsiTheme="minorBidi"/>
          <w:i/>
          <w:iCs/>
        </w:rPr>
        <w:t>a-She’arim</w:t>
      </w:r>
      <w:r w:rsidRPr="00033D31">
        <w:rPr>
          <w:rFonts w:asciiTheme="minorBidi" w:hAnsiTheme="minorBidi"/>
        </w:rPr>
        <w:t>, p. 171.</w:t>
      </w:r>
    </w:p>
  </w:footnote>
  <w:footnote w:id="3">
    <w:p w:rsidR="00161057" w:rsidRPr="00033D31" w:rsidRDefault="00161057"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 p. 182.</w:t>
      </w:r>
    </w:p>
  </w:footnote>
  <w:footnote w:id="4">
    <w:p w:rsidR="00BF58CA" w:rsidRDefault="006F51E5"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In the context of apprenticeship of prophets, it is interesting to note what Ramchal writes, although he is not cite</w:t>
      </w:r>
      <w:r w:rsidR="008A3795" w:rsidRPr="00033D31">
        <w:rPr>
          <w:rFonts w:asciiTheme="minorBidi" w:hAnsiTheme="minorBidi"/>
        </w:rPr>
        <w:t>d</w:t>
      </w:r>
      <w:r w:rsidR="00BF58CA">
        <w:rPr>
          <w:rFonts w:asciiTheme="minorBidi" w:hAnsiTheme="minorBidi"/>
        </w:rPr>
        <w:t xml:space="preserve"> by R. Kalonymus: </w:t>
      </w:r>
    </w:p>
    <w:p w:rsidR="006F51E5" w:rsidRPr="00033D31" w:rsidRDefault="00F23652" w:rsidP="00BF58CA">
      <w:pPr>
        <w:pStyle w:val="FootnoteText"/>
        <w:ind w:left="360"/>
        <w:jc w:val="both"/>
        <w:rPr>
          <w:rFonts w:asciiTheme="minorBidi" w:hAnsiTheme="minorBidi"/>
        </w:rPr>
      </w:pPr>
      <w:r w:rsidRPr="00033D31">
        <w:rPr>
          <w:rFonts w:asciiTheme="minorBidi" w:hAnsiTheme="minorBidi"/>
        </w:rPr>
        <w:t xml:space="preserve">It is important to know that the prophet did not achieve the most elevated level all at once; rather, he ascended stage by stage until he achieved full prophecy. It involved a process of learning, like any other wisdom or craft in which a person gradually acquires proficiency. This is the meaning of the term “the children of prophets” – they stood before the prophet, acquiring proficiency in the ways of prophecy and its requirements. (R. Moshe Chaim Luzzatto, </w:t>
      </w:r>
      <w:r w:rsidRPr="00033D31">
        <w:rPr>
          <w:rFonts w:asciiTheme="minorBidi" w:hAnsiTheme="minorBidi"/>
          <w:i/>
          <w:iCs/>
        </w:rPr>
        <w:t>Derekh Hashem</w:t>
      </w:r>
      <w:r w:rsidRPr="00033D31">
        <w:rPr>
          <w:rFonts w:asciiTheme="minorBidi" w:hAnsiTheme="minorBidi"/>
        </w:rPr>
        <w:t xml:space="preserve"> </w:t>
      </w:r>
      <w:r w:rsidR="00BF58CA">
        <w:rPr>
          <w:rFonts w:asciiTheme="minorBidi" w:hAnsiTheme="minorBidi"/>
        </w:rPr>
        <w:t>[</w:t>
      </w:r>
      <w:r w:rsidRPr="00033D31">
        <w:rPr>
          <w:rFonts w:asciiTheme="minorBidi" w:hAnsiTheme="minorBidi"/>
        </w:rPr>
        <w:t>Jerusalem</w:t>
      </w:r>
      <w:r w:rsidR="00BF58CA">
        <w:rPr>
          <w:rFonts w:asciiTheme="minorBidi" w:hAnsiTheme="minorBidi"/>
        </w:rPr>
        <w:t>,</w:t>
      </w:r>
      <w:r w:rsidRPr="00033D31">
        <w:rPr>
          <w:rFonts w:asciiTheme="minorBidi" w:hAnsiTheme="minorBidi"/>
        </w:rPr>
        <w:t xml:space="preserve"> 5738</w:t>
      </w:r>
      <w:r w:rsidR="00BF58CA">
        <w:rPr>
          <w:rFonts w:asciiTheme="minorBidi" w:hAnsiTheme="minorBidi"/>
        </w:rPr>
        <w:t>] 3:</w:t>
      </w:r>
      <w:r w:rsidRPr="00033D31">
        <w:rPr>
          <w:rFonts w:asciiTheme="minorBidi" w:hAnsiTheme="minorBidi"/>
        </w:rPr>
        <w:t>4).</w:t>
      </w:r>
    </w:p>
  </w:footnote>
  <w:footnote w:id="5">
    <w:p w:rsidR="007300E4" w:rsidRPr="00033D31" w:rsidRDefault="007300E4"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w:t>
      </w:r>
      <w:r w:rsidR="00BF58CA">
        <w:rPr>
          <w:rFonts w:asciiTheme="minorBidi" w:hAnsiTheme="minorBidi"/>
          <w:i/>
          <w:iCs/>
        </w:rPr>
        <w:t>Mevo H</w:t>
      </w:r>
      <w:r w:rsidRPr="00033D31">
        <w:rPr>
          <w:rFonts w:asciiTheme="minorBidi" w:hAnsiTheme="minorBidi"/>
          <w:i/>
          <w:iCs/>
        </w:rPr>
        <w:t>a-She’arim</w:t>
      </w:r>
      <w:r w:rsidR="00DA6D32" w:rsidRPr="00033D31">
        <w:rPr>
          <w:rFonts w:asciiTheme="minorBidi" w:hAnsiTheme="minorBidi"/>
        </w:rPr>
        <w:t>, p. 184</w:t>
      </w:r>
      <w:r w:rsidR="00267396">
        <w:rPr>
          <w:rFonts w:asciiTheme="minorBidi" w:hAnsiTheme="minorBidi"/>
        </w:rPr>
        <w:t>.</w:t>
      </w:r>
    </w:p>
  </w:footnote>
  <w:footnote w:id="6">
    <w:p w:rsidR="007300E4" w:rsidRPr="00033D31" w:rsidRDefault="007300E4" w:rsidP="00BF58CA">
      <w:pPr>
        <w:pStyle w:val="FootnoteText"/>
        <w:jc w:val="both"/>
        <w:rPr>
          <w:rFonts w:asciiTheme="minorBidi" w:hAnsiTheme="minorBidi"/>
        </w:rPr>
      </w:pPr>
      <w:r w:rsidRPr="00033D31">
        <w:rPr>
          <w:rStyle w:val="FootnoteReference"/>
          <w:rFonts w:asciiTheme="minorBidi" w:hAnsiTheme="minorBidi"/>
        </w:rPr>
        <w:footnoteRef/>
      </w:r>
      <w:r w:rsidR="00DA6D32" w:rsidRPr="00033D31">
        <w:rPr>
          <w:rFonts w:asciiTheme="minorBidi" w:hAnsiTheme="minorBidi"/>
        </w:rPr>
        <w:t xml:space="preserve"> Ibid., p. 185</w:t>
      </w:r>
      <w:r w:rsidR="00BF58CA">
        <w:rPr>
          <w:rFonts w:asciiTheme="minorBidi" w:hAnsiTheme="minorBidi"/>
        </w:rPr>
        <w:t>.</w:t>
      </w:r>
    </w:p>
  </w:footnote>
  <w:footnote w:id="7">
    <w:p w:rsidR="00DA6D32" w:rsidRPr="00033D31" w:rsidRDefault="00DA6D32"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 p. 171</w:t>
      </w:r>
      <w:r w:rsidR="00BF58CA">
        <w:rPr>
          <w:rFonts w:asciiTheme="minorBidi" w:hAnsiTheme="minorBidi"/>
        </w:rPr>
        <w:t>.</w:t>
      </w:r>
    </w:p>
  </w:footnote>
  <w:footnote w:id="8">
    <w:p w:rsidR="00C930F0" w:rsidRPr="00033D31" w:rsidRDefault="00C930F0"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 p. 183</w:t>
      </w:r>
      <w:r w:rsidR="00BF58CA">
        <w:rPr>
          <w:rFonts w:asciiTheme="minorBidi" w:hAnsiTheme="minorBidi"/>
        </w:rPr>
        <w:t>.</w:t>
      </w:r>
    </w:p>
  </w:footnote>
  <w:footnote w:id="9">
    <w:p w:rsidR="00C930F0" w:rsidRPr="00033D31" w:rsidRDefault="00C930F0"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w:t>
      </w:r>
    </w:p>
  </w:footnote>
  <w:footnote w:id="10">
    <w:p w:rsidR="009B1562" w:rsidRPr="00033D31" w:rsidRDefault="009B1562"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w:t>
      </w:r>
      <w:r w:rsidR="00BF58CA">
        <w:rPr>
          <w:rFonts w:asciiTheme="minorBidi" w:hAnsiTheme="minorBidi"/>
          <w:i/>
          <w:iCs/>
        </w:rPr>
        <w:t>Mevo H</w:t>
      </w:r>
      <w:r w:rsidRPr="00033D31">
        <w:rPr>
          <w:rFonts w:asciiTheme="minorBidi" w:hAnsiTheme="minorBidi"/>
          <w:i/>
          <w:iCs/>
        </w:rPr>
        <w:t>a-She’arim</w:t>
      </w:r>
      <w:r w:rsidRPr="00033D31">
        <w:rPr>
          <w:rFonts w:asciiTheme="minorBidi" w:hAnsiTheme="minorBidi"/>
        </w:rPr>
        <w:t>, pp. 185-187</w:t>
      </w:r>
      <w:r w:rsidR="00BF58CA">
        <w:rPr>
          <w:rFonts w:asciiTheme="minorBidi" w:hAnsiTheme="minorBidi"/>
        </w:rPr>
        <w:t>.</w:t>
      </w:r>
    </w:p>
  </w:footnote>
  <w:footnote w:id="11">
    <w:p w:rsidR="0089545C" w:rsidRPr="00033D31" w:rsidRDefault="00007DBF"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w:t>
      </w:r>
      <w:r w:rsidRPr="00BF58CA">
        <w:rPr>
          <w:rFonts w:asciiTheme="minorBidi" w:hAnsiTheme="minorBidi"/>
          <w:i/>
          <w:iCs/>
        </w:rPr>
        <w:t>Zohar, Ra’aya Mehimna, Pinchas</w:t>
      </w:r>
      <w:r w:rsidRPr="00033D31">
        <w:rPr>
          <w:rFonts w:asciiTheme="minorBidi" w:hAnsiTheme="minorBidi"/>
        </w:rPr>
        <w:t xml:space="preserve"> 244b. The same idea is </w:t>
      </w:r>
      <w:r w:rsidR="00BF58CA">
        <w:rPr>
          <w:rFonts w:asciiTheme="minorBidi" w:hAnsiTheme="minorBidi"/>
        </w:rPr>
        <w:t>expressed by various kabbalists;</w:t>
      </w:r>
      <w:r w:rsidRPr="00033D31">
        <w:rPr>
          <w:rFonts w:asciiTheme="minorBidi" w:hAnsiTheme="minorBidi"/>
        </w:rPr>
        <w:t xml:space="preserve"> see R. Wacks</w:t>
      </w:r>
      <w:r w:rsidR="0089545C" w:rsidRPr="00033D31">
        <w:rPr>
          <w:rFonts w:asciiTheme="minorBidi" w:hAnsiTheme="minorBidi"/>
        </w:rPr>
        <w:t xml:space="preserve">, </w:t>
      </w:r>
      <w:r w:rsidR="00BF58CA">
        <w:rPr>
          <w:rFonts w:asciiTheme="minorBidi" w:hAnsiTheme="minorBidi"/>
          <w:i/>
          <w:iCs/>
        </w:rPr>
        <w:t>Be-Sod H</w:t>
      </w:r>
      <w:r w:rsidR="0089545C" w:rsidRPr="00033D31">
        <w:rPr>
          <w:rFonts w:asciiTheme="minorBidi" w:hAnsiTheme="minorBidi"/>
          <w:i/>
          <w:iCs/>
        </w:rPr>
        <w:t xml:space="preserve">a-Yichud: Ha-Yichudim </w:t>
      </w:r>
      <w:r w:rsidR="00BF58CA">
        <w:rPr>
          <w:rFonts w:asciiTheme="minorBidi" w:hAnsiTheme="minorBidi"/>
          <w:i/>
          <w:iCs/>
        </w:rPr>
        <w:t>B</w:t>
      </w:r>
      <w:r w:rsidR="0089545C" w:rsidRPr="00033D31">
        <w:rPr>
          <w:rFonts w:asciiTheme="minorBidi" w:hAnsiTheme="minorBidi"/>
          <w:i/>
          <w:iCs/>
        </w:rPr>
        <w:t xml:space="preserve">e-Haguto </w:t>
      </w:r>
      <w:r w:rsidR="00BF58CA">
        <w:rPr>
          <w:rFonts w:asciiTheme="minorBidi" w:hAnsiTheme="minorBidi"/>
          <w:i/>
          <w:iCs/>
        </w:rPr>
        <w:t>H</w:t>
      </w:r>
      <w:r w:rsidR="0089545C" w:rsidRPr="00033D31">
        <w:rPr>
          <w:rFonts w:asciiTheme="minorBidi" w:hAnsiTheme="minorBidi"/>
          <w:i/>
          <w:iCs/>
        </w:rPr>
        <w:t xml:space="preserve">a-Kabalit-Chasidit shel R. Chaim ben Shelomo Tirer </w:t>
      </w:r>
      <w:r w:rsidR="00BF58CA">
        <w:rPr>
          <w:rFonts w:asciiTheme="minorBidi" w:hAnsiTheme="minorBidi"/>
          <w:i/>
          <w:iCs/>
        </w:rPr>
        <w:t>M</w:t>
      </w:r>
      <w:r w:rsidR="0089545C" w:rsidRPr="00033D31">
        <w:rPr>
          <w:rFonts w:asciiTheme="minorBidi" w:hAnsiTheme="minorBidi"/>
          <w:i/>
          <w:iCs/>
        </w:rPr>
        <w:t>i-Tshernowitz</w:t>
      </w:r>
      <w:r w:rsidR="0089545C" w:rsidRPr="00033D31">
        <w:rPr>
          <w:rFonts w:asciiTheme="minorBidi" w:hAnsiTheme="minorBidi"/>
        </w:rPr>
        <w:t xml:space="preserve"> </w:t>
      </w:r>
      <w:r w:rsidR="00BF58CA">
        <w:rPr>
          <w:rFonts w:asciiTheme="minorBidi" w:hAnsiTheme="minorBidi"/>
        </w:rPr>
        <w:t>(</w:t>
      </w:r>
      <w:r w:rsidR="0089545C" w:rsidRPr="00033D31">
        <w:rPr>
          <w:rFonts w:asciiTheme="minorBidi" w:hAnsiTheme="minorBidi"/>
        </w:rPr>
        <w:t>Los Angeles, 2006</w:t>
      </w:r>
      <w:r w:rsidR="00BF58CA">
        <w:rPr>
          <w:rFonts w:asciiTheme="minorBidi" w:hAnsiTheme="minorBidi"/>
        </w:rPr>
        <w:t>)</w:t>
      </w:r>
      <w:r w:rsidR="0089545C" w:rsidRPr="00033D31">
        <w:rPr>
          <w:rFonts w:asciiTheme="minorBidi" w:hAnsiTheme="minorBidi"/>
        </w:rPr>
        <w:t xml:space="preserve">, p. 54. </w:t>
      </w:r>
    </w:p>
  </w:footnote>
  <w:footnote w:id="12">
    <w:p w:rsidR="00816507" w:rsidRPr="00033D31" w:rsidRDefault="00816507"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w:t>
      </w:r>
      <w:r w:rsidR="00BF58CA">
        <w:rPr>
          <w:rFonts w:asciiTheme="minorBidi" w:hAnsiTheme="minorBidi"/>
          <w:i/>
          <w:iCs/>
        </w:rPr>
        <w:t>Mevo H</w:t>
      </w:r>
      <w:r w:rsidRPr="00033D31">
        <w:rPr>
          <w:rFonts w:asciiTheme="minorBidi" w:hAnsiTheme="minorBidi"/>
          <w:i/>
          <w:iCs/>
        </w:rPr>
        <w:t>a-She’arim</w:t>
      </w:r>
      <w:r w:rsidRPr="00033D31">
        <w:rPr>
          <w:rFonts w:asciiTheme="minorBidi" w:hAnsiTheme="minorBidi"/>
        </w:rPr>
        <w:t>, p. 187</w:t>
      </w:r>
      <w:r w:rsidR="00BF58CA">
        <w:rPr>
          <w:rFonts w:asciiTheme="minorBidi" w:hAnsiTheme="minorBidi"/>
        </w:rPr>
        <w:t>.</w:t>
      </w:r>
    </w:p>
  </w:footnote>
  <w:footnote w:id="13">
    <w:p w:rsidR="000A7A83" w:rsidRPr="00033D31" w:rsidRDefault="000A7A83" w:rsidP="00BF58CA">
      <w:pPr>
        <w:pStyle w:val="FootnoteText"/>
        <w:jc w:val="both"/>
        <w:rPr>
          <w:rFonts w:asciiTheme="minorBidi" w:hAnsiTheme="minorBidi"/>
          <w:rtl/>
        </w:rPr>
      </w:pPr>
      <w:r w:rsidRPr="00033D31">
        <w:rPr>
          <w:rStyle w:val="FootnoteReference"/>
          <w:rFonts w:asciiTheme="minorBidi" w:hAnsiTheme="minorBidi"/>
        </w:rPr>
        <w:footnoteRef/>
      </w:r>
      <w:r w:rsidR="00CD7EAB" w:rsidRPr="00033D31">
        <w:rPr>
          <w:rFonts w:asciiTheme="minorBidi" w:hAnsiTheme="minorBidi"/>
        </w:rPr>
        <w:t xml:space="preserve"> </w:t>
      </w:r>
      <w:r w:rsidRPr="00033D31">
        <w:rPr>
          <w:rFonts w:asciiTheme="minorBidi" w:hAnsiTheme="minorBidi"/>
        </w:rPr>
        <w:t xml:space="preserve"> Ibid.</w:t>
      </w:r>
    </w:p>
  </w:footnote>
  <w:footnote w:id="14">
    <w:p w:rsidR="00CD09FD" w:rsidRPr="00033D31" w:rsidRDefault="00CD09FD"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 p. 206</w:t>
      </w:r>
      <w:r w:rsidR="00BF58CA">
        <w:rPr>
          <w:rFonts w:asciiTheme="minorBidi" w:hAnsiTheme="minorBidi"/>
        </w:rPr>
        <w:t>.</w:t>
      </w:r>
    </w:p>
  </w:footnote>
  <w:footnote w:id="15">
    <w:p w:rsidR="00CD09FD" w:rsidRPr="00033D31" w:rsidRDefault="00CD09FD"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 p. 252</w:t>
      </w:r>
      <w:r w:rsidR="00BF58CA">
        <w:rPr>
          <w:rFonts w:asciiTheme="minorBidi" w:hAnsiTheme="minorBidi"/>
        </w:rPr>
        <w:t>.</w:t>
      </w:r>
    </w:p>
  </w:footnote>
  <w:footnote w:id="16">
    <w:p w:rsidR="00CD09FD" w:rsidRPr="00033D31" w:rsidRDefault="00CD09FD"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 p. 213</w:t>
      </w:r>
      <w:r w:rsidR="00BF58CA">
        <w:rPr>
          <w:rFonts w:asciiTheme="minorBidi" w:hAnsiTheme="minorBidi"/>
        </w:rPr>
        <w:t>.</w:t>
      </w:r>
    </w:p>
  </w:footnote>
  <w:footnote w:id="17">
    <w:p w:rsidR="00CD09FD" w:rsidRPr="00033D31" w:rsidRDefault="00CD09FD" w:rsidP="00BF58CA">
      <w:pPr>
        <w:pStyle w:val="FootnoteText"/>
        <w:jc w:val="both"/>
        <w:rPr>
          <w:rFonts w:asciiTheme="minorBidi" w:hAnsiTheme="minorBidi"/>
        </w:rPr>
      </w:pPr>
      <w:r w:rsidRPr="00033D31">
        <w:rPr>
          <w:rStyle w:val="FootnoteReference"/>
          <w:rFonts w:asciiTheme="minorBidi" w:hAnsiTheme="minorBidi"/>
        </w:rPr>
        <w:footnoteRef/>
      </w:r>
      <w:r w:rsidRPr="00033D31">
        <w:rPr>
          <w:rFonts w:asciiTheme="minorBidi" w:hAnsiTheme="minorBidi"/>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BF"/>
    <w:rsid w:val="00007DBF"/>
    <w:rsid w:val="00033D31"/>
    <w:rsid w:val="000A7A83"/>
    <w:rsid w:val="00101D84"/>
    <w:rsid w:val="00161057"/>
    <w:rsid w:val="00267396"/>
    <w:rsid w:val="005666E8"/>
    <w:rsid w:val="005B7A49"/>
    <w:rsid w:val="005E7DCC"/>
    <w:rsid w:val="0063771E"/>
    <w:rsid w:val="006F51E5"/>
    <w:rsid w:val="007069F2"/>
    <w:rsid w:val="007300E4"/>
    <w:rsid w:val="007868A2"/>
    <w:rsid w:val="00816507"/>
    <w:rsid w:val="008676C0"/>
    <w:rsid w:val="0089545C"/>
    <w:rsid w:val="008A3795"/>
    <w:rsid w:val="009525DB"/>
    <w:rsid w:val="009B1562"/>
    <w:rsid w:val="00A20D24"/>
    <w:rsid w:val="00A442BF"/>
    <w:rsid w:val="00A9739D"/>
    <w:rsid w:val="00AD15E7"/>
    <w:rsid w:val="00B85BD6"/>
    <w:rsid w:val="00BF58CA"/>
    <w:rsid w:val="00C930F0"/>
    <w:rsid w:val="00CD09FD"/>
    <w:rsid w:val="00CD7EAB"/>
    <w:rsid w:val="00DA6D32"/>
    <w:rsid w:val="00F23652"/>
    <w:rsid w:val="00F2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42BF"/>
    <w:pPr>
      <w:spacing w:after="0" w:line="240" w:lineRule="auto"/>
    </w:pPr>
    <w:rPr>
      <w:sz w:val="20"/>
      <w:szCs w:val="20"/>
    </w:rPr>
  </w:style>
  <w:style w:type="character" w:customStyle="1" w:styleId="FootnoteTextChar">
    <w:name w:val="Footnote Text Char"/>
    <w:basedOn w:val="DefaultParagraphFont"/>
    <w:link w:val="FootnoteText"/>
    <w:uiPriority w:val="99"/>
    <w:rsid w:val="00A442BF"/>
    <w:rPr>
      <w:sz w:val="20"/>
      <w:szCs w:val="20"/>
    </w:rPr>
  </w:style>
  <w:style w:type="character" w:styleId="FootnoteReference">
    <w:name w:val="footnote reference"/>
    <w:basedOn w:val="DefaultParagraphFont"/>
    <w:uiPriority w:val="99"/>
    <w:semiHidden/>
    <w:unhideWhenUsed/>
    <w:rsid w:val="00A442BF"/>
    <w:rPr>
      <w:vertAlign w:val="superscript"/>
    </w:rPr>
  </w:style>
  <w:style w:type="paragraph" w:styleId="Footer">
    <w:name w:val="footer"/>
    <w:basedOn w:val="Normal"/>
    <w:link w:val="FooterChar"/>
    <w:uiPriority w:val="99"/>
    <w:rsid w:val="00A442BF"/>
    <w:pPr>
      <w:tabs>
        <w:tab w:val="center" w:pos="4153"/>
        <w:tab w:val="right" w:pos="8306"/>
      </w:tabs>
      <w:bidi/>
      <w:spacing w:after="0" w:line="300" w:lineRule="exact"/>
      <w:ind w:firstLine="340"/>
      <w:jc w:val="both"/>
    </w:pPr>
    <w:rPr>
      <w:rFonts w:ascii="CG Times" w:eastAsia="Times New Roman" w:hAnsi="CG Times" w:cs="FrankRuehl"/>
      <w:noProof/>
      <w:sz w:val="21"/>
      <w:lang w:eastAsia="he-IL"/>
    </w:rPr>
  </w:style>
  <w:style w:type="character" w:customStyle="1" w:styleId="FooterChar">
    <w:name w:val="Footer Char"/>
    <w:basedOn w:val="DefaultParagraphFont"/>
    <w:link w:val="Footer"/>
    <w:uiPriority w:val="99"/>
    <w:rsid w:val="00A442BF"/>
    <w:rPr>
      <w:rFonts w:ascii="CG Times" w:eastAsia="Times New Roman" w:hAnsi="CG Times" w:cs="FrankRuehl"/>
      <w:noProof/>
      <w:sz w:val="21"/>
      <w:lang w:eastAsia="he-IL"/>
    </w:rPr>
  </w:style>
  <w:style w:type="paragraph" w:styleId="EndnoteText">
    <w:name w:val="endnote text"/>
    <w:basedOn w:val="Normal"/>
    <w:link w:val="EndnoteTextChar"/>
    <w:semiHidden/>
    <w:rsid w:val="006F51E5"/>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6F51E5"/>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033D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3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42BF"/>
    <w:pPr>
      <w:spacing w:after="0" w:line="240" w:lineRule="auto"/>
    </w:pPr>
    <w:rPr>
      <w:sz w:val="20"/>
      <w:szCs w:val="20"/>
    </w:rPr>
  </w:style>
  <w:style w:type="character" w:customStyle="1" w:styleId="FootnoteTextChar">
    <w:name w:val="Footnote Text Char"/>
    <w:basedOn w:val="DefaultParagraphFont"/>
    <w:link w:val="FootnoteText"/>
    <w:uiPriority w:val="99"/>
    <w:rsid w:val="00A442BF"/>
    <w:rPr>
      <w:sz w:val="20"/>
      <w:szCs w:val="20"/>
    </w:rPr>
  </w:style>
  <w:style w:type="character" w:styleId="FootnoteReference">
    <w:name w:val="footnote reference"/>
    <w:basedOn w:val="DefaultParagraphFont"/>
    <w:uiPriority w:val="99"/>
    <w:semiHidden/>
    <w:unhideWhenUsed/>
    <w:rsid w:val="00A442BF"/>
    <w:rPr>
      <w:vertAlign w:val="superscript"/>
    </w:rPr>
  </w:style>
  <w:style w:type="paragraph" w:styleId="Footer">
    <w:name w:val="footer"/>
    <w:basedOn w:val="Normal"/>
    <w:link w:val="FooterChar"/>
    <w:uiPriority w:val="99"/>
    <w:rsid w:val="00A442BF"/>
    <w:pPr>
      <w:tabs>
        <w:tab w:val="center" w:pos="4153"/>
        <w:tab w:val="right" w:pos="8306"/>
      </w:tabs>
      <w:bidi/>
      <w:spacing w:after="0" w:line="300" w:lineRule="exact"/>
      <w:ind w:firstLine="340"/>
      <w:jc w:val="both"/>
    </w:pPr>
    <w:rPr>
      <w:rFonts w:ascii="CG Times" w:eastAsia="Times New Roman" w:hAnsi="CG Times" w:cs="FrankRuehl"/>
      <w:noProof/>
      <w:sz w:val="21"/>
      <w:lang w:eastAsia="he-IL"/>
    </w:rPr>
  </w:style>
  <w:style w:type="character" w:customStyle="1" w:styleId="FooterChar">
    <w:name w:val="Footer Char"/>
    <w:basedOn w:val="DefaultParagraphFont"/>
    <w:link w:val="Footer"/>
    <w:uiPriority w:val="99"/>
    <w:rsid w:val="00A442BF"/>
    <w:rPr>
      <w:rFonts w:ascii="CG Times" w:eastAsia="Times New Roman" w:hAnsi="CG Times" w:cs="FrankRuehl"/>
      <w:noProof/>
      <w:sz w:val="21"/>
      <w:lang w:eastAsia="he-IL"/>
    </w:rPr>
  </w:style>
  <w:style w:type="paragraph" w:styleId="EndnoteText">
    <w:name w:val="endnote text"/>
    <w:basedOn w:val="Normal"/>
    <w:link w:val="EndnoteTextChar"/>
    <w:semiHidden/>
    <w:rsid w:val="006F51E5"/>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6F51E5"/>
    <w:rPr>
      <w:rFonts w:ascii="CG Times" w:eastAsia="Times New Roman" w:hAnsi="CG Times" w:cs="FrankRuehl"/>
      <w:noProof/>
      <w:position w:val="6"/>
      <w:sz w:val="18"/>
      <w:szCs w:val="20"/>
      <w:lang w:eastAsia="he-IL"/>
    </w:rPr>
  </w:style>
  <w:style w:type="paragraph" w:styleId="Header">
    <w:name w:val="header"/>
    <w:basedOn w:val="Normal"/>
    <w:link w:val="HeaderChar"/>
    <w:uiPriority w:val="99"/>
    <w:unhideWhenUsed/>
    <w:rsid w:val="00033D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52B1-E5CA-47D4-A70A-74E3E459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2019-12-15T09:29:00Z</dcterms:created>
  <dcterms:modified xsi:type="dcterms:W3CDTF">2019-12-15T09:29:00Z</dcterms:modified>
</cp:coreProperties>
</file>