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532CF202" w:rsidR="00437A07" w:rsidRDefault="005612F3" w:rsidP="006336C5">
      <w:pPr>
        <w:pStyle w:val="1"/>
        <w:rPr>
          <w:rtl/>
        </w:rPr>
      </w:pPr>
      <w:r>
        <w:rPr>
          <w:rFonts w:hint="cs"/>
          <w:rtl/>
        </w:rPr>
        <w:t>5</w:t>
      </w:r>
      <w:r w:rsidR="006336C5">
        <w:rPr>
          <w:rFonts w:hint="cs"/>
          <w:rtl/>
        </w:rPr>
        <w:t>1</w:t>
      </w:r>
      <w:r w:rsidR="00984E52">
        <w:rPr>
          <w:rtl/>
        </w:rPr>
        <w:t xml:space="preserve"> </w:t>
      </w:r>
      <w:r w:rsidRPr="005612F3">
        <w:rPr>
          <w:rtl/>
        </w:rPr>
        <w:t>תורת החטאת – המשך</w:t>
      </w:r>
      <w:r w:rsidR="00ED41CC">
        <w:rPr>
          <w:rFonts w:hint="cs"/>
          <w:rtl/>
        </w:rPr>
        <w:t xml:space="preserve"> </w:t>
      </w:r>
      <w:r w:rsidR="007221DE">
        <w:rPr>
          <w:rFonts w:hint="cs"/>
          <w:rtl/>
        </w:rPr>
        <w:t>(ב</w:t>
      </w:r>
      <w:r w:rsidR="00ED41CC">
        <w:rPr>
          <w:rFonts w:hint="cs"/>
          <w:rtl/>
        </w:rPr>
        <w:t>)</w:t>
      </w:r>
    </w:p>
    <w:p w14:paraId="4C77BF67" w14:textId="77777777" w:rsidR="006D5CC5" w:rsidRDefault="006D5CC5" w:rsidP="006D5CC5">
      <w:pPr>
        <w:rPr>
          <w:rtl/>
        </w:rPr>
      </w:pPr>
      <w:bookmarkStart w:id="0" w:name="_Toc478423294"/>
    </w:p>
    <w:bookmarkEnd w:id="0"/>
    <w:p w14:paraId="67B379F6" w14:textId="77777777" w:rsidR="005612F3" w:rsidRPr="00FF2F5E" w:rsidRDefault="005612F3" w:rsidP="005612F3">
      <w:pPr>
        <w:pStyle w:val="2"/>
        <w:rPr>
          <w:rtl/>
        </w:rPr>
      </w:pPr>
      <w:r w:rsidRPr="00FF2F5E">
        <w:rPr>
          <w:rFonts w:hint="cs"/>
          <w:rtl/>
        </w:rPr>
        <w:t>חטאת אשר יובא מדמה אל אוהל מועד</w:t>
      </w:r>
    </w:p>
    <w:p w14:paraId="6B5AB259" w14:textId="5EFD8F5A" w:rsidR="005612F3" w:rsidRPr="00C33761" w:rsidRDefault="005612F3" w:rsidP="000D7F0C">
      <w:pPr>
        <w:rPr>
          <w:rFonts w:ascii="David" w:hAnsi="David"/>
          <w:rtl/>
        </w:rPr>
      </w:pPr>
      <w:r>
        <w:rPr>
          <w:rFonts w:ascii="David" w:hAnsi="David" w:hint="cs"/>
          <w:rtl/>
        </w:rPr>
        <w:t xml:space="preserve">חתימת </w:t>
      </w:r>
      <w:r w:rsidRPr="00C33761">
        <w:rPr>
          <w:rFonts w:ascii="David" w:hAnsi="David" w:hint="cs"/>
          <w:rtl/>
        </w:rPr>
        <w:t>פרשי</w:t>
      </w:r>
      <w:bookmarkStart w:id="1" w:name="_GoBack"/>
      <w:bookmarkEnd w:id="1"/>
      <w:r w:rsidRPr="00C33761">
        <w:rPr>
          <w:rFonts w:ascii="David" w:hAnsi="David" w:hint="cs"/>
          <w:rtl/>
        </w:rPr>
        <w:t>י</w:t>
      </w:r>
      <w:r>
        <w:rPr>
          <w:rFonts w:ascii="David" w:hAnsi="David" w:hint="cs"/>
          <w:rtl/>
        </w:rPr>
        <w:t xml:space="preserve">ת החטאת </w:t>
      </w:r>
      <w:r w:rsidRPr="00C33761">
        <w:rPr>
          <w:rFonts w:ascii="David" w:hAnsi="David" w:hint="cs"/>
          <w:rtl/>
        </w:rPr>
        <w:t>מבחינה בין חטאות שונות: "</w:t>
      </w:r>
      <w:r w:rsidRPr="00C33761">
        <w:rPr>
          <w:rFonts w:ascii="David" w:hAnsi="David"/>
          <w:rtl/>
        </w:rPr>
        <w:t xml:space="preserve">וְכָל חַטָּאת אֲשֶׁר יוּבָא מִדָּמָהּ אֶל אֹהֶל מוֹעֵד לְכַפֵּר בַּקֹּדֶשׁ לֹא תֵאָכֵל בָּאֵשׁ </w:t>
      </w:r>
      <w:proofErr w:type="spellStart"/>
      <w:r w:rsidRPr="00C33761">
        <w:rPr>
          <w:rFonts w:ascii="David" w:hAnsi="David"/>
          <w:rtl/>
        </w:rPr>
        <w:t>תִּשָּׂרֵף</w:t>
      </w:r>
      <w:proofErr w:type="spellEnd"/>
      <w:r w:rsidRPr="00C33761">
        <w:rPr>
          <w:rFonts w:ascii="David" w:hAnsi="David" w:hint="cs"/>
          <w:rtl/>
        </w:rPr>
        <w:t xml:space="preserve">" </w:t>
      </w:r>
      <w:r w:rsidRPr="005612F3">
        <w:rPr>
          <w:rFonts w:ascii="David" w:hAnsi="David" w:hint="cs"/>
          <w:sz w:val="20"/>
          <w:szCs w:val="20"/>
          <w:rtl/>
        </w:rPr>
        <w:t xml:space="preserve">(ו', </w:t>
      </w:r>
      <w:proofErr w:type="spellStart"/>
      <w:r w:rsidRPr="005612F3">
        <w:rPr>
          <w:rFonts w:ascii="David" w:hAnsi="David" w:hint="cs"/>
          <w:sz w:val="20"/>
          <w:szCs w:val="20"/>
          <w:rtl/>
        </w:rPr>
        <w:t>כג</w:t>
      </w:r>
      <w:proofErr w:type="spellEnd"/>
      <w:r w:rsidRPr="005612F3">
        <w:rPr>
          <w:rFonts w:ascii="David" w:hAnsi="David" w:hint="cs"/>
          <w:sz w:val="20"/>
          <w:szCs w:val="20"/>
          <w:rtl/>
        </w:rPr>
        <w:t>)</w:t>
      </w:r>
      <w:r w:rsidRPr="00C33761">
        <w:rPr>
          <w:rFonts w:ascii="David" w:hAnsi="David" w:hint="cs"/>
          <w:rtl/>
        </w:rPr>
        <w:t>. הקריאה הפשוטה של פסוק זה היא שכל מה שנאמר עד כה ב</w:t>
      </w:r>
      <w:r w:rsidR="000D7F0C">
        <w:rPr>
          <w:rFonts w:ascii="David" w:hAnsi="David" w:hint="cs"/>
          <w:rtl/>
        </w:rPr>
        <w:t xml:space="preserve">נוגע </w:t>
      </w:r>
      <w:r w:rsidRPr="00C33761">
        <w:rPr>
          <w:rFonts w:ascii="David" w:hAnsi="David" w:hint="cs"/>
          <w:rtl/>
        </w:rPr>
        <w:t xml:space="preserve">לאכילת החטאת רלוונטי רק </w:t>
      </w:r>
      <w:r w:rsidR="000D7F0C">
        <w:rPr>
          <w:rFonts w:ascii="David" w:hAnsi="David" w:hint="cs"/>
          <w:rtl/>
        </w:rPr>
        <w:t>ביחס ל</w:t>
      </w:r>
      <w:r w:rsidRPr="00C33761">
        <w:rPr>
          <w:rFonts w:ascii="David" w:hAnsi="David" w:hint="cs"/>
          <w:rtl/>
        </w:rPr>
        <w:t>חטאות חיצוניות. אך חטאות פנימיות (= "</w:t>
      </w:r>
      <w:r w:rsidRPr="00C33761">
        <w:rPr>
          <w:rFonts w:ascii="David" w:hAnsi="David"/>
          <w:rtl/>
        </w:rPr>
        <w:t>כָל חַטָּאת אֲשֶׁר יוּבָא מִדָּמָהּ אֶל אֹהֶל מוֹעֵד לְכַפֵּר בַּקֹּדֶשׁ</w:t>
      </w:r>
      <w:r w:rsidRPr="00C33761">
        <w:rPr>
          <w:rFonts w:ascii="David" w:hAnsi="David" w:hint="cs"/>
          <w:rtl/>
        </w:rPr>
        <w:t>"),</w:t>
      </w:r>
      <w:r w:rsidRPr="00C33761">
        <w:rPr>
          <w:rFonts w:ascii="David" w:hAnsi="David"/>
          <w:rtl/>
        </w:rPr>
        <w:t xml:space="preserve"> </w:t>
      </w:r>
      <w:r w:rsidRPr="00C33761">
        <w:rPr>
          <w:rFonts w:ascii="David" w:hAnsi="David" w:hint="cs"/>
          <w:rtl/>
        </w:rPr>
        <w:t xml:space="preserve">אינן נאכלות כלל, אלא נשרפות (וכך פירשו כאן </w:t>
      </w:r>
      <w:proofErr w:type="spellStart"/>
      <w:r w:rsidRPr="00C33761">
        <w:rPr>
          <w:rFonts w:ascii="David" w:hAnsi="David" w:hint="cs"/>
          <w:rtl/>
        </w:rPr>
        <w:t>רשב"ם</w:t>
      </w:r>
      <w:proofErr w:type="spellEnd"/>
      <w:r w:rsidRPr="00C33761">
        <w:rPr>
          <w:rFonts w:ascii="David" w:hAnsi="David" w:hint="cs"/>
          <w:rtl/>
        </w:rPr>
        <w:t xml:space="preserve">, </w:t>
      </w:r>
      <w:proofErr w:type="spellStart"/>
      <w:r w:rsidRPr="00C33761">
        <w:rPr>
          <w:rFonts w:ascii="David" w:hAnsi="David" w:hint="cs"/>
          <w:rtl/>
        </w:rPr>
        <w:t>ראב"ע</w:t>
      </w:r>
      <w:proofErr w:type="spellEnd"/>
      <w:r w:rsidRPr="00C33761">
        <w:rPr>
          <w:rFonts w:ascii="David" w:hAnsi="David" w:hint="cs"/>
          <w:rtl/>
        </w:rPr>
        <w:t xml:space="preserve"> ורמב"ן).</w:t>
      </w:r>
    </w:p>
    <w:p w14:paraId="1907B7C2" w14:textId="407F6483" w:rsidR="000B1C59" w:rsidRDefault="005612F3" w:rsidP="00112C5B">
      <w:pPr>
        <w:rPr>
          <w:rFonts w:ascii="David" w:hAnsi="David"/>
          <w:rtl/>
        </w:rPr>
      </w:pPr>
      <w:r w:rsidRPr="00C33761">
        <w:rPr>
          <w:rFonts w:ascii="David" w:hAnsi="David"/>
          <w:rtl/>
        </w:rPr>
        <w:tab/>
      </w:r>
      <w:r w:rsidRPr="00C33761">
        <w:rPr>
          <w:rFonts w:ascii="David" w:hAnsi="David" w:hint="cs"/>
          <w:rtl/>
        </w:rPr>
        <w:t>למרות קריאה פשוטה זו, יש מהתנאים שקראו את הפסוק באופן אחר, ורש"י הלך בעקבות</w:t>
      </w:r>
      <w:r>
        <w:rPr>
          <w:rFonts w:ascii="David" w:hAnsi="David" w:hint="cs"/>
          <w:rtl/>
        </w:rPr>
        <w:t>יהם</w:t>
      </w:r>
      <w:r w:rsidRPr="00C33761">
        <w:rPr>
          <w:rFonts w:ascii="David" w:hAnsi="David" w:hint="cs"/>
          <w:rtl/>
        </w:rPr>
        <w:t>: "שאם</w:t>
      </w:r>
      <w:r w:rsidRPr="00C33761">
        <w:rPr>
          <w:rFonts w:ascii="David" w:hAnsi="David"/>
          <w:rtl/>
        </w:rPr>
        <w:t xml:space="preserve"> </w:t>
      </w:r>
      <w:r w:rsidRPr="00C33761">
        <w:rPr>
          <w:rFonts w:ascii="David" w:hAnsi="David" w:hint="cs"/>
          <w:rtl/>
        </w:rPr>
        <w:t>הכניס</w:t>
      </w:r>
      <w:r w:rsidRPr="00C33761">
        <w:rPr>
          <w:rFonts w:ascii="David" w:hAnsi="David"/>
          <w:rtl/>
        </w:rPr>
        <w:t xml:space="preserve"> </w:t>
      </w:r>
      <w:r w:rsidRPr="00C33761">
        <w:rPr>
          <w:rFonts w:ascii="David" w:hAnsi="David" w:hint="cs"/>
          <w:rtl/>
        </w:rPr>
        <w:t>מדם</w:t>
      </w:r>
      <w:r w:rsidRPr="00C33761">
        <w:rPr>
          <w:rFonts w:ascii="David" w:hAnsi="David"/>
          <w:rtl/>
        </w:rPr>
        <w:t xml:space="preserve"> </w:t>
      </w:r>
      <w:r w:rsidRPr="00C33761">
        <w:rPr>
          <w:rFonts w:ascii="David" w:hAnsi="David" w:hint="cs"/>
          <w:rtl/>
        </w:rPr>
        <w:t>חטאת</w:t>
      </w:r>
      <w:r w:rsidRPr="00C33761">
        <w:rPr>
          <w:rFonts w:ascii="David" w:hAnsi="David"/>
          <w:rtl/>
        </w:rPr>
        <w:t xml:space="preserve"> </w:t>
      </w:r>
      <w:r w:rsidRPr="00C33761">
        <w:rPr>
          <w:rFonts w:ascii="David" w:hAnsi="David" w:hint="cs"/>
          <w:rtl/>
        </w:rPr>
        <w:t>החיצונה</w:t>
      </w:r>
      <w:r w:rsidRPr="00C33761">
        <w:rPr>
          <w:rFonts w:ascii="David" w:hAnsi="David"/>
          <w:rtl/>
        </w:rPr>
        <w:t xml:space="preserve"> </w:t>
      </w:r>
      <w:r w:rsidRPr="00C33761">
        <w:rPr>
          <w:rFonts w:ascii="David" w:hAnsi="David" w:hint="cs"/>
          <w:rtl/>
        </w:rPr>
        <w:t>לפנים</w:t>
      </w:r>
      <w:r w:rsidRPr="00C33761">
        <w:rPr>
          <w:rFonts w:ascii="David" w:hAnsi="David"/>
          <w:rtl/>
        </w:rPr>
        <w:t xml:space="preserve"> </w:t>
      </w:r>
      <w:r w:rsidRPr="00C33761">
        <w:rPr>
          <w:rFonts w:ascii="David" w:hAnsi="David" w:hint="cs"/>
          <w:rtl/>
        </w:rPr>
        <w:t>פסולה"</w:t>
      </w:r>
      <w:r>
        <w:rPr>
          <w:rFonts w:ascii="David" w:hAnsi="David" w:hint="cs"/>
          <w:rtl/>
        </w:rPr>
        <w:t xml:space="preserve"> </w:t>
      </w:r>
      <w:r w:rsidRPr="006B571B">
        <w:rPr>
          <w:rFonts w:ascii="David" w:hAnsi="David" w:hint="cs"/>
          <w:sz w:val="20"/>
          <w:szCs w:val="20"/>
          <w:rtl/>
        </w:rPr>
        <w:t>(רש"י על אתר)</w:t>
      </w:r>
      <w:r w:rsidRPr="00C33761">
        <w:rPr>
          <w:rFonts w:ascii="David" w:hAnsi="David" w:hint="cs"/>
          <w:rtl/>
        </w:rPr>
        <w:t xml:space="preserve">. לפי </w:t>
      </w:r>
      <w:r>
        <w:rPr>
          <w:rFonts w:ascii="David" w:hAnsi="David" w:hint="cs"/>
          <w:rtl/>
        </w:rPr>
        <w:t>קריאה זו,</w:t>
      </w:r>
      <w:r w:rsidRPr="00C33761">
        <w:rPr>
          <w:rFonts w:ascii="David" w:hAnsi="David" w:hint="cs"/>
          <w:rtl/>
        </w:rPr>
        <w:t xml:space="preserve"> </w:t>
      </w:r>
      <w:r w:rsidRPr="00C33761">
        <w:rPr>
          <w:rFonts w:ascii="David" w:hAnsi="David"/>
          <w:rtl/>
        </w:rPr>
        <w:t>אין הכו</w:t>
      </w:r>
      <w:r w:rsidRPr="00C33761">
        <w:rPr>
          <w:rFonts w:ascii="David" w:hAnsi="David" w:hint="cs"/>
          <w:rtl/>
        </w:rPr>
        <w:t>ו</w:t>
      </w:r>
      <w:r w:rsidRPr="00C33761">
        <w:rPr>
          <w:rFonts w:ascii="David" w:hAnsi="David"/>
          <w:rtl/>
        </w:rPr>
        <w:t xml:space="preserve">נה לחטאת פנימית שבאופן רשמי הובא מדמה פנימה, אלא מדובר בחטאת חיצונית שבטעות </w:t>
      </w:r>
      <w:r w:rsidR="00D270B3">
        <w:rPr>
          <w:rFonts w:ascii="David" w:hAnsi="David" w:hint="cs"/>
          <w:rtl/>
        </w:rPr>
        <w:t>התייחסו אליה כאל חטאת פנימית ו</w:t>
      </w:r>
      <w:r>
        <w:rPr>
          <w:rFonts w:ascii="David" w:hAnsi="David" w:hint="cs"/>
          <w:rtl/>
        </w:rPr>
        <w:t xml:space="preserve">נכנס </w:t>
      </w:r>
      <w:r w:rsidRPr="00C33761">
        <w:rPr>
          <w:rFonts w:ascii="David" w:hAnsi="David"/>
          <w:rtl/>
        </w:rPr>
        <w:t>דמ</w:t>
      </w:r>
      <w:r w:rsidRPr="00C33761">
        <w:rPr>
          <w:rFonts w:ascii="David" w:hAnsi="David" w:hint="cs"/>
          <w:rtl/>
        </w:rPr>
        <w:t>ה</w:t>
      </w:r>
      <w:r w:rsidRPr="00C33761">
        <w:rPr>
          <w:rFonts w:ascii="David" w:hAnsi="David"/>
          <w:rtl/>
        </w:rPr>
        <w:t xml:space="preserve"> </w:t>
      </w:r>
      <w:r>
        <w:rPr>
          <w:rFonts w:ascii="David" w:hAnsi="David" w:hint="cs"/>
          <w:rtl/>
        </w:rPr>
        <w:t>ל</w:t>
      </w:r>
      <w:r w:rsidR="00D270B3">
        <w:rPr>
          <w:rFonts w:ascii="David" w:hAnsi="David" w:hint="cs"/>
          <w:rtl/>
        </w:rPr>
        <w:t>כפר ב</w:t>
      </w:r>
      <w:r>
        <w:rPr>
          <w:rFonts w:ascii="David" w:hAnsi="David" w:hint="cs"/>
          <w:rtl/>
        </w:rPr>
        <w:t>אוהל מועד</w:t>
      </w:r>
      <w:r w:rsidRPr="00C33761">
        <w:rPr>
          <w:rFonts w:ascii="David" w:hAnsi="David"/>
          <w:rtl/>
        </w:rPr>
        <w:t xml:space="preserve">, </w:t>
      </w:r>
      <w:r w:rsidRPr="00C33761">
        <w:rPr>
          <w:rFonts w:ascii="David" w:hAnsi="David" w:hint="cs"/>
          <w:rtl/>
        </w:rPr>
        <w:t>ובמקרה זה</w:t>
      </w:r>
      <w:r w:rsidRPr="00C33761">
        <w:rPr>
          <w:rFonts w:ascii="David" w:hAnsi="David"/>
          <w:rtl/>
        </w:rPr>
        <w:t xml:space="preserve"> </w:t>
      </w:r>
      <w:r>
        <w:rPr>
          <w:rFonts w:ascii="David" w:hAnsi="David" w:hint="cs"/>
          <w:rtl/>
        </w:rPr>
        <w:t xml:space="preserve">אסור לאכול מבשרה ויש לשרוף אותו. </w:t>
      </w:r>
      <w:r w:rsidRPr="00C33761">
        <w:rPr>
          <w:rFonts w:ascii="David" w:hAnsi="David" w:hint="cs"/>
          <w:rtl/>
        </w:rPr>
        <w:t>מעניין שנחלקו תנאים אם זהו דין ייחודי לחטאת (דעת חכמים) או שמא דין זה נוהג בכל הק</w:t>
      </w:r>
      <w:r>
        <w:rPr>
          <w:rFonts w:ascii="David" w:hAnsi="David" w:hint="cs"/>
          <w:rtl/>
        </w:rPr>
        <w:t>ו</w:t>
      </w:r>
      <w:r w:rsidRPr="00C33761">
        <w:rPr>
          <w:rFonts w:ascii="David" w:hAnsi="David" w:hint="cs"/>
          <w:rtl/>
        </w:rPr>
        <w:t>רבנות (ר' עקיבא).</w:t>
      </w:r>
      <w:r w:rsidRPr="00C33761">
        <w:rPr>
          <w:rStyle w:val="a5"/>
          <w:rFonts w:ascii="David" w:eastAsia="Calibri" w:hAnsi="David"/>
          <w:sz w:val="24"/>
          <w:rtl/>
        </w:rPr>
        <w:footnoteReference w:id="1"/>
      </w:r>
      <w:r w:rsidRPr="00C33761">
        <w:rPr>
          <w:rFonts w:ascii="David" w:hAnsi="David" w:hint="cs"/>
          <w:rtl/>
        </w:rPr>
        <w:t xml:space="preserve"> </w:t>
      </w:r>
      <w:r w:rsidR="00112C5B">
        <w:rPr>
          <w:rFonts w:ascii="David" w:hAnsi="David" w:hint="cs"/>
          <w:rtl/>
        </w:rPr>
        <w:t>נראה ש</w:t>
      </w:r>
      <w:r w:rsidRPr="00C33761">
        <w:rPr>
          <w:rFonts w:ascii="David" w:hAnsi="David" w:hint="cs"/>
          <w:rtl/>
        </w:rPr>
        <w:t>חכמים תופסים את הדין כחשש שמא הכ</w:t>
      </w:r>
      <w:r>
        <w:rPr>
          <w:rFonts w:ascii="David" w:hAnsi="David" w:hint="cs"/>
          <w:rtl/>
        </w:rPr>
        <w:t>ו</w:t>
      </w:r>
      <w:r w:rsidRPr="00C33761">
        <w:rPr>
          <w:rFonts w:ascii="David" w:hAnsi="David" w:hint="cs"/>
          <w:rtl/>
        </w:rPr>
        <w:t xml:space="preserve">הן בלבל בין החטאות שלפניו והוא סבר שמדובר בחטאת פנימית. במקרה כזה נראה שפסול הקורבן קשור בדרישה של "לשמה" </w:t>
      </w:r>
      <w:r w:rsidR="00112C5B">
        <w:rPr>
          <w:rFonts w:ascii="David" w:hAnsi="David" w:hint="cs"/>
          <w:rtl/>
        </w:rPr>
        <w:t xml:space="preserve">והיא מרכזית ביותר </w:t>
      </w:r>
      <w:r w:rsidRPr="00C33761">
        <w:rPr>
          <w:rFonts w:ascii="David" w:hAnsi="David" w:hint="cs"/>
          <w:rtl/>
        </w:rPr>
        <w:t xml:space="preserve">בעולם הקורבנות לפי גישת חז"ל. </w:t>
      </w:r>
      <w:r>
        <w:rPr>
          <w:rFonts w:ascii="David" w:hAnsi="David" w:hint="cs"/>
          <w:rtl/>
        </w:rPr>
        <w:t xml:space="preserve">בכל מקרה, </w:t>
      </w:r>
      <w:r w:rsidRPr="00C33761">
        <w:rPr>
          <w:rFonts w:ascii="David" w:hAnsi="David" w:hint="cs"/>
          <w:rtl/>
        </w:rPr>
        <w:t xml:space="preserve">הקריאה הפשוטה היא כאמור כקריאת </w:t>
      </w:r>
      <w:proofErr w:type="spellStart"/>
      <w:r w:rsidRPr="00C33761">
        <w:rPr>
          <w:rFonts w:ascii="David" w:hAnsi="David" w:hint="cs"/>
          <w:rtl/>
        </w:rPr>
        <w:t>רשב"ם</w:t>
      </w:r>
      <w:proofErr w:type="spellEnd"/>
      <w:r w:rsidRPr="00C33761">
        <w:rPr>
          <w:rFonts w:ascii="David" w:hAnsi="David" w:hint="cs"/>
          <w:rtl/>
        </w:rPr>
        <w:t xml:space="preserve"> וחבריו (ור' יוסי הגלילי מבין התנאים) </w:t>
      </w:r>
      <w:r w:rsidRPr="00C33761">
        <w:rPr>
          <w:rFonts w:ascii="David" w:hAnsi="David"/>
          <w:rtl/>
        </w:rPr>
        <w:t>–</w:t>
      </w:r>
      <w:r w:rsidRPr="00C33761">
        <w:rPr>
          <w:rFonts w:ascii="David" w:hAnsi="David" w:hint="cs"/>
          <w:rtl/>
        </w:rPr>
        <w:t xml:space="preserve"> שהתורה מסייגת את דיני האכילה לחטאת חיצונית בלבד</w:t>
      </w:r>
      <w:r w:rsidR="000B1C59">
        <w:rPr>
          <w:rFonts w:ascii="David" w:hAnsi="David" w:hint="cs"/>
          <w:rtl/>
        </w:rPr>
        <w:t>.</w:t>
      </w:r>
      <w:r w:rsidR="00AA5CD9">
        <w:rPr>
          <w:rStyle w:val="a5"/>
          <w:rFonts w:eastAsia="Calibri"/>
          <w:rtl/>
        </w:rPr>
        <w:footnoteReference w:id="2"/>
      </w:r>
    </w:p>
    <w:p w14:paraId="2360B63D" w14:textId="1F7C0BE9" w:rsidR="000B1C59" w:rsidRDefault="00B343A5" w:rsidP="00063C6D">
      <w:pPr>
        <w:rPr>
          <w:rFonts w:ascii="David" w:hAnsi="David"/>
          <w:rtl/>
        </w:rPr>
      </w:pPr>
      <w:r>
        <w:rPr>
          <w:rFonts w:ascii="David" w:hAnsi="David" w:hint="cs"/>
          <w:rtl/>
        </w:rPr>
        <w:t xml:space="preserve">עם זאת, קריאת חז"ל חושפת דבר מה יסודי בדין שריפת החטאת הפנימית שעולה בפרשתנו. </w:t>
      </w:r>
      <w:r w:rsidR="009A5CB0">
        <w:rPr>
          <w:rFonts w:ascii="David" w:hAnsi="David" w:hint="cs"/>
          <w:rtl/>
        </w:rPr>
        <w:t xml:space="preserve">מדרש ההלכה </w:t>
      </w:r>
      <w:r w:rsidR="000B1C59">
        <w:rPr>
          <w:rFonts w:ascii="David" w:hAnsi="David" w:hint="cs"/>
          <w:rtl/>
        </w:rPr>
        <w:t>נסמ</w:t>
      </w:r>
      <w:r w:rsidR="009A5CB0">
        <w:rPr>
          <w:rFonts w:ascii="David" w:hAnsi="David" w:hint="cs"/>
          <w:rtl/>
        </w:rPr>
        <w:t xml:space="preserve">ך </w:t>
      </w:r>
      <w:r w:rsidR="000B1C59">
        <w:rPr>
          <w:rFonts w:ascii="David" w:hAnsi="David" w:hint="cs"/>
          <w:rtl/>
        </w:rPr>
        <w:t>ככל הנראה על לשון הכתוב המתמקדת בדם</w:t>
      </w:r>
      <w:r>
        <w:rPr>
          <w:rFonts w:ascii="David" w:hAnsi="David" w:hint="cs"/>
          <w:rtl/>
        </w:rPr>
        <w:t xml:space="preserve"> הנכנס פנימה</w:t>
      </w:r>
      <w:r w:rsidR="000B1C59">
        <w:rPr>
          <w:rFonts w:ascii="David" w:hAnsi="David" w:hint="cs"/>
          <w:rtl/>
        </w:rPr>
        <w:t xml:space="preserve"> </w:t>
      </w:r>
      <w:r w:rsidR="000B1C59">
        <w:rPr>
          <w:rFonts w:ascii="David" w:hAnsi="David"/>
          <w:rtl/>
        </w:rPr>
        <w:t>–</w:t>
      </w:r>
      <w:r w:rsidR="000B1C59">
        <w:rPr>
          <w:rFonts w:ascii="David" w:hAnsi="David" w:hint="cs"/>
          <w:rtl/>
        </w:rPr>
        <w:t xml:space="preserve"> "</w:t>
      </w:r>
      <w:r w:rsidR="000B1C59" w:rsidRPr="000B1C59">
        <w:rPr>
          <w:rFonts w:ascii="David" w:hAnsi="David"/>
          <w:rtl/>
        </w:rPr>
        <w:t xml:space="preserve">וְכָל חַטָּאת אֲשֶׁר יוּבָא מִדָּמָהּ אֶל אֹהֶל מוֹעֵד לְכַפֵּר </w:t>
      </w:r>
      <w:r w:rsidR="000B1C59" w:rsidRPr="00C33761">
        <w:rPr>
          <w:rFonts w:ascii="David" w:hAnsi="David"/>
          <w:rtl/>
        </w:rPr>
        <w:t>בַּקֹּדֶשׁ</w:t>
      </w:r>
      <w:r w:rsidR="000B1C59">
        <w:rPr>
          <w:rFonts w:ascii="David" w:hAnsi="David" w:hint="cs"/>
          <w:rtl/>
        </w:rPr>
        <w:t xml:space="preserve">". </w:t>
      </w:r>
      <w:r w:rsidR="00063C6D">
        <w:rPr>
          <w:rFonts w:ascii="David" w:hAnsi="David" w:hint="cs"/>
          <w:rtl/>
        </w:rPr>
        <w:t xml:space="preserve">אפשר </w:t>
      </w:r>
      <w:r>
        <w:rPr>
          <w:rFonts w:ascii="David" w:hAnsi="David" w:hint="cs"/>
          <w:rtl/>
        </w:rPr>
        <w:t xml:space="preserve">היה לכתוב 'חטאת כהן משיח וחטאת כל העדה לא תאכל', </w:t>
      </w:r>
      <w:r w:rsidR="00B607A8">
        <w:rPr>
          <w:rFonts w:ascii="David" w:hAnsi="David" w:hint="cs"/>
          <w:rtl/>
        </w:rPr>
        <w:t>אך מסתבר שה</w:t>
      </w:r>
      <w:r w:rsidR="009A5CB0">
        <w:rPr>
          <w:rFonts w:ascii="David" w:hAnsi="David" w:hint="cs"/>
          <w:rtl/>
        </w:rPr>
        <w:t xml:space="preserve">דם הנכנס פנימה נדרש כסיבת איסור אכילת </w:t>
      </w:r>
      <w:r w:rsidR="009A5CB0">
        <w:rPr>
          <w:rFonts w:ascii="David" w:hAnsi="David" w:hint="cs"/>
          <w:rtl/>
        </w:rPr>
        <w:lastRenderedPageBreak/>
        <w:t>הבשר, ולא רק כסימן שמגדיר באילו קורבנות מדובר.</w:t>
      </w:r>
      <w:r w:rsidR="00C97835">
        <w:rPr>
          <w:rStyle w:val="a5"/>
          <w:rFonts w:eastAsia="Calibri"/>
          <w:rtl/>
        </w:rPr>
        <w:footnoteReference w:id="3"/>
      </w:r>
      <w:r w:rsidR="009A5CB0">
        <w:rPr>
          <w:rFonts w:ascii="David" w:hAnsi="David" w:hint="cs"/>
          <w:rtl/>
        </w:rPr>
        <w:t xml:space="preserve"> לפיכך </w:t>
      </w:r>
      <w:r w:rsidR="009A5CB0">
        <w:rPr>
          <w:rFonts w:ascii="David" w:hAnsi="David"/>
          <w:rtl/>
        </w:rPr>
        <w:t>–</w:t>
      </w:r>
      <w:r w:rsidR="009A5CB0">
        <w:rPr>
          <w:rFonts w:ascii="David" w:hAnsi="David" w:hint="cs"/>
          <w:rtl/>
        </w:rPr>
        <w:t xml:space="preserve"> לפי חז"ל </w:t>
      </w:r>
      <w:r w:rsidR="009A5CB0">
        <w:rPr>
          <w:rFonts w:ascii="David" w:hAnsi="David"/>
          <w:rtl/>
        </w:rPr>
        <w:t>–</w:t>
      </w:r>
      <w:r w:rsidR="009A5CB0">
        <w:rPr>
          <w:rFonts w:ascii="David" w:hAnsi="David" w:hint="cs"/>
          <w:rtl/>
        </w:rPr>
        <w:t xml:space="preserve"> גם אם מדובר בחטאת שעקרונית אמורה להיאכל, ברגע שנכנס דמה אל הקודש היא נאסרת באכילה.</w:t>
      </w:r>
    </w:p>
    <w:p w14:paraId="11AAE00C" w14:textId="79B2E3EC" w:rsidR="009A5CB0" w:rsidRDefault="009A5CB0" w:rsidP="00B607A8">
      <w:pPr>
        <w:rPr>
          <w:rFonts w:ascii="David" w:hAnsi="David"/>
          <w:rtl/>
        </w:rPr>
      </w:pPr>
      <w:r>
        <w:rPr>
          <w:rFonts w:ascii="David" w:hAnsi="David" w:hint="cs"/>
          <w:rtl/>
        </w:rPr>
        <w:t xml:space="preserve">בדיוננו </w:t>
      </w:r>
      <w:r w:rsidR="00F31BCE">
        <w:rPr>
          <w:rFonts w:ascii="David" w:hAnsi="David" w:hint="cs"/>
          <w:rtl/>
        </w:rPr>
        <w:t xml:space="preserve">בפער </w:t>
      </w:r>
      <w:r w:rsidR="005612F3" w:rsidRPr="00C33761">
        <w:rPr>
          <w:rFonts w:ascii="David" w:hAnsi="David" w:hint="cs"/>
          <w:rtl/>
        </w:rPr>
        <w:t>שבין החטאת החיצונית לפנימית</w:t>
      </w:r>
      <w:r w:rsidR="00B607A8">
        <w:rPr>
          <w:rFonts w:ascii="David" w:hAnsi="David" w:hint="cs"/>
          <w:rtl/>
        </w:rPr>
        <w:t xml:space="preserve"> בפרק ד'</w:t>
      </w:r>
      <w:r w:rsidR="000B1C59">
        <w:rPr>
          <w:rFonts w:ascii="David" w:hAnsi="David" w:hint="cs"/>
          <w:rtl/>
        </w:rPr>
        <w:t xml:space="preserve">, הצענו ששריפת החטאת הפנימית נובעת מכך שהכוהנים אינם יכולים לאכול קורבן שהם עצמם שותפים בהבאתו. מאחר שהחטאת הפנימית היא 'חטאת ציבור', היא מכפרת גם על הכוהנים שהם חלק מהעדה, והם אינם יכולים באותה עת לעמוד בשני צדי המזבח </w:t>
      </w:r>
      <w:r w:rsidR="000B1C59">
        <w:rPr>
          <w:rFonts w:ascii="David" w:hAnsi="David"/>
          <w:rtl/>
        </w:rPr>
        <w:t>–</w:t>
      </w:r>
      <w:r w:rsidR="000B1C59">
        <w:rPr>
          <w:rFonts w:ascii="David" w:hAnsi="David" w:hint="cs"/>
          <w:rtl/>
        </w:rPr>
        <w:t xml:space="preserve"> </w:t>
      </w:r>
      <w:r w:rsidR="00063C6D">
        <w:rPr>
          <w:rFonts w:ascii="David" w:hAnsi="David" w:hint="cs"/>
          <w:rtl/>
        </w:rPr>
        <w:t xml:space="preserve">גם </w:t>
      </w:r>
      <w:r w:rsidR="000B1C59">
        <w:rPr>
          <w:rFonts w:ascii="David" w:hAnsi="David" w:hint="cs"/>
          <w:rtl/>
        </w:rPr>
        <w:t>כזקוקים לכפרה ו</w:t>
      </w:r>
      <w:r w:rsidR="00063C6D">
        <w:rPr>
          <w:rFonts w:ascii="David" w:hAnsi="David" w:hint="cs"/>
          <w:rtl/>
        </w:rPr>
        <w:t xml:space="preserve">גם </w:t>
      </w:r>
      <w:r w:rsidR="000B1C59">
        <w:rPr>
          <w:rFonts w:ascii="David" w:hAnsi="David" w:hint="cs"/>
          <w:rtl/>
        </w:rPr>
        <w:t>כאוכלים את הקורבן כשליחי המזבח.</w:t>
      </w:r>
      <w:r>
        <w:rPr>
          <w:rFonts w:ascii="David" w:hAnsi="David" w:hint="cs"/>
          <w:rtl/>
        </w:rPr>
        <w:t xml:space="preserve"> </w:t>
      </w:r>
    </w:p>
    <w:p w14:paraId="6305A218" w14:textId="3615659A" w:rsidR="00F31BCE" w:rsidRDefault="009A5CB0" w:rsidP="00A67047">
      <w:pPr>
        <w:rPr>
          <w:rFonts w:ascii="David" w:hAnsi="David"/>
          <w:rtl/>
        </w:rPr>
      </w:pPr>
      <w:r>
        <w:rPr>
          <w:rFonts w:ascii="David" w:hAnsi="David" w:hint="cs"/>
          <w:rtl/>
        </w:rPr>
        <w:t>ביאור זה מתאים לפרשת ויקרא שמתמקדת ב</w:t>
      </w:r>
      <w:r w:rsidR="00E4130F">
        <w:rPr>
          <w:rFonts w:ascii="David" w:hAnsi="David" w:hint="cs"/>
          <w:rtl/>
        </w:rPr>
        <w:t xml:space="preserve">זהות </w:t>
      </w:r>
      <w:proofErr w:type="spellStart"/>
      <w:r>
        <w:rPr>
          <w:rFonts w:ascii="David" w:hAnsi="David" w:hint="cs"/>
          <w:rtl/>
        </w:rPr>
        <w:t>מביאי</w:t>
      </w:r>
      <w:proofErr w:type="spellEnd"/>
      <w:r>
        <w:rPr>
          <w:rFonts w:ascii="David" w:hAnsi="David" w:hint="cs"/>
          <w:rtl/>
        </w:rPr>
        <w:t xml:space="preserve"> הקורבן. </w:t>
      </w:r>
      <w:r w:rsidR="00F31BCE">
        <w:rPr>
          <w:rFonts w:ascii="David" w:hAnsi="David" w:hint="cs"/>
          <w:rtl/>
        </w:rPr>
        <w:t>אולם הניסוח אצלנו מתמקד כאמור ב</w:t>
      </w:r>
      <w:r w:rsidR="00A67047">
        <w:rPr>
          <w:rFonts w:ascii="David" w:hAnsi="David" w:hint="cs"/>
          <w:rtl/>
        </w:rPr>
        <w:t xml:space="preserve">מיקום </w:t>
      </w:r>
      <w:r w:rsidR="00F31BCE">
        <w:rPr>
          <w:rFonts w:ascii="David" w:hAnsi="David" w:hint="cs"/>
          <w:rtl/>
        </w:rPr>
        <w:t>עבודת הדם, ומכך נראה שהאיסור נובע מ</w:t>
      </w:r>
      <w:r w:rsidR="00B343A5">
        <w:rPr>
          <w:rFonts w:ascii="David" w:hAnsi="David" w:hint="cs"/>
          <w:rtl/>
        </w:rPr>
        <w:t>המקום הגיאוגרפי שבו עב</w:t>
      </w:r>
      <w:r w:rsidR="00063C6D">
        <w:rPr>
          <w:rFonts w:ascii="David" w:hAnsi="David" w:hint="cs"/>
          <w:rtl/>
        </w:rPr>
        <w:t>ו</w:t>
      </w:r>
      <w:r w:rsidR="00B343A5">
        <w:rPr>
          <w:rFonts w:ascii="David" w:hAnsi="David" w:hint="cs"/>
          <w:rtl/>
        </w:rPr>
        <w:t>דת הדם מתבצעת</w:t>
      </w:r>
      <w:r w:rsidR="00A67047">
        <w:rPr>
          <w:rFonts w:ascii="David" w:hAnsi="David" w:hint="cs"/>
          <w:rtl/>
        </w:rPr>
        <w:t>, בלי קשר לזהות הבעלים של הקורבן</w:t>
      </w:r>
      <w:r w:rsidR="00B343A5">
        <w:rPr>
          <w:rFonts w:ascii="David" w:hAnsi="David" w:hint="cs"/>
          <w:rtl/>
        </w:rPr>
        <w:t>. מאחר שפרשתנו מתמקדת ברמת קדושת הקורבן, נראה ש</w:t>
      </w:r>
      <w:r w:rsidR="00F31BCE">
        <w:rPr>
          <w:rFonts w:ascii="David" w:hAnsi="David" w:hint="cs"/>
          <w:rtl/>
        </w:rPr>
        <w:t>אם ד</w:t>
      </w:r>
      <w:r w:rsidR="00B343A5">
        <w:rPr>
          <w:rFonts w:ascii="David" w:hAnsi="David" w:hint="cs"/>
          <w:rtl/>
        </w:rPr>
        <w:t xml:space="preserve">ם הקורבן </w:t>
      </w:r>
      <w:r w:rsidR="00F31BCE">
        <w:rPr>
          <w:rFonts w:ascii="David" w:hAnsi="David" w:hint="cs"/>
          <w:rtl/>
        </w:rPr>
        <w:t>נכנס פנימה</w:t>
      </w:r>
      <w:r w:rsidR="00B343A5">
        <w:rPr>
          <w:rFonts w:ascii="David" w:hAnsi="David" w:hint="cs"/>
          <w:rtl/>
        </w:rPr>
        <w:t xml:space="preserve"> הוא </w:t>
      </w:r>
      <w:r>
        <w:rPr>
          <w:rFonts w:ascii="David" w:hAnsi="David" w:hint="cs"/>
          <w:rtl/>
        </w:rPr>
        <w:t xml:space="preserve">הופך להיות מוגדר </w:t>
      </w:r>
      <w:r w:rsidR="00B343A5">
        <w:rPr>
          <w:rFonts w:ascii="David" w:hAnsi="David" w:hint="cs"/>
          <w:rtl/>
        </w:rPr>
        <w:t xml:space="preserve">כבעל </w:t>
      </w:r>
      <w:r w:rsidR="00A67047">
        <w:rPr>
          <w:rFonts w:ascii="David" w:hAnsi="David" w:hint="cs"/>
          <w:rtl/>
        </w:rPr>
        <w:t>'</w:t>
      </w:r>
      <w:r w:rsidR="00B343A5">
        <w:rPr>
          <w:rFonts w:ascii="David" w:hAnsi="David" w:hint="cs"/>
          <w:rtl/>
        </w:rPr>
        <w:t>קדוש</w:t>
      </w:r>
      <w:r w:rsidR="00A67047">
        <w:rPr>
          <w:rFonts w:ascii="David" w:hAnsi="David" w:hint="cs"/>
          <w:rtl/>
        </w:rPr>
        <w:t>ת היכל'</w:t>
      </w:r>
      <w:r w:rsidR="00F31BCE">
        <w:rPr>
          <w:rFonts w:ascii="David" w:hAnsi="David" w:hint="cs"/>
          <w:rtl/>
        </w:rPr>
        <w:t>,</w:t>
      </w:r>
      <w:r w:rsidR="00B343A5">
        <w:rPr>
          <w:rFonts w:ascii="David" w:hAnsi="David" w:hint="cs"/>
          <w:rtl/>
        </w:rPr>
        <w:t xml:space="preserve"> והנגזרת מכך היא שהכוהנים מנועים מאכילתו.</w:t>
      </w:r>
    </w:p>
    <w:p w14:paraId="136E6D85" w14:textId="301DA463" w:rsidR="00A67047" w:rsidRDefault="00B343A5" w:rsidP="00063C6D">
      <w:pPr>
        <w:rPr>
          <w:rFonts w:ascii="David" w:hAnsi="David"/>
          <w:rtl/>
        </w:rPr>
      </w:pPr>
      <w:r>
        <w:rPr>
          <w:rFonts w:ascii="David" w:hAnsi="David" w:hint="cs"/>
          <w:rtl/>
        </w:rPr>
        <w:t xml:space="preserve">לשם ביאור דבר זה יש להיזכר </w:t>
      </w:r>
      <w:r w:rsidR="00063C6D">
        <w:rPr>
          <w:rFonts w:ascii="David" w:hAnsi="David" w:hint="cs"/>
          <w:rtl/>
        </w:rPr>
        <w:t>ב</w:t>
      </w:r>
      <w:r>
        <w:rPr>
          <w:rFonts w:ascii="David" w:hAnsi="David" w:hint="cs"/>
          <w:rtl/>
        </w:rPr>
        <w:t xml:space="preserve">קשר </w:t>
      </w:r>
      <w:r w:rsidR="00063C6D">
        <w:rPr>
          <w:rFonts w:ascii="David" w:hAnsi="David" w:hint="cs"/>
          <w:rtl/>
        </w:rPr>
        <w:t>ה</w:t>
      </w:r>
      <w:r>
        <w:rPr>
          <w:rFonts w:ascii="David" w:hAnsi="David" w:hint="cs"/>
          <w:rtl/>
        </w:rPr>
        <w:t xml:space="preserve">יסודי בין קדושת הקורבן </w:t>
      </w:r>
      <w:r w:rsidR="00063C6D">
        <w:rPr>
          <w:rFonts w:ascii="David" w:hAnsi="David" w:hint="cs"/>
          <w:rtl/>
        </w:rPr>
        <w:t>ו</w:t>
      </w:r>
      <w:r>
        <w:rPr>
          <w:rFonts w:ascii="David" w:hAnsi="David" w:hint="cs"/>
          <w:rtl/>
        </w:rPr>
        <w:t xml:space="preserve">בין המרחב הגיאוגרפי שבו הוא מתנהל. שוב ושוב חוזרת פרשתנו על כך שמאחר </w:t>
      </w:r>
      <w:r w:rsidR="00063C6D">
        <w:rPr>
          <w:rFonts w:ascii="David" w:hAnsi="David" w:hint="cs"/>
          <w:rtl/>
        </w:rPr>
        <w:t>שה</w:t>
      </w:r>
      <w:r>
        <w:rPr>
          <w:rFonts w:ascii="David" w:hAnsi="David" w:hint="cs"/>
          <w:rtl/>
        </w:rPr>
        <w:t xml:space="preserve">קורבן הוא קודש קודשים יש </w:t>
      </w:r>
      <w:r w:rsidR="009A5CB0">
        <w:rPr>
          <w:rFonts w:ascii="David" w:hAnsi="David" w:hint="cs"/>
          <w:rtl/>
        </w:rPr>
        <w:t xml:space="preserve">לשחוט אותו לצד המזבח, ויש </w:t>
      </w:r>
      <w:r>
        <w:rPr>
          <w:rFonts w:ascii="David" w:hAnsi="David" w:hint="cs"/>
          <w:rtl/>
        </w:rPr>
        <w:t>לאוכלו ב</w:t>
      </w:r>
      <w:r w:rsidR="00A67047">
        <w:rPr>
          <w:rFonts w:ascii="David" w:hAnsi="David" w:hint="cs"/>
          <w:rtl/>
        </w:rPr>
        <w:t>חצר אוהל מועד,</w:t>
      </w:r>
      <w:r>
        <w:rPr>
          <w:rFonts w:ascii="David" w:hAnsi="David" w:hint="cs"/>
          <w:rtl/>
        </w:rPr>
        <w:t xml:space="preserve"> כמו שנאמר למשל ביחס לחטאת עצמה: "</w:t>
      </w:r>
      <w:r w:rsidRPr="00B343A5">
        <w:rPr>
          <w:rFonts w:ascii="David" w:hAnsi="David"/>
          <w:rtl/>
        </w:rPr>
        <w:t>קֹדֶשׁ קָדָשִׁים הִוא</w:t>
      </w:r>
      <w:r>
        <w:rPr>
          <w:rFonts w:ascii="David" w:hAnsi="David" w:hint="cs"/>
          <w:rtl/>
        </w:rPr>
        <w:t xml:space="preserve">... </w:t>
      </w:r>
      <w:r w:rsidRPr="00B343A5">
        <w:rPr>
          <w:rFonts w:ascii="David" w:hAnsi="David"/>
          <w:rtl/>
        </w:rPr>
        <w:t>בְּמָקוֹם קָדשׁ</w:t>
      </w:r>
      <w:r>
        <w:rPr>
          <w:rFonts w:ascii="David" w:hAnsi="David"/>
          <w:rtl/>
        </w:rPr>
        <w:t xml:space="preserve"> תֵּאָכֵל בַּחֲצַר אֹהֶל מוֹעֵד</w:t>
      </w:r>
      <w:r>
        <w:rPr>
          <w:rFonts w:ascii="David" w:hAnsi="David" w:hint="cs"/>
          <w:rtl/>
        </w:rPr>
        <w:t xml:space="preserve">" </w:t>
      </w:r>
      <w:r w:rsidRPr="00063C6D">
        <w:rPr>
          <w:rFonts w:ascii="David" w:hAnsi="David" w:hint="cs"/>
          <w:sz w:val="20"/>
          <w:szCs w:val="20"/>
          <w:rtl/>
        </w:rPr>
        <w:t xml:space="preserve">(ו', </w:t>
      </w:r>
      <w:proofErr w:type="spellStart"/>
      <w:r w:rsidRPr="00063C6D">
        <w:rPr>
          <w:rFonts w:ascii="David" w:hAnsi="David" w:hint="cs"/>
          <w:sz w:val="20"/>
          <w:szCs w:val="20"/>
          <w:rtl/>
        </w:rPr>
        <w:t>יח-יט</w:t>
      </w:r>
      <w:proofErr w:type="spellEnd"/>
      <w:r w:rsidRPr="00063C6D">
        <w:rPr>
          <w:rFonts w:ascii="David" w:hAnsi="David" w:hint="cs"/>
          <w:sz w:val="20"/>
          <w:szCs w:val="20"/>
          <w:rtl/>
        </w:rPr>
        <w:t>)</w:t>
      </w:r>
      <w:r>
        <w:rPr>
          <w:rFonts w:ascii="David" w:hAnsi="David" w:hint="cs"/>
          <w:rtl/>
        </w:rPr>
        <w:t xml:space="preserve">. </w:t>
      </w:r>
    </w:p>
    <w:p w14:paraId="1D846678" w14:textId="11B9D39C" w:rsidR="00B343A5" w:rsidRDefault="00B343A5" w:rsidP="00063C6D">
      <w:pPr>
        <w:rPr>
          <w:rFonts w:ascii="David" w:hAnsi="David"/>
          <w:rtl/>
        </w:rPr>
      </w:pPr>
      <w:r>
        <w:rPr>
          <w:rFonts w:ascii="David" w:hAnsi="David" w:hint="cs"/>
          <w:rtl/>
        </w:rPr>
        <w:t xml:space="preserve">אין מדובר רק בקישור הלכתי-טכני אלא בתפיסה שאכילת הכוהנים היא מימוש </w:t>
      </w:r>
      <w:r w:rsidR="009A5CB0">
        <w:rPr>
          <w:rFonts w:ascii="David" w:hAnsi="David" w:hint="cs"/>
          <w:rtl/>
        </w:rPr>
        <w:t>(</w:t>
      </w:r>
      <w:r>
        <w:rPr>
          <w:rFonts w:ascii="David" w:hAnsi="David" w:hint="cs"/>
          <w:rtl/>
        </w:rPr>
        <w:t xml:space="preserve">או לפחות </w:t>
      </w:r>
      <w:r w:rsidR="009A5CB0">
        <w:rPr>
          <w:rFonts w:ascii="David" w:hAnsi="David" w:hint="cs"/>
          <w:rtl/>
        </w:rPr>
        <w:t>שיקוף)</w:t>
      </w:r>
      <w:r>
        <w:rPr>
          <w:rFonts w:ascii="David" w:hAnsi="David" w:hint="cs"/>
          <w:rtl/>
        </w:rPr>
        <w:t xml:space="preserve"> של אכילת המזבח. המנחה, החטאת החיצונית והאשם שמוקרבים על המזבח, נאכלים לצדו על ידי הכוהנים, </w:t>
      </w:r>
      <w:r w:rsidR="00063C6D">
        <w:rPr>
          <w:rFonts w:ascii="David" w:hAnsi="David" w:hint="cs"/>
          <w:rtl/>
        </w:rPr>
        <w:t xml:space="preserve">אשר </w:t>
      </w:r>
      <w:r>
        <w:rPr>
          <w:rFonts w:ascii="David" w:hAnsi="David" w:hint="cs"/>
          <w:rtl/>
        </w:rPr>
        <w:t>בתהליך הקדשתם נקשרו אל המזבח החיצון והפכו להיות מעין יד ארוכה שלו</w:t>
      </w:r>
      <w:r w:rsidR="009A5CB0">
        <w:rPr>
          <w:rFonts w:ascii="David" w:hAnsi="David" w:hint="cs"/>
          <w:rtl/>
        </w:rPr>
        <w:t xml:space="preserve"> (כך עולה במיוחד </w:t>
      </w:r>
      <w:proofErr w:type="spellStart"/>
      <w:r w:rsidR="009A5CB0">
        <w:rPr>
          <w:rFonts w:ascii="David" w:hAnsi="David" w:hint="cs"/>
          <w:rtl/>
        </w:rPr>
        <w:t>בויקרא</w:t>
      </w:r>
      <w:proofErr w:type="spellEnd"/>
      <w:r w:rsidR="009A5CB0">
        <w:rPr>
          <w:rFonts w:ascii="David" w:hAnsi="David" w:hint="cs"/>
          <w:rtl/>
        </w:rPr>
        <w:t xml:space="preserve"> ח', ל)</w:t>
      </w:r>
      <w:r>
        <w:rPr>
          <w:rFonts w:ascii="David" w:hAnsi="David" w:hint="cs"/>
          <w:rtl/>
        </w:rPr>
        <w:t xml:space="preserve">.  </w:t>
      </w:r>
    </w:p>
    <w:p w14:paraId="22662BD0" w14:textId="20F7D2FA" w:rsidR="00B343A5" w:rsidRDefault="00B343A5" w:rsidP="00FE79B3">
      <w:pPr>
        <w:rPr>
          <w:rFonts w:ascii="David" w:hAnsi="David"/>
          <w:rtl/>
        </w:rPr>
      </w:pPr>
      <w:r>
        <w:rPr>
          <w:rFonts w:ascii="David" w:hAnsi="David" w:hint="cs"/>
          <w:rtl/>
        </w:rPr>
        <w:t xml:space="preserve">אולם חטאת פנימית, שעבודת דמה נעשית בפנים, חורגת מהתחום הטריוויאלי של הכוהנים. הם אינם </w:t>
      </w:r>
      <w:r w:rsidR="00FE79B3">
        <w:rPr>
          <w:rFonts w:ascii="David" w:hAnsi="David" w:hint="cs"/>
          <w:rtl/>
        </w:rPr>
        <w:lastRenderedPageBreak/>
        <w:t>אוכלים</w:t>
      </w:r>
      <w:r>
        <w:rPr>
          <w:rFonts w:ascii="David" w:hAnsi="David" w:hint="cs"/>
          <w:rtl/>
        </w:rPr>
        <w:t xml:space="preserve"> קורבן זה מפני שעבודת דמו איננה נעשית על המזבח החיצון</w:t>
      </w:r>
      <w:r w:rsidR="00A67047">
        <w:rPr>
          <w:rFonts w:ascii="David" w:hAnsi="David" w:hint="cs"/>
          <w:rtl/>
        </w:rPr>
        <w:t xml:space="preserve"> שאתו הם באים במגע</w:t>
      </w:r>
      <w:r>
        <w:rPr>
          <w:rFonts w:ascii="David" w:hAnsi="David" w:hint="cs"/>
          <w:rtl/>
        </w:rPr>
        <w:t>, וידם הארוכה (והקדושה) של הכוהנים אינ</w:t>
      </w:r>
      <w:r w:rsidR="00FE79B3">
        <w:rPr>
          <w:rFonts w:ascii="David" w:hAnsi="David" w:hint="cs"/>
          <w:rtl/>
        </w:rPr>
        <w:t>נ</w:t>
      </w:r>
      <w:r>
        <w:rPr>
          <w:rFonts w:ascii="David" w:hAnsi="David" w:hint="cs"/>
          <w:rtl/>
        </w:rPr>
        <w:t>ה מגעת עד המזבח הפנימי (מלבד ידו של הכ</w:t>
      </w:r>
      <w:r w:rsidR="00063C6D">
        <w:rPr>
          <w:rFonts w:ascii="David" w:hAnsi="David" w:hint="cs"/>
          <w:rtl/>
        </w:rPr>
        <w:t>ו</w:t>
      </w:r>
      <w:r>
        <w:rPr>
          <w:rFonts w:ascii="David" w:hAnsi="David" w:hint="cs"/>
          <w:rtl/>
        </w:rPr>
        <w:t>הן הגדול, דבר הדורש דיון רחב בפני עצמו, ואכמ"ל).</w:t>
      </w:r>
    </w:p>
    <w:p w14:paraId="4CC284F6" w14:textId="6F24B401" w:rsidR="00A05181" w:rsidRDefault="00660A5E" w:rsidP="00063C6D">
      <w:pPr>
        <w:rPr>
          <w:rFonts w:ascii="David" w:hAnsi="David"/>
          <w:rtl/>
        </w:rPr>
      </w:pPr>
      <w:r>
        <w:rPr>
          <w:rFonts w:ascii="David" w:hAnsi="David" w:hint="cs"/>
          <w:rtl/>
        </w:rPr>
        <w:t>לאור כך, ניתן לשוב למסקנה ההלכתית של חז"ל ולהבין את רקעה. גם אם פשטי המקראות מורים על החטאת הפנימית שבמכוון נכנס</w:t>
      </w:r>
      <w:r w:rsidR="00EA7067">
        <w:rPr>
          <w:rFonts w:ascii="David" w:hAnsi="David" w:hint="cs"/>
          <w:rtl/>
        </w:rPr>
        <w:t>ה</w:t>
      </w:r>
      <w:r>
        <w:rPr>
          <w:rFonts w:ascii="David" w:hAnsi="David" w:hint="cs"/>
          <w:rtl/>
        </w:rPr>
        <w:t xml:space="preserve"> פנימה, </w:t>
      </w:r>
      <w:r w:rsidR="00B208F9">
        <w:rPr>
          <w:rFonts w:ascii="David" w:hAnsi="David" w:hint="cs"/>
          <w:rtl/>
        </w:rPr>
        <w:t xml:space="preserve">הרי שגם </w:t>
      </w:r>
      <w:r w:rsidR="00ED2139">
        <w:rPr>
          <w:rFonts w:ascii="David" w:hAnsi="David" w:hint="cs"/>
          <w:rtl/>
        </w:rPr>
        <w:t xml:space="preserve">חטאת חיצונה </w:t>
      </w:r>
      <w:r w:rsidR="00B208F9">
        <w:rPr>
          <w:rFonts w:ascii="David" w:hAnsi="David" w:hint="cs"/>
          <w:rtl/>
        </w:rPr>
        <w:t>ש</w:t>
      </w:r>
      <w:r w:rsidR="00ED2139">
        <w:rPr>
          <w:rFonts w:ascii="David" w:hAnsi="David" w:hint="cs"/>
          <w:rtl/>
        </w:rPr>
        <w:t xml:space="preserve">הוזה </w:t>
      </w:r>
      <w:r w:rsidR="00B208F9">
        <w:rPr>
          <w:rFonts w:ascii="David" w:hAnsi="David" w:hint="cs"/>
          <w:rtl/>
        </w:rPr>
        <w:t xml:space="preserve">דמה </w:t>
      </w:r>
      <w:r w:rsidR="00ED2139">
        <w:rPr>
          <w:rFonts w:ascii="David" w:hAnsi="David" w:hint="cs"/>
          <w:rtl/>
        </w:rPr>
        <w:t xml:space="preserve">בתוך המשכן, </w:t>
      </w:r>
      <w:r w:rsidR="00FE79B3">
        <w:rPr>
          <w:rFonts w:ascii="David" w:hAnsi="David" w:hint="cs"/>
          <w:rtl/>
        </w:rPr>
        <w:t>חרג</w:t>
      </w:r>
      <w:r w:rsidR="00EA7067">
        <w:rPr>
          <w:rFonts w:ascii="David" w:hAnsi="David" w:hint="cs"/>
          <w:rtl/>
        </w:rPr>
        <w:t>ה</w:t>
      </w:r>
      <w:r w:rsidR="00FE79B3">
        <w:rPr>
          <w:rFonts w:ascii="David" w:hAnsi="David" w:hint="cs"/>
          <w:rtl/>
        </w:rPr>
        <w:t xml:space="preserve"> </w:t>
      </w:r>
      <w:r w:rsidR="00ED2139">
        <w:rPr>
          <w:rFonts w:ascii="David" w:hAnsi="David" w:hint="cs"/>
          <w:rtl/>
        </w:rPr>
        <w:t>מתחום הכוהנים, ו</w:t>
      </w:r>
      <w:r w:rsidR="00FE79B3">
        <w:rPr>
          <w:rFonts w:ascii="David" w:hAnsi="David" w:hint="cs"/>
          <w:rtl/>
        </w:rPr>
        <w:t>הם אינם יכולים לאוכלה</w:t>
      </w:r>
      <w:r w:rsidR="00664526">
        <w:rPr>
          <w:rFonts w:ascii="David" w:hAnsi="David" w:hint="cs"/>
          <w:rtl/>
        </w:rPr>
        <w:t>.</w:t>
      </w:r>
      <w:r w:rsidR="00B208F9">
        <w:rPr>
          <w:rStyle w:val="a5"/>
          <w:rFonts w:eastAsia="Calibri"/>
          <w:rtl/>
        </w:rPr>
        <w:footnoteReference w:id="4"/>
      </w:r>
      <w:r w:rsidR="00FE79B3">
        <w:rPr>
          <w:rFonts w:ascii="David" w:hAnsi="David" w:hint="cs"/>
          <w:rtl/>
        </w:rPr>
        <w:t xml:space="preserve"> בדרך כלל אוכלים הכוהנים רק בזמן שהמזבח אוכל ולצדו; אם הדם נמנע מהמזבח</w:t>
      </w:r>
      <w:r w:rsidR="00A7495E">
        <w:rPr>
          <w:rFonts w:ascii="David" w:hAnsi="David" w:hint="cs"/>
          <w:rtl/>
        </w:rPr>
        <w:t xml:space="preserve"> (גם </w:t>
      </w:r>
      <w:r w:rsidR="00A05181">
        <w:rPr>
          <w:rFonts w:ascii="David" w:hAnsi="David" w:hint="cs"/>
          <w:rtl/>
        </w:rPr>
        <w:t xml:space="preserve">אם בטעות) הכוהנים מנועים מלאכול את </w:t>
      </w:r>
      <w:r w:rsidR="00FE79B3">
        <w:rPr>
          <w:rFonts w:ascii="David" w:hAnsi="David" w:hint="cs"/>
          <w:rtl/>
        </w:rPr>
        <w:t>הבשר</w:t>
      </w:r>
      <w:r w:rsidR="00A05181">
        <w:rPr>
          <w:rFonts w:ascii="David" w:hAnsi="David" w:hint="cs"/>
          <w:rtl/>
        </w:rPr>
        <w:t>.</w:t>
      </w:r>
      <w:r w:rsidR="00063C6D">
        <w:rPr>
          <w:rFonts w:ascii="David" w:hAnsi="David" w:hint="cs"/>
          <w:rtl/>
        </w:rPr>
        <w:t xml:space="preserve"> </w:t>
      </w:r>
      <w:r w:rsidR="00A05181">
        <w:rPr>
          <w:rFonts w:ascii="David" w:hAnsi="David" w:hint="cs"/>
          <w:rtl/>
        </w:rPr>
        <w:t>נמצאנו למדים, שדין החטאת שהובא דמה פנימה מחזק את התזה היסודית שמלווה פרשה זו כולה: אכילת כוהנים היא המשך אכילת מזבח</w:t>
      </w:r>
      <w:r w:rsidR="00063C6D">
        <w:rPr>
          <w:rFonts w:ascii="David" w:hAnsi="David" w:hint="cs"/>
          <w:rtl/>
        </w:rPr>
        <w:t>;</w:t>
      </w:r>
      <w:r w:rsidR="00A05181">
        <w:rPr>
          <w:rFonts w:ascii="David" w:hAnsi="David" w:hint="cs"/>
          <w:rtl/>
        </w:rPr>
        <w:t xml:space="preserve"> מאחר שמדובר בקודשי קודשים</w:t>
      </w:r>
      <w:r w:rsidR="00063C6D">
        <w:rPr>
          <w:rFonts w:ascii="David" w:hAnsi="David" w:hint="cs"/>
          <w:rtl/>
        </w:rPr>
        <w:t>,</w:t>
      </w:r>
      <w:r w:rsidR="00A05181">
        <w:rPr>
          <w:rFonts w:ascii="David" w:hAnsi="David" w:hint="cs"/>
          <w:rtl/>
        </w:rPr>
        <w:t xml:space="preserve"> </w:t>
      </w:r>
      <w:r w:rsidR="00063C6D">
        <w:rPr>
          <w:rFonts w:ascii="David" w:hAnsi="David" w:hint="cs"/>
          <w:rtl/>
        </w:rPr>
        <w:t xml:space="preserve">ההיתר לאוכלם הוא </w:t>
      </w:r>
      <w:r w:rsidR="00A05181">
        <w:rPr>
          <w:rFonts w:ascii="David" w:hAnsi="David" w:hint="cs"/>
          <w:rtl/>
        </w:rPr>
        <w:t xml:space="preserve">רק </w:t>
      </w:r>
      <w:r w:rsidR="00063C6D">
        <w:rPr>
          <w:rFonts w:ascii="David" w:hAnsi="David" w:hint="cs"/>
          <w:rtl/>
        </w:rPr>
        <w:t>ל</w:t>
      </w:r>
      <w:r w:rsidR="00A05181">
        <w:rPr>
          <w:rFonts w:ascii="David" w:hAnsi="David" w:hint="cs"/>
          <w:rtl/>
        </w:rPr>
        <w:t xml:space="preserve">כוהנים קדושים </w:t>
      </w:r>
      <w:r w:rsidR="00063C6D">
        <w:rPr>
          <w:rFonts w:ascii="David" w:hAnsi="David" w:hint="cs"/>
          <w:rtl/>
        </w:rPr>
        <w:t>ה</w:t>
      </w:r>
      <w:r w:rsidR="00A05181">
        <w:rPr>
          <w:rFonts w:ascii="David" w:hAnsi="David" w:hint="cs"/>
          <w:rtl/>
        </w:rPr>
        <w:t>יכולים לבוא במגע עם הקורבן ועם המזבח.</w:t>
      </w:r>
      <w:r w:rsidR="00016A2C">
        <w:rPr>
          <w:rFonts w:ascii="David" w:hAnsi="David" w:hint="cs"/>
          <w:rtl/>
        </w:rPr>
        <w:t xml:space="preserve"> בדרך כלל, דין זה נאמר </w:t>
      </w:r>
      <w:proofErr w:type="spellStart"/>
      <w:r w:rsidR="00016A2C">
        <w:rPr>
          <w:rFonts w:ascii="David" w:hAnsi="David" w:hint="cs"/>
          <w:rtl/>
        </w:rPr>
        <w:t>לאפוקי</w:t>
      </w:r>
      <w:proofErr w:type="spellEnd"/>
      <w:r w:rsidR="00016A2C">
        <w:rPr>
          <w:rFonts w:ascii="David" w:hAnsi="David" w:hint="cs"/>
          <w:rtl/>
        </w:rPr>
        <w:t xml:space="preserve"> זבח השלמים שלא התקדש בקדושה חמורה, ושאותו גם הבעלים יכולים לאכול (נדון בכך בהמשך בתורת זבח השלמים). כעת מתברר שיש גם נפקא מינ</w:t>
      </w:r>
      <w:r w:rsidR="00063C6D">
        <w:rPr>
          <w:rFonts w:ascii="David" w:hAnsi="David" w:hint="cs"/>
          <w:rtl/>
        </w:rPr>
        <w:t>ה</w:t>
      </w:r>
      <w:r w:rsidR="00016A2C">
        <w:rPr>
          <w:rFonts w:ascii="David" w:hAnsi="David" w:hint="cs"/>
          <w:rtl/>
        </w:rPr>
        <w:t xml:space="preserve"> הפוכה: קורבן שחורג מקדושת המזבח כי התקדש יותר מזה ונכנס פנימה להיכל ה'. במקרה כזה, ברור שהבעלים אינם יכולים לאוכלו, ואף הכוהנים שהם רק 'קדושי מזבח' מנועים מאכילתו.</w:t>
      </w:r>
    </w:p>
    <w:p w14:paraId="1957D155" w14:textId="77777777" w:rsidR="00FB677E" w:rsidRPr="00C33761" w:rsidRDefault="00FB677E" w:rsidP="005612F3">
      <w:pPr>
        <w:rPr>
          <w:rFonts w:ascii="David" w:hAnsi="David"/>
          <w:rtl/>
        </w:rPr>
      </w:pPr>
    </w:p>
    <w:p w14:paraId="6841CE85" w14:textId="77777777" w:rsidR="005612F3" w:rsidRPr="00364343" w:rsidRDefault="005612F3" w:rsidP="00FB677E">
      <w:pPr>
        <w:pStyle w:val="2"/>
        <w:rPr>
          <w:rtl/>
        </w:rPr>
      </w:pPr>
      <w:bookmarkStart w:id="2" w:name="_Toc478423304"/>
      <w:r w:rsidRPr="00364343">
        <w:rPr>
          <w:rFonts w:hint="cs"/>
          <w:rtl/>
        </w:rPr>
        <w:t>דיני החטאת והתפשטות הקדושה</w:t>
      </w:r>
      <w:bookmarkEnd w:id="2"/>
    </w:p>
    <w:p w14:paraId="3F9CB143" w14:textId="77777777" w:rsidR="005612F3" w:rsidRPr="00C33761" w:rsidRDefault="005612F3" w:rsidP="005612F3">
      <w:pPr>
        <w:rPr>
          <w:rFonts w:ascii="David" w:hAnsi="David"/>
          <w:rtl/>
        </w:rPr>
      </w:pPr>
      <w:r w:rsidRPr="00C33761">
        <w:rPr>
          <w:rFonts w:ascii="David" w:hAnsi="David"/>
          <w:rtl/>
        </w:rPr>
        <w:t xml:space="preserve">הנושא המרכזי </w:t>
      </w:r>
      <w:r w:rsidRPr="00C33761">
        <w:rPr>
          <w:rFonts w:ascii="David" w:hAnsi="David" w:hint="cs"/>
          <w:rtl/>
        </w:rPr>
        <w:t xml:space="preserve">של תורת החטאת הוא אם כן דיני אכילתה, וכדרכה של פרשת צו שמתמקדת באכילת הקורבנות. כל הדינים שנזכרים בתורת החטאת </w:t>
      </w:r>
      <w:r>
        <w:rPr>
          <w:rFonts w:ascii="David" w:hAnsi="David" w:hint="cs"/>
          <w:rtl/>
        </w:rPr>
        <w:t xml:space="preserve">(אולי גם מקום השחיטה, כאמור לעיל) </w:t>
      </w:r>
      <w:r w:rsidRPr="00C33761">
        <w:rPr>
          <w:rFonts w:ascii="David" w:hAnsi="David" w:hint="cs"/>
          <w:rtl/>
        </w:rPr>
        <w:t xml:space="preserve">מלבנים עניינים שונים הנובעים מהגדרת החטאת כקודש קודשים. במיוחד לגבי אכילה, אך גם ביחס להתנהגות עם חפצים שבאו אתה במגע. הדינים הבאים בפרשייה זו </w:t>
      </w:r>
      <w:r>
        <w:rPr>
          <w:rFonts w:ascii="David" w:hAnsi="David" w:hint="cs"/>
          <w:rtl/>
        </w:rPr>
        <w:t>נטועים בתוך מסגרת שמלמדת על אופיים וטעמם</w:t>
      </w:r>
      <w:r w:rsidRPr="00C33761">
        <w:rPr>
          <w:rFonts w:ascii="David" w:hAnsi="David" w:hint="cs"/>
          <w:rtl/>
        </w:rPr>
        <w:t>:</w:t>
      </w:r>
    </w:p>
    <w:p w14:paraId="79493539" w14:textId="11ACA812" w:rsidR="005612F3" w:rsidRPr="00C33761" w:rsidRDefault="005612F3" w:rsidP="00FB677E">
      <w:pPr>
        <w:ind w:left="720"/>
        <w:rPr>
          <w:rFonts w:ascii="David" w:hAnsi="David"/>
        </w:rPr>
      </w:pPr>
      <w:r>
        <w:rPr>
          <w:rFonts w:ascii="David" w:hAnsi="David" w:hint="cs"/>
          <w:rtl/>
        </w:rPr>
        <w:t xml:space="preserve">1. </w:t>
      </w:r>
      <w:r w:rsidRPr="00C33761">
        <w:rPr>
          <w:rFonts w:ascii="David" w:hAnsi="David" w:hint="cs"/>
          <w:rtl/>
        </w:rPr>
        <w:t xml:space="preserve">שחיטת החטאת במקום שבו שוחטים את העולה </w:t>
      </w:r>
      <w:r w:rsidRPr="00C33761">
        <w:rPr>
          <w:rFonts w:ascii="David" w:hAnsi="David"/>
          <w:rtl/>
        </w:rPr>
        <w:t>–</w:t>
      </w:r>
      <w:r w:rsidRPr="00C33761">
        <w:rPr>
          <w:rFonts w:ascii="David" w:hAnsi="David" w:hint="cs"/>
          <w:rtl/>
        </w:rPr>
        <w:t xml:space="preserve"> </w:t>
      </w:r>
      <w:r w:rsidRPr="00112C5B">
        <w:rPr>
          <w:rFonts w:ascii="David" w:hAnsi="David" w:hint="cs"/>
          <w:rtl/>
        </w:rPr>
        <w:t>"</w:t>
      </w:r>
      <w:r w:rsidRPr="00C33761">
        <w:rPr>
          <w:rFonts w:ascii="David" w:hAnsi="David" w:hint="cs"/>
          <w:b/>
          <w:bCs/>
          <w:rtl/>
        </w:rPr>
        <w:t>קֹדֶשׁ</w:t>
      </w:r>
      <w:r w:rsidRPr="00C33761">
        <w:rPr>
          <w:rFonts w:ascii="David" w:hAnsi="David"/>
          <w:b/>
          <w:bCs/>
          <w:rtl/>
        </w:rPr>
        <w:t xml:space="preserve"> </w:t>
      </w:r>
      <w:r w:rsidRPr="00C33761">
        <w:rPr>
          <w:rFonts w:ascii="David" w:hAnsi="David" w:hint="cs"/>
          <w:b/>
          <w:bCs/>
          <w:rtl/>
        </w:rPr>
        <w:t>קָדָשִׁים</w:t>
      </w:r>
      <w:r w:rsidRPr="00C33761">
        <w:rPr>
          <w:rFonts w:ascii="David" w:hAnsi="David"/>
          <w:b/>
          <w:bCs/>
          <w:rtl/>
        </w:rPr>
        <w:t xml:space="preserve"> </w:t>
      </w:r>
      <w:r w:rsidRPr="00C33761">
        <w:rPr>
          <w:rFonts w:ascii="David" w:hAnsi="David" w:hint="cs"/>
          <w:b/>
          <w:bCs/>
          <w:rtl/>
        </w:rPr>
        <w:t>הִוא</w:t>
      </w:r>
      <w:r w:rsidRPr="00112C5B">
        <w:rPr>
          <w:rFonts w:ascii="David" w:hAnsi="David" w:hint="cs"/>
          <w:rtl/>
        </w:rPr>
        <w:t>".</w:t>
      </w:r>
    </w:p>
    <w:p w14:paraId="088BBC67" w14:textId="3DA34459" w:rsidR="005612F3" w:rsidRPr="00C33761" w:rsidRDefault="005612F3" w:rsidP="00FB677E">
      <w:pPr>
        <w:ind w:left="720"/>
        <w:rPr>
          <w:rFonts w:ascii="David" w:hAnsi="David"/>
        </w:rPr>
      </w:pPr>
      <w:r>
        <w:rPr>
          <w:rFonts w:ascii="David" w:hAnsi="David" w:hint="cs"/>
          <w:rtl/>
        </w:rPr>
        <w:t xml:space="preserve">2. </w:t>
      </w:r>
      <w:r w:rsidRPr="00C33761">
        <w:rPr>
          <w:rFonts w:ascii="David" w:hAnsi="David" w:hint="cs"/>
          <w:rtl/>
        </w:rPr>
        <w:t>הַכֹּהֵן</w:t>
      </w:r>
      <w:r w:rsidRPr="00C33761">
        <w:rPr>
          <w:rFonts w:ascii="David" w:hAnsi="David"/>
          <w:rtl/>
        </w:rPr>
        <w:t xml:space="preserve"> </w:t>
      </w:r>
      <w:r w:rsidRPr="00C33761">
        <w:rPr>
          <w:rFonts w:ascii="David" w:hAnsi="David" w:hint="cs"/>
          <w:rtl/>
        </w:rPr>
        <w:t>הַמְחַטֵּא</w:t>
      </w:r>
      <w:r w:rsidRPr="00C33761">
        <w:rPr>
          <w:rFonts w:ascii="David" w:hAnsi="David"/>
          <w:rtl/>
        </w:rPr>
        <w:t xml:space="preserve"> </w:t>
      </w:r>
      <w:r w:rsidRPr="00C33761">
        <w:rPr>
          <w:rFonts w:ascii="David" w:hAnsi="David" w:hint="cs"/>
          <w:rtl/>
        </w:rPr>
        <w:t>הוא זה שאוכל מבשרה.</w:t>
      </w:r>
    </w:p>
    <w:p w14:paraId="73C77616" w14:textId="3B81D4D0" w:rsidR="005612F3" w:rsidRPr="00C33761" w:rsidRDefault="005612F3" w:rsidP="00FB677E">
      <w:pPr>
        <w:ind w:left="720"/>
        <w:rPr>
          <w:rFonts w:ascii="David" w:hAnsi="David"/>
        </w:rPr>
      </w:pPr>
      <w:r>
        <w:rPr>
          <w:rFonts w:ascii="David" w:hAnsi="David" w:hint="cs"/>
          <w:rtl/>
        </w:rPr>
        <w:lastRenderedPageBreak/>
        <w:t xml:space="preserve">3. </w:t>
      </w:r>
      <w:r w:rsidRPr="00C33761">
        <w:rPr>
          <w:rFonts w:ascii="David" w:hAnsi="David" w:hint="cs"/>
          <w:rtl/>
        </w:rPr>
        <w:t>יש לאכול את החטאת "בְּמָקוֹם</w:t>
      </w:r>
      <w:r w:rsidRPr="00C33761">
        <w:rPr>
          <w:rFonts w:ascii="David" w:hAnsi="David"/>
          <w:rtl/>
        </w:rPr>
        <w:t xml:space="preserve"> </w:t>
      </w:r>
      <w:r w:rsidRPr="00C33761">
        <w:rPr>
          <w:rFonts w:ascii="David" w:hAnsi="David" w:hint="cs"/>
          <w:rtl/>
        </w:rPr>
        <w:t>קָדֹשׁ" = "בַּחֲצַר</w:t>
      </w:r>
      <w:r w:rsidRPr="00C33761">
        <w:rPr>
          <w:rFonts w:ascii="David" w:hAnsi="David"/>
          <w:rtl/>
        </w:rPr>
        <w:t xml:space="preserve"> </w:t>
      </w:r>
      <w:r w:rsidRPr="00C33761">
        <w:rPr>
          <w:rFonts w:ascii="David" w:hAnsi="David" w:hint="cs"/>
          <w:rtl/>
        </w:rPr>
        <w:t>אֹהֶל</w:t>
      </w:r>
      <w:r w:rsidRPr="00C33761">
        <w:rPr>
          <w:rFonts w:ascii="David" w:hAnsi="David"/>
          <w:rtl/>
        </w:rPr>
        <w:t xml:space="preserve"> </w:t>
      </w:r>
      <w:r w:rsidRPr="00C33761">
        <w:rPr>
          <w:rFonts w:ascii="David" w:hAnsi="David" w:hint="cs"/>
          <w:rtl/>
        </w:rPr>
        <w:t>מוֹעֵד".</w:t>
      </w:r>
      <w:r w:rsidRPr="00C33761">
        <w:rPr>
          <w:rFonts w:ascii="David" w:hAnsi="David"/>
          <w:rtl/>
        </w:rPr>
        <w:t xml:space="preserve"> </w:t>
      </w:r>
    </w:p>
    <w:p w14:paraId="460A0C73" w14:textId="7ECDF82A" w:rsidR="005612F3" w:rsidRPr="00C33761" w:rsidRDefault="005612F3" w:rsidP="00FB677E">
      <w:pPr>
        <w:ind w:left="720"/>
        <w:rPr>
          <w:rFonts w:ascii="David" w:hAnsi="David"/>
        </w:rPr>
      </w:pPr>
      <w:r>
        <w:rPr>
          <w:rFonts w:ascii="David" w:hAnsi="David" w:hint="cs"/>
          <w:rtl/>
        </w:rPr>
        <w:t xml:space="preserve">4. </w:t>
      </w:r>
      <w:r w:rsidRPr="00C33761">
        <w:rPr>
          <w:rFonts w:ascii="David" w:hAnsi="David" w:hint="cs"/>
          <w:rtl/>
        </w:rPr>
        <w:t xml:space="preserve">כל מה (ומי?) שייגע בבשר החטאת </w:t>
      </w:r>
      <w:r w:rsidRPr="00C33761">
        <w:rPr>
          <w:rFonts w:ascii="David" w:hAnsi="David"/>
          <w:rtl/>
        </w:rPr>
        <w:t>–</w:t>
      </w:r>
      <w:r w:rsidRPr="00C33761">
        <w:rPr>
          <w:rFonts w:ascii="David" w:hAnsi="David" w:hint="cs"/>
          <w:rtl/>
        </w:rPr>
        <w:t xml:space="preserve"> "יִקְדָּשׁ".</w:t>
      </w:r>
    </w:p>
    <w:p w14:paraId="0A8C6555" w14:textId="3EB663D6" w:rsidR="005612F3" w:rsidRPr="00C33761" w:rsidRDefault="005612F3" w:rsidP="00FB677E">
      <w:pPr>
        <w:ind w:left="720"/>
        <w:rPr>
          <w:rFonts w:ascii="David" w:hAnsi="David"/>
        </w:rPr>
      </w:pPr>
      <w:r>
        <w:rPr>
          <w:rFonts w:ascii="David" w:hAnsi="David" w:hint="cs"/>
          <w:rtl/>
        </w:rPr>
        <w:t xml:space="preserve">5. </w:t>
      </w:r>
      <w:r w:rsidRPr="00C33761">
        <w:rPr>
          <w:rFonts w:ascii="David" w:hAnsi="David" w:hint="cs"/>
          <w:rtl/>
        </w:rPr>
        <w:t xml:space="preserve">כיבוס בגד שדם החטאת הוזה עליו. </w:t>
      </w:r>
    </w:p>
    <w:p w14:paraId="47182148" w14:textId="7620D6E4" w:rsidR="005612F3" w:rsidRPr="00C33761" w:rsidRDefault="005612F3" w:rsidP="00FB677E">
      <w:pPr>
        <w:ind w:left="720"/>
        <w:rPr>
          <w:rFonts w:ascii="David" w:hAnsi="David"/>
        </w:rPr>
      </w:pPr>
      <w:r>
        <w:rPr>
          <w:rFonts w:ascii="David" w:hAnsi="David" w:hint="cs"/>
          <w:rtl/>
        </w:rPr>
        <w:t xml:space="preserve">6. </w:t>
      </w:r>
      <w:r w:rsidRPr="00C33761">
        <w:rPr>
          <w:rFonts w:ascii="David" w:hAnsi="David" w:hint="cs"/>
          <w:rtl/>
        </w:rPr>
        <w:t>שטיפת כלים שבהם בישלו את החטאת.</w:t>
      </w:r>
    </w:p>
    <w:p w14:paraId="03C191DD" w14:textId="64E0D3F9" w:rsidR="005612F3" w:rsidRPr="00C33761" w:rsidRDefault="005612F3" w:rsidP="00FB677E">
      <w:pPr>
        <w:ind w:left="720"/>
        <w:rPr>
          <w:rFonts w:ascii="David" w:hAnsi="David"/>
        </w:rPr>
      </w:pPr>
      <w:r>
        <w:rPr>
          <w:rFonts w:ascii="David" w:hAnsi="David" w:hint="cs"/>
          <w:rtl/>
        </w:rPr>
        <w:t xml:space="preserve">7. </w:t>
      </w:r>
      <w:r w:rsidRPr="00C33761">
        <w:rPr>
          <w:rFonts w:ascii="David" w:hAnsi="David" w:hint="cs"/>
          <w:rtl/>
        </w:rPr>
        <w:t xml:space="preserve">רק זכרי כהונה רשאים לאכול מהחטאת </w:t>
      </w:r>
      <w:r w:rsidRPr="00C33761">
        <w:rPr>
          <w:rFonts w:ascii="David" w:hAnsi="David"/>
          <w:rtl/>
        </w:rPr>
        <w:t>–</w:t>
      </w:r>
      <w:r w:rsidRPr="00C33761">
        <w:rPr>
          <w:rFonts w:ascii="David" w:hAnsi="David" w:hint="cs"/>
          <w:rtl/>
        </w:rPr>
        <w:t xml:space="preserve"> </w:t>
      </w:r>
      <w:r w:rsidRPr="00112C5B">
        <w:rPr>
          <w:rFonts w:ascii="David" w:hAnsi="David" w:hint="cs"/>
          <w:rtl/>
        </w:rPr>
        <w:t>"</w:t>
      </w:r>
      <w:r w:rsidRPr="00C33761">
        <w:rPr>
          <w:rFonts w:ascii="David" w:hAnsi="David" w:hint="cs"/>
          <w:b/>
          <w:bCs/>
          <w:rtl/>
        </w:rPr>
        <w:t>קֹדֶשׁ</w:t>
      </w:r>
      <w:r w:rsidRPr="00C33761">
        <w:rPr>
          <w:rFonts w:ascii="David" w:hAnsi="David"/>
          <w:b/>
          <w:bCs/>
          <w:rtl/>
        </w:rPr>
        <w:t xml:space="preserve"> </w:t>
      </w:r>
      <w:r w:rsidRPr="00C33761">
        <w:rPr>
          <w:rFonts w:ascii="David" w:hAnsi="David" w:hint="cs"/>
          <w:b/>
          <w:bCs/>
          <w:rtl/>
        </w:rPr>
        <w:t>קָדָשִׁים</w:t>
      </w:r>
      <w:r w:rsidRPr="00C33761">
        <w:rPr>
          <w:rFonts w:ascii="David" w:hAnsi="David"/>
          <w:b/>
          <w:bCs/>
          <w:rtl/>
        </w:rPr>
        <w:t xml:space="preserve"> </w:t>
      </w:r>
      <w:r w:rsidRPr="00C33761">
        <w:rPr>
          <w:rFonts w:ascii="David" w:hAnsi="David" w:hint="cs"/>
          <w:b/>
          <w:bCs/>
          <w:rtl/>
        </w:rPr>
        <w:t>הִוא</w:t>
      </w:r>
      <w:r w:rsidRPr="00112C5B">
        <w:rPr>
          <w:rFonts w:ascii="David" w:hAnsi="David" w:hint="cs"/>
          <w:rtl/>
        </w:rPr>
        <w:t>".</w:t>
      </w:r>
    </w:p>
    <w:p w14:paraId="5269AA2D" w14:textId="2030EE12" w:rsidR="005612F3" w:rsidRPr="00C33761" w:rsidRDefault="005612F3" w:rsidP="00FB677E">
      <w:pPr>
        <w:ind w:left="720"/>
        <w:rPr>
          <w:rFonts w:ascii="David" w:hAnsi="David"/>
        </w:rPr>
      </w:pPr>
      <w:r>
        <w:rPr>
          <w:rFonts w:ascii="David" w:hAnsi="David" w:hint="cs"/>
          <w:rtl/>
        </w:rPr>
        <w:t xml:space="preserve">8. </w:t>
      </w:r>
      <w:r w:rsidRPr="00C33761">
        <w:rPr>
          <w:rFonts w:ascii="David" w:hAnsi="David" w:hint="cs"/>
          <w:rtl/>
        </w:rPr>
        <w:t xml:space="preserve">חטאת שדמה נכנס אל אוהל מועד </w:t>
      </w:r>
      <w:r w:rsidRPr="00C33761">
        <w:rPr>
          <w:rFonts w:ascii="David" w:hAnsi="David"/>
          <w:rtl/>
        </w:rPr>
        <w:t>–</w:t>
      </w:r>
      <w:r w:rsidRPr="00C33761">
        <w:rPr>
          <w:rFonts w:ascii="David" w:hAnsi="David" w:hint="cs"/>
          <w:rtl/>
        </w:rPr>
        <w:t xml:space="preserve"> לא תאכל אלא יש </w:t>
      </w:r>
      <w:proofErr w:type="spellStart"/>
      <w:r w:rsidRPr="00C33761">
        <w:rPr>
          <w:rFonts w:ascii="David" w:hAnsi="David" w:hint="cs"/>
          <w:rtl/>
        </w:rPr>
        <w:t>לשורפה</w:t>
      </w:r>
      <w:proofErr w:type="spellEnd"/>
      <w:r w:rsidRPr="00C33761">
        <w:rPr>
          <w:rFonts w:ascii="David" w:hAnsi="David" w:hint="cs"/>
          <w:rtl/>
        </w:rPr>
        <w:t xml:space="preserve"> באש.</w:t>
      </w:r>
    </w:p>
    <w:p w14:paraId="3AB24F9F" w14:textId="2F23C44D" w:rsidR="005612F3" w:rsidRPr="00C33761" w:rsidRDefault="005612F3" w:rsidP="005612F3">
      <w:pPr>
        <w:rPr>
          <w:rFonts w:ascii="David" w:hAnsi="David"/>
          <w:rtl/>
        </w:rPr>
      </w:pPr>
      <w:r w:rsidRPr="00C33761">
        <w:rPr>
          <w:rFonts w:ascii="David" w:hAnsi="David" w:hint="cs"/>
          <w:rtl/>
        </w:rPr>
        <w:t xml:space="preserve">פעמיים נזכר בדיני החטאת שהיא 'קדש קדשים', והגדרה זו יוצרת מסגרת </w:t>
      </w:r>
      <w:r w:rsidRPr="00C33761">
        <w:rPr>
          <w:rFonts w:ascii="David" w:hAnsi="David"/>
          <w:rtl/>
        </w:rPr>
        <w:t>–</w:t>
      </w:r>
      <w:r w:rsidRPr="00C33761">
        <w:rPr>
          <w:rFonts w:ascii="David" w:hAnsi="David" w:hint="cs"/>
          <w:rtl/>
        </w:rPr>
        <w:t xml:space="preserve"> ספרותית ומשפטית </w:t>
      </w:r>
      <w:r w:rsidRPr="00C33761">
        <w:rPr>
          <w:rFonts w:ascii="David" w:hAnsi="David"/>
          <w:rtl/>
        </w:rPr>
        <w:t>–</w:t>
      </w:r>
      <w:r w:rsidRPr="00C33761">
        <w:rPr>
          <w:rFonts w:ascii="David" w:hAnsi="David" w:hint="cs"/>
          <w:rtl/>
        </w:rPr>
        <w:t xml:space="preserve"> לדיני החטאת כולם. מסגרת זו מלמדת שיש להתייחס לרכיב 8 כאל נספח לעיקר מגמת הפרשייה, ואכן רכיב 8 מסייג את האמור עד כאן לחטאות חיצוניות. כלומר, הוא אינו מוסיף דין נוסף </w:t>
      </w:r>
      <w:r>
        <w:rPr>
          <w:rFonts w:ascii="David" w:hAnsi="David" w:hint="cs"/>
          <w:rtl/>
        </w:rPr>
        <w:t xml:space="preserve">לחטאות הנידונות </w:t>
      </w:r>
      <w:r w:rsidRPr="00C33761">
        <w:rPr>
          <w:rFonts w:ascii="David" w:hAnsi="David" w:hint="cs"/>
          <w:rtl/>
        </w:rPr>
        <w:t>אלא מגביל את היקף הדיון לחטאת מסוימת. הדין המרכזי שנזכר בין שבעת דיני החטאת (רכיב 4) הוא יסוד מכונן לדינים כולם: "כֹּל</w:t>
      </w:r>
      <w:r w:rsidRPr="00C33761">
        <w:rPr>
          <w:rFonts w:ascii="David" w:hAnsi="David"/>
          <w:rtl/>
        </w:rPr>
        <w:t xml:space="preserve"> </w:t>
      </w:r>
      <w:r w:rsidRPr="00C33761">
        <w:rPr>
          <w:rFonts w:ascii="David" w:hAnsi="David" w:hint="cs"/>
          <w:rtl/>
        </w:rPr>
        <w:t>אֲשֶׁר</w:t>
      </w:r>
      <w:r w:rsidRPr="00C33761">
        <w:rPr>
          <w:rFonts w:ascii="David" w:hAnsi="David"/>
          <w:rtl/>
        </w:rPr>
        <w:t xml:space="preserve"> </w:t>
      </w:r>
      <w:r w:rsidRPr="00C33761">
        <w:rPr>
          <w:rFonts w:ascii="David" w:hAnsi="David" w:hint="cs"/>
          <w:rtl/>
        </w:rPr>
        <w:t>יִגַּע</w:t>
      </w:r>
      <w:r w:rsidRPr="00C33761">
        <w:rPr>
          <w:rFonts w:ascii="David" w:hAnsi="David"/>
          <w:rtl/>
        </w:rPr>
        <w:t xml:space="preserve"> </w:t>
      </w:r>
      <w:r w:rsidRPr="00C33761">
        <w:rPr>
          <w:rFonts w:ascii="David" w:hAnsi="David" w:hint="cs"/>
          <w:rtl/>
        </w:rPr>
        <w:t>בִּבְשָׂרָהּ</w:t>
      </w:r>
      <w:r w:rsidRPr="00C33761">
        <w:rPr>
          <w:rFonts w:ascii="David" w:hAnsi="David"/>
          <w:rtl/>
        </w:rPr>
        <w:t xml:space="preserve"> </w:t>
      </w:r>
      <w:r w:rsidRPr="00C33761">
        <w:rPr>
          <w:rFonts w:ascii="David" w:hAnsi="David" w:hint="cs"/>
          <w:rtl/>
        </w:rPr>
        <w:t xml:space="preserve">יִקְדָּשׁ". </w:t>
      </w:r>
    </w:p>
    <w:p w14:paraId="65A56758" w14:textId="54AF607F" w:rsidR="005612F3" w:rsidRPr="00C33761" w:rsidRDefault="005612F3" w:rsidP="007008D0">
      <w:pPr>
        <w:rPr>
          <w:rFonts w:ascii="David" w:hAnsi="David"/>
          <w:rtl/>
        </w:rPr>
      </w:pPr>
      <w:r w:rsidRPr="00C33761">
        <w:rPr>
          <w:rFonts w:ascii="David" w:hAnsi="David"/>
          <w:rtl/>
        </w:rPr>
        <w:tab/>
      </w:r>
      <w:r w:rsidRPr="00C33761">
        <w:rPr>
          <w:rFonts w:ascii="David" w:hAnsi="David" w:hint="cs"/>
          <w:rtl/>
        </w:rPr>
        <w:t xml:space="preserve">מסתבר, שהגדרת הקורבן כ"קודש קודשים", </w:t>
      </w:r>
      <w:r w:rsidR="007008D0">
        <w:rPr>
          <w:rFonts w:ascii="David" w:hAnsi="David" w:hint="cs"/>
          <w:rtl/>
        </w:rPr>
        <w:t xml:space="preserve">ובכך הוא </w:t>
      </w:r>
      <w:r w:rsidRPr="00C33761">
        <w:rPr>
          <w:rFonts w:ascii="David" w:hAnsi="David" w:hint="cs"/>
          <w:rtl/>
        </w:rPr>
        <w:t xml:space="preserve">הופך לנושא קדושה שיכול להדביק אחרים, </w:t>
      </w:r>
      <w:r w:rsidR="007008D0">
        <w:rPr>
          <w:rFonts w:ascii="David" w:hAnsi="David" w:hint="cs"/>
          <w:rtl/>
        </w:rPr>
        <w:t xml:space="preserve">הגדרה זו היא </w:t>
      </w:r>
      <w:r w:rsidRPr="00C33761">
        <w:rPr>
          <w:rFonts w:ascii="David" w:hAnsi="David" w:hint="cs"/>
          <w:rtl/>
        </w:rPr>
        <w:t>התבנית שבתוכה יצוקים הדינים כולם ולאור רעיון זה יש להבינם.</w:t>
      </w:r>
    </w:p>
    <w:p w14:paraId="157A79FB" w14:textId="01BA3D44" w:rsidR="005612F3" w:rsidRPr="00C33761" w:rsidRDefault="005612F3" w:rsidP="000D7F0C">
      <w:pPr>
        <w:rPr>
          <w:rFonts w:ascii="David" w:hAnsi="David"/>
          <w:rtl/>
        </w:rPr>
      </w:pPr>
      <w:r w:rsidRPr="00C33761">
        <w:rPr>
          <w:rFonts w:ascii="David" w:hAnsi="David"/>
          <w:rtl/>
        </w:rPr>
        <w:tab/>
      </w:r>
      <w:r w:rsidRPr="00C33761">
        <w:rPr>
          <w:rFonts w:ascii="David" w:hAnsi="David" w:hint="cs"/>
          <w:rtl/>
        </w:rPr>
        <w:t>ואכן, כבר ראינו שמקום השחיטה מושפע מהגדרת הקורבן כקו</w:t>
      </w:r>
      <w:r>
        <w:rPr>
          <w:rFonts w:ascii="David" w:hAnsi="David" w:hint="cs"/>
          <w:rtl/>
        </w:rPr>
        <w:t>דש קודשים, וכבר התלבטנו אם ה</w:t>
      </w:r>
      <w:r w:rsidRPr="00C33761">
        <w:rPr>
          <w:rFonts w:ascii="David" w:hAnsi="David" w:hint="cs"/>
          <w:rtl/>
        </w:rPr>
        <w:t xml:space="preserve">העדפה שהכוהן שטיפל בקורבן עד כה הוא גם זה שיאכל את הקורבן </w:t>
      </w:r>
      <w:r w:rsidR="007008D0">
        <w:rPr>
          <w:rFonts w:ascii="David" w:hAnsi="David" w:hint="cs"/>
          <w:rtl/>
        </w:rPr>
        <w:t xml:space="preserve">אינה נובעת </w:t>
      </w:r>
      <w:r w:rsidRPr="00C33761">
        <w:rPr>
          <w:rFonts w:ascii="David" w:hAnsi="David" w:hint="cs"/>
          <w:rtl/>
        </w:rPr>
        <w:t>מהרצון להמעיט ב</w:t>
      </w:r>
      <w:r w:rsidR="000D7F0C">
        <w:rPr>
          <w:rFonts w:ascii="David" w:hAnsi="David" w:hint="cs"/>
          <w:rtl/>
        </w:rPr>
        <w:t>מ</w:t>
      </w:r>
      <w:r w:rsidRPr="00C33761">
        <w:rPr>
          <w:rFonts w:ascii="David" w:hAnsi="David" w:hint="cs"/>
          <w:rtl/>
        </w:rPr>
        <w:t>פגשים עם הקורבן שקדושתו מדבקת. ברוח זו ניתן להמשיך ולקרוא גם את דרישת המקום: "</w:t>
      </w:r>
      <w:r w:rsidRPr="00C33761">
        <w:rPr>
          <w:rFonts w:ascii="David" w:hAnsi="David"/>
          <w:rtl/>
        </w:rPr>
        <w:t>בְּמָקוֹם קָדֹשׁ תֵּאָכֵל</w:t>
      </w:r>
      <w:r w:rsidRPr="00C33761">
        <w:rPr>
          <w:rFonts w:ascii="David" w:hAnsi="David" w:hint="cs"/>
          <w:rtl/>
        </w:rPr>
        <w:t xml:space="preserve"> </w:t>
      </w:r>
      <w:r w:rsidRPr="00C33761">
        <w:rPr>
          <w:rFonts w:ascii="David" w:hAnsi="David"/>
          <w:rtl/>
        </w:rPr>
        <w:t>בַּחֲצַר אֹהֶל מוֹעֵד</w:t>
      </w:r>
      <w:r w:rsidRPr="00C33761">
        <w:rPr>
          <w:rFonts w:ascii="David" w:hAnsi="David" w:hint="cs"/>
          <w:rtl/>
        </w:rPr>
        <w:t>'". ברור שקורבן שהוא קודש קודשים דורש מקום שמוגדר כמקום קדוש שרק אליו הוא יכול להגיע, אך גם הצד השני של המטבע נכון: יש צורך לאכול את הקורבן המקודש הזה דווקא בחצר אוהל מועד, כי אם בשר הקורבן יגיע למקום שאיננו קדוש הוא עלול לקדש אותו, ועל כן יש לדאוג שהוא לא ייצא ממרחב מקודש.</w:t>
      </w:r>
    </w:p>
    <w:p w14:paraId="16A651F3" w14:textId="77777777" w:rsidR="005612F3" w:rsidRDefault="005612F3" w:rsidP="005612F3">
      <w:pPr>
        <w:rPr>
          <w:rFonts w:ascii="David" w:hAnsi="David"/>
          <w:rtl/>
        </w:rPr>
      </w:pPr>
      <w:r w:rsidRPr="00C33761">
        <w:rPr>
          <w:rFonts w:ascii="David" w:hAnsi="David"/>
          <w:rtl/>
        </w:rPr>
        <w:tab/>
      </w:r>
      <w:r w:rsidRPr="00C33761">
        <w:rPr>
          <w:rFonts w:ascii="David" w:hAnsi="David" w:hint="cs"/>
          <w:rtl/>
        </w:rPr>
        <w:t xml:space="preserve">אין צורך לומר שרעיון הקדושה המתפשטת מבאר היטב את החלק השני של דיני החטאת </w:t>
      </w:r>
      <w:r w:rsidRPr="00C33761">
        <w:rPr>
          <w:rFonts w:ascii="David" w:hAnsi="David"/>
          <w:rtl/>
        </w:rPr>
        <w:t>–</w:t>
      </w:r>
      <w:r w:rsidRPr="00C33761">
        <w:rPr>
          <w:rFonts w:ascii="David" w:hAnsi="David" w:hint="cs"/>
          <w:rtl/>
        </w:rPr>
        <w:t xml:space="preserve"> הנגיעה בבשר ובליעת הדם. דינים אלו נסמכים בגלוי על בעיית הקדושה המדבקת: "</w:t>
      </w:r>
      <w:r w:rsidRPr="00C33761">
        <w:rPr>
          <w:rFonts w:ascii="David" w:hAnsi="David"/>
          <w:rtl/>
        </w:rPr>
        <w:t xml:space="preserve">כֹּל אֲשֶׁר יִגַּע בִּבְשָׂרָהּ יִקְדָּשׁ </w:t>
      </w:r>
      <w:r w:rsidRPr="00C33761">
        <w:rPr>
          <w:rFonts w:ascii="David" w:hAnsi="David" w:hint="cs"/>
          <w:sz w:val="20"/>
          <w:szCs w:val="20"/>
          <w:rtl/>
        </w:rPr>
        <w:t>(ו</w:t>
      </w:r>
      <w:r>
        <w:rPr>
          <w:rFonts w:ascii="David" w:hAnsi="David" w:hint="cs"/>
          <w:sz w:val="20"/>
          <w:szCs w:val="20"/>
          <w:rtl/>
        </w:rPr>
        <w:t>כמו כן</w:t>
      </w:r>
      <w:r w:rsidRPr="00C33761">
        <w:rPr>
          <w:rFonts w:ascii="David" w:hAnsi="David" w:hint="cs"/>
          <w:sz w:val="20"/>
          <w:szCs w:val="20"/>
          <w:rtl/>
        </w:rPr>
        <w:t xml:space="preserve"> </w:t>
      </w:r>
      <w:r w:rsidRPr="00C33761">
        <w:rPr>
          <w:rFonts w:ascii="David" w:hAnsi="David"/>
          <w:sz w:val="20"/>
          <w:szCs w:val="20"/>
          <w:rtl/>
        </w:rPr>
        <w:t>–</w:t>
      </w:r>
      <w:r w:rsidRPr="00C33761">
        <w:rPr>
          <w:rFonts w:ascii="David" w:hAnsi="David" w:hint="cs"/>
          <w:sz w:val="20"/>
          <w:szCs w:val="20"/>
          <w:rtl/>
        </w:rPr>
        <w:t xml:space="preserve"> )</w:t>
      </w:r>
      <w:r w:rsidRPr="00C33761">
        <w:rPr>
          <w:rFonts w:ascii="David" w:hAnsi="David" w:hint="cs"/>
          <w:rtl/>
        </w:rPr>
        <w:t xml:space="preserve"> </w:t>
      </w:r>
      <w:r w:rsidRPr="00C33761">
        <w:rPr>
          <w:rFonts w:ascii="David" w:hAnsi="David"/>
          <w:rtl/>
        </w:rPr>
        <w:t>וַאֲשֶׁר יִזֶּה מִדָּמָהּ עַל הַבֶּגֶד</w:t>
      </w:r>
      <w:r w:rsidRPr="00C33761">
        <w:rPr>
          <w:rFonts w:ascii="David" w:hAnsi="David" w:hint="cs"/>
          <w:rtl/>
        </w:rPr>
        <w:t xml:space="preserve">...". </w:t>
      </w:r>
    </w:p>
    <w:p w14:paraId="05A2A0DC" w14:textId="77777777" w:rsidR="005612F3" w:rsidRPr="00C33761" w:rsidRDefault="005612F3" w:rsidP="005612F3">
      <w:pPr>
        <w:rPr>
          <w:rFonts w:ascii="David" w:hAnsi="David"/>
          <w:rtl/>
        </w:rPr>
      </w:pPr>
      <w:r>
        <w:rPr>
          <w:rFonts w:ascii="David" w:hAnsi="David"/>
          <w:rtl/>
        </w:rPr>
        <w:tab/>
      </w:r>
      <w:r>
        <w:rPr>
          <w:rFonts w:ascii="David" w:hAnsi="David" w:hint="cs"/>
          <w:rtl/>
        </w:rPr>
        <w:t>מאחר ש</w:t>
      </w:r>
      <w:r w:rsidRPr="00C33761">
        <w:rPr>
          <w:rFonts w:ascii="David" w:hAnsi="David" w:hint="cs"/>
          <w:rtl/>
        </w:rPr>
        <w:t xml:space="preserve">דינים אלו מזכירים את דיני טומאה וטהרה, רבים פירשו את הפסוקים הללו </w:t>
      </w:r>
      <w:r>
        <w:rPr>
          <w:rFonts w:ascii="David" w:hAnsi="David" w:hint="cs"/>
          <w:rtl/>
        </w:rPr>
        <w:t>בהקשר של הלכות טומאה ולא בהקשר של העברת קדושה</w:t>
      </w:r>
      <w:r w:rsidRPr="00C33761">
        <w:rPr>
          <w:rFonts w:ascii="David" w:hAnsi="David" w:hint="cs"/>
          <w:rtl/>
        </w:rPr>
        <w:t>:</w:t>
      </w:r>
      <w:r w:rsidRPr="00C33761">
        <w:rPr>
          <w:rStyle w:val="a5"/>
          <w:rFonts w:ascii="David" w:eastAsia="Calibri" w:hAnsi="David"/>
          <w:sz w:val="24"/>
          <w:rtl/>
        </w:rPr>
        <w:footnoteReference w:id="5"/>
      </w:r>
      <w:r w:rsidRPr="00C33761">
        <w:rPr>
          <w:rFonts w:ascii="David" w:hAnsi="David" w:hint="cs"/>
          <w:rtl/>
        </w:rPr>
        <w:t xml:space="preserve"> אם הדם הוזה על בגד הוא </w:t>
      </w:r>
      <w:r>
        <w:rPr>
          <w:rFonts w:ascii="David" w:hAnsi="David" w:hint="cs"/>
          <w:rtl/>
        </w:rPr>
        <w:t xml:space="preserve">מטמא אותו, אבל לא מעביר אליו </w:t>
      </w:r>
      <w:r w:rsidRPr="00C33761">
        <w:rPr>
          <w:rFonts w:ascii="David" w:hAnsi="David" w:hint="cs"/>
          <w:rtl/>
        </w:rPr>
        <w:t>קדושה.</w:t>
      </w:r>
      <w:r w:rsidRPr="00C33761">
        <w:rPr>
          <w:rStyle w:val="a5"/>
          <w:rFonts w:ascii="David" w:eastAsia="Calibri" w:hAnsi="David"/>
          <w:sz w:val="24"/>
          <w:rtl/>
        </w:rPr>
        <w:footnoteReference w:id="6"/>
      </w:r>
      <w:r w:rsidRPr="00C33761">
        <w:rPr>
          <w:rFonts w:ascii="David" w:hAnsi="David"/>
          <w:rtl/>
        </w:rPr>
        <w:t xml:space="preserve"> </w:t>
      </w:r>
    </w:p>
    <w:p w14:paraId="4B01D9A2" w14:textId="60CD1292" w:rsidR="005612F3" w:rsidRPr="00C33761" w:rsidRDefault="005612F3" w:rsidP="007008D0">
      <w:pPr>
        <w:rPr>
          <w:rFonts w:ascii="David" w:hAnsi="David"/>
          <w:rtl/>
        </w:rPr>
      </w:pPr>
      <w:r w:rsidRPr="00C33761">
        <w:rPr>
          <w:rFonts w:ascii="David" w:hAnsi="David"/>
          <w:rtl/>
        </w:rPr>
        <w:lastRenderedPageBreak/>
        <w:tab/>
      </w:r>
      <w:r w:rsidRPr="00C33761">
        <w:rPr>
          <w:rFonts w:ascii="David" w:hAnsi="David" w:hint="cs"/>
          <w:rtl/>
        </w:rPr>
        <w:t xml:space="preserve">אולם </w:t>
      </w:r>
      <w:r>
        <w:rPr>
          <w:rFonts w:ascii="David" w:hAnsi="David" w:hint="cs"/>
          <w:rtl/>
        </w:rPr>
        <w:t xml:space="preserve">הפסוקים אינם מזכירים כלל טומאה, ורק הדינים הדומים מהווים בסיס להעתקת הדינים הללו לתחום הטומאה. לפיכך, </w:t>
      </w:r>
      <w:r w:rsidRPr="00C33761">
        <w:rPr>
          <w:rFonts w:ascii="David" w:hAnsi="David" w:hint="cs"/>
          <w:rtl/>
        </w:rPr>
        <w:t>עדיף לאמץ את הקריאה שרואה ב</w:t>
      </w:r>
      <w:r w:rsidRPr="00C33761">
        <w:rPr>
          <w:rFonts w:ascii="David" w:hAnsi="David"/>
          <w:rtl/>
        </w:rPr>
        <w:t>עולם הקדושה תמונת ראי לעולם הט</w:t>
      </w:r>
      <w:r w:rsidRPr="00C33761">
        <w:rPr>
          <w:rFonts w:ascii="David" w:hAnsi="David" w:hint="cs"/>
          <w:rtl/>
        </w:rPr>
        <w:t>ו</w:t>
      </w:r>
      <w:r w:rsidRPr="00C33761">
        <w:rPr>
          <w:rFonts w:ascii="David" w:hAnsi="David"/>
          <w:rtl/>
        </w:rPr>
        <w:t xml:space="preserve">מאה. </w:t>
      </w:r>
      <w:r w:rsidRPr="00C33761">
        <w:rPr>
          <w:rFonts w:ascii="David" w:hAnsi="David" w:hint="cs"/>
          <w:rtl/>
        </w:rPr>
        <w:t xml:space="preserve">יש צורך להוציא </w:t>
      </w:r>
      <w:r w:rsidRPr="00C33761">
        <w:rPr>
          <w:rFonts w:ascii="David" w:hAnsi="David"/>
          <w:rtl/>
        </w:rPr>
        <w:t>את הקדושה מהבגד כדי ש</w:t>
      </w:r>
      <w:r>
        <w:rPr>
          <w:rFonts w:ascii="David" w:hAnsi="David" w:hint="cs"/>
          <w:rtl/>
        </w:rPr>
        <w:t>הקדושה לא תתפשט מעבר למידה הראויה</w:t>
      </w:r>
      <w:r w:rsidRPr="00C33761">
        <w:rPr>
          <w:rFonts w:ascii="David" w:hAnsi="David"/>
          <w:rtl/>
        </w:rPr>
        <w:t>.</w:t>
      </w:r>
      <w:r w:rsidRPr="00C33761">
        <w:rPr>
          <w:rFonts w:ascii="David" w:hAnsi="David" w:hint="cs"/>
          <w:rtl/>
        </w:rPr>
        <w:t xml:space="preserve"> </w:t>
      </w:r>
      <w:r>
        <w:rPr>
          <w:rFonts w:ascii="David" w:hAnsi="David" w:hint="cs"/>
          <w:rtl/>
        </w:rPr>
        <w:t xml:space="preserve">לפי פרשנות זו, </w:t>
      </w:r>
      <w:r w:rsidRPr="00C33761">
        <w:rPr>
          <w:rFonts w:ascii="David" w:hAnsi="David" w:hint="cs"/>
          <w:rtl/>
        </w:rPr>
        <w:t>אין מדובר רק בבליעת דם הק</w:t>
      </w:r>
      <w:r>
        <w:rPr>
          <w:rFonts w:ascii="David" w:hAnsi="David" w:hint="cs"/>
          <w:rtl/>
        </w:rPr>
        <w:t>ו</w:t>
      </w:r>
      <w:r w:rsidRPr="00C33761">
        <w:rPr>
          <w:rFonts w:ascii="David" w:hAnsi="David" w:hint="cs"/>
          <w:rtl/>
        </w:rPr>
        <w:t>רבן אלא די במגע בכדי שהפסוקים ידרשו טי</w:t>
      </w:r>
      <w:r>
        <w:rPr>
          <w:rFonts w:ascii="David" w:hAnsi="David" w:hint="cs"/>
          <w:rtl/>
        </w:rPr>
        <w:t>פ</w:t>
      </w:r>
      <w:r w:rsidRPr="00C33761">
        <w:rPr>
          <w:rFonts w:ascii="David" w:hAnsi="David" w:hint="cs"/>
          <w:rtl/>
        </w:rPr>
        <w:t>ול להוצאת הקדושה ("</w:t>
      </w:r>
      <w:r w:rsidRPr="00C33761">
        <w:rPr>
          <w:rFonts w:ascii="David" w:hAnsi="David"/>
          <w:rtl/>
        </w:rPr>
        <w:t>כֹּל אֲשֶׁר יִגַּע בִּבְשָׂרָהּ יִקְדָּשׁ</w:t>
      </w:r>
      <w:r w:rsidRPr="00C33761">
        <w:rPr>
          <w:rFonts w:ascii="David" w:hAnsi="David" w:hint="cs"/>
          <w:rtl/>
        </w:rPr>
        <w:t>").</w:t>
      </w:r>
      <w:r>
        <w:rPr>
          <w:rStyle w:val="a5"/>
          <w:rFonts w:ascii="David" w:eastAsia="Calibri" w:hAnsi="David"/>
          <w:sz w:val="24"/>
          <w:rtl/>
        </w:rPr>
        <w:footnoteReference w:id="7"/>
      </w:r>
      <w:r w:rsidRPr="00C33761">
        <w:rPr>
          <w:rFonts w:ascii="David" w:hAnsi="David" w:hint="cs"/>
          <w:rtl/>
        </w:rPr>
        <w:t xml:space="preserve"> כשם </w:t>
      </w:r>
      <w:r w:rsidRPr="00C33761">
        <w:rPr>
          <w:rFonts w:ascii="David" w:hAnsi="David"/>
          <w:rtl/>
        </w:rPr>
        <w:t>שטומאה עוברת במגע, כך קדושה עוברת במגע</w:t>
      </w:r>
      <w:r w:rsidRPr="00C33761">
        <w:rPr>
          <w:rFonts w:ascii="David" w:hAnsi="David" w:hint="cs"/>
          <w:rtl/>
        </w:rPr>
        <w:t xml:space="preserve">; </w:t>
      </w:r>
      <w:r w:rsidRPr="00C33761">
        <w:rPr>
          <w:rFonts w:ascii="David" w:hAnsi="David"/>
          <w:rtl/>
        </w:rPr>
        <w:t>וכ</w:t>
      </w:r>
      <w:r w:rsidRPr="00C33761">
        <w:rPr>
          <w:rFonts w:ascii="David" w:hAnsi="David" w:hint="cs"/>
          <w:rtl/>
        </w:rPr>
        <w:t>שם שיש ל</w:t>
      </w:r>
      <w:r w:rsidRPr="00C33761">
        <w:rPr>
          <w:rFonts w:ascii="David" w:hAnsi="David"/>
          <w:rtl/>
        </w:rPr>
        <w:t xml:space="preserve">מרק את הכלי כדי </w:t>
      </w:r>
      <w:r w:rsidRPr="00C33761">
        <w:rPr>
          <w:rFonts w:ascii="David" w:hAnsi="David" w:hint="cs"/>
          <w:rtl/>
        </w:rPr>
        <w:t xml:space="preserve">להוציא את הטומאה שדבקה בו, </w:t>
      </w:r>
      <w:r w:rsidRPr="00C33761">
        <w:rPr>
          <w:rFonts w:ascii="David" w:hAnsi="David"/>
          <w:rtl/>
        </w:rPr>
        <w:t>כך צריך לעשות כדי ש</w:t>
      </w:r>
      <w:r w:rsidRPr="00C33761">
        <w:rPr>
          <w:rFonts w:ascii="David" w:hAnsi="David" w:hint="cs"/>
          <w:rtl/>
        </w:rPr>
        <w:t>ה</w:t>
      </w:r>
      <w:r w:rsidRPr="00C33761">
        <w:rPr>
          <w:rFonts w:ascii="David" w:hAnsi="David"/>
          <w:rtl/>
        </w:rPr>
        <w:t xml:space="preserve">קדושה </w:t>
      </w:r>
      <w:r w:rsidRPr="00C33761">
        <w:rPr>
          <w:rFonts w:ascii="David" w:hAnsi="David" w:hint="cs"/>
          <w:rtl/>
        </w:rPr>
        <w:t xml:space="preserve">שדבקה בו </w:t>
      </w:r>
      <w:r w:rsidRPr="00C33761">
        <w:rPr>
          <w:rFonts w:ascii="David" w:hAnsi="David"/>
          <w:rtl/>
        </w:rPr>
        <w:t>תצא ממנו</w:t>
      </w:r>
      <w:r w:rsidRPr="00C33761">
        <w:rPr>
          <w:rFonts w:ascii="David" w:hAnsi="David" w:hint="cs"/>
          <w:rtl/>
        </w:rPr>
        <w:t xml:space="preserve"> ושניתן יהיה להמשיך ולהשתמש בו לצרכי חולין.</w:t>
      </w:r>
    </w:p>
    <w:p w14:paraId="21070128" w14:textId="4AE6D1FB" w:rsidR="005612F3" w:rsidRPr="00534F4F" w:rsidRDefault="005612F3" w:rsidP="005612F3">
      <w:pPr>
        <w:rPr>
          <w:rFonts w:ascii="David" w:hAnsi="David"/>
        </w:rPr>
      </w:pPr>
      <w:r w:rsidRPr="00C33761">
        <w:rPr>
          <w:rFonts w:ascii="David" w:hAnsi="David"/>
          <w:rtl/>
        </w:rPr>
        <w:tab/>
      </w:r>
      <w:r w:rsidRPr="00C33761">
        <w:rPr>
          <w:rFonts w:ascii="David" w:hAnsi="David" w:hint="cs"/>
          <w:rtl/>
        </w:rPr>
        <w:t xml:space="preserve">דיני </w:t>
      </w:r>
      <w:r w:rsidR="007008D0">
        <w:rPr>
          <w:rFonts w:ascii="David" w:hAnsi="David" w:hint="cs"/>
          <w:rtl/>
        </w:rPr>
        <w:t xml:space="preserve">קורבן </w:t>
      </w:r>
      <w:r w:rsidRPr="00C33761">
        <w:rPr>
          <w:rFonts w:ascii="David" w:hAnsi="David" w:hint="cs"/>
          <w:rtl/>
        </w:rPr>
        <w:t>החטאת נובעים אפוא מהגדרתו כקודש קודשים ומההשלכות שיש להגדרה זו על התפשטות הקדושה.</w:t>
      </w:r>
      <w:r>
        <w:rPr>
          <w:rStyle w:val="a5"/>
          <w:rFonts w:ascii="David" w:eastAsia="Calibri" w:hAnsi="David"/>
          <w:sz w:val="24"/>
          <w:rtl/>
        </w:rPr>
        <w:footnoteReference w:id="8"/>
      </w:r>
      <w:r w:rsidRPr="00C33761">
        <w:rPr>
          <w:rFonts w:ascii="David" w:hAnsi="David" w:hint="cs"/>
          <w:rtl/>
        </w:rPr>
        <w:t xml:space="preserve"> כעת מובן שמה שנאמר כבר ביחס למנחה "כֹּל</w:t>
      </w:r>
      <w:r w:rsidRPr="00C33761">
        <w:rPr>
          <w:rFonts w:ascii="David" w:hAnsi="David"/>
          <w:rtl/>
        </w:rPr>
        <w:t xml:space="preserve"> </w:t>
      </w:r>
      <w:r w:rsidRPr="00C33761">
        <w:rPr>
          <w:rFonts w:ascii="David" w:hAnsi="David" w:hint="cs"/>
          <w:rtl/>
        </w:rPr>
        <w:t>אֲשֶׁר</w:t>
      </w:r>
      <w:r w:rsidRPr="00C33761">
        <w:rPr>
          <w:rFonts w:ascii="David" w:hAnsi="David"/>
          <w:rtl/>
        </w:rPr>
        <w:t xml:space="preserve"> </w:t>
      </w:r>
      <w:r w:rsidRPr="00C33761">
        <w:rPr>
          <w:rFonts w:ascii="David" w:hAnsi="David" w:hint="cs"/>
          <w:rtl/>
        </w:rPr>
        <w:t>יִגַּע</w:t>
      </w:r>
      <w:r w:rsidRPr="00C33761">
        <w:rPr>
          <w:rFonts w:ascii="David" w:hAnsi="David"/>
          <w:rtl/>
        </w:rPr>
        <w:t xml:space="preserve"> </w:t>
      </w:r>
      <w:r w:rsidRPr="00C33761">
        <w:rPr>
          <w:rFonts w:ascii="David" w:hAnsi="David" w:hint="cs"/>
          <w:rtl/>
        </w:rPr>
        <w:t>בָּהֶם</w:t>
      </w:r>
      <w:r w:rsidRPr="00C33761">
        <w:rPr>
          <w:rFonts w:ascii="David" w:hAnsi="David"/>
          <w:rtl/>
        </w:rPr>
        <w:t xml:space="preserve"> </w:t>
      </w:r>
      <w:r w:rsidRPr="00C33761">
        <w:rPr>
          <w:rFonts w:ascii="David" w:hAnsi="David" w:hint="cs"/>
          <w:rtl/>
        </w:rPr>
        <w:t xml:space="preserve">יִקְדָּשׁ" </w:t>
      </w:r>
      <w:r w:rsidRPr="00FB677E">
        <w:rPr>
          <w:rFonts w:ascii="David" w:hAnsi="David" w:hint="cs"/>
          <w:sz w:val="20"/>
          <w:szCs w:val="20"/>
          <w:rtl/>
        </w:rPr>
        <w:t>(ויקרא ו', יא)</w:t>
      </w:r>
      <w:r w:rsidRPr="00C33761">
        <w:rPr>
          <w:rFonts w:ascii="David" w:hAnsi="David" w:hint="cs"/>
          <w:rtl/>
        </w:rPr>
        <w:t>, הוא פסוק מכונן לפרשייה כולה</w:t>
      </w:r>
      <w:r w:rsidRPr="00C33761">
        <w:rPr>
          <w:rFonts w:ascii="David" w:hAnsi="David"/>
          <w:rtl/>
        </w:rPr>
        <w:t>.</w:t>
      </w:r>
      <w:r>
        <w:rPr>
          <w:rFonts w:ascii="David" w:hAnsi="David" w:hint="cs"/>
          <w:rtl/>
        </w:rPr>
        <w:t xml:space="preserve"> משום כך, זבח השלמים דורש התייחסות מיוחדת בפרשה זו, כי הוא הקורבן היחיד שאיננו 'קודש קודשים', וכפי שעוד נראה, ייחודיותו אכן נגזרת בפרשתנו מהגדרתו השונה.</w:t>
      </w:r>
    </w:p>
    <w:p w14:paraId="71046CD0" w14:textId="77777777" w:rsidR="00C361D9" w:rsidRPr="005612F3" w:rsidRDefault="00C361D9" w:rsidP="00984E52">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64B71" w14:textId="77777777" w:rsidR="005946C1" w:rsidRDefault="005946C1" w:rsidP="00984E52">
      <w:r>
        <w:separator/>
      </w:r>
    </w:p>
    <w:p w14:paraId="758923FC" w14:textId="77777777" w:rsidR="005946C1" w:rsidRDefault="005946C1" w:rsidP="00984E52"/>
  </w:endnote>
  <w:endnote w:type="continuationSeparator" w:id="0">
    <w:p w14:paraId="2985EFB5" w14:textId="77777777" w:rsidR="005946C1" w:rsidRDefault="005946C1" w:rsidP="00984E52">
      <w:r>
        <w:continuationSeparator/>
      </w:r>
    </w:p>
    <w:p w14:paraId="1249B2BF" w14:textId="77777777" w:rsidR="005946C1" w:rsidRDefault="005946C1"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79038" w14:textId="77777777" w:rsidR="005946C1" w:rsidRDefault="005946C1" w:rsidP="00984E52">
      <w:r>
        <w:separator/>
      </w:r>
    </w:p>
    <w:p w14:paraId="1DD46BB8" w14:textId="77777777" w:rsidR="005946C1" w:rsidRDefault="005946C1" w:rsidP="00984E52"/>
  </w:footnote>
  <w:footnote w:type="continuationSeparator" w:id="0">
    <w:p w14:paraId="083B9D13" w14:textId="77777777" w:rsidR="005946C1" w:rsidRDefault="005946C1" w:rsidP="00984E52">
      <w:r>
        <w:continuationSeparator/>
      </w:r>
    </w:p>
    <w:p w14:paraId="72059D51" w14:textId="77777777" w:rsidR="005946C1" w:rsidRDefault="005946C1" w:rsidP="00984E52"/>
  </w:footnote>
  <w:footnote w:id="1">
    <w:p w14:paraId="52193465" w14:textId="3CA80B5F" w:rsidR="005612F3" w:rsidRPr="005612F3" w:rsidRDefault="005612F3" w:rsidP="005612F3">
      <w:pPr>
        <w:pStyle w:val="a3"/>
        <w:rPr>
          <w:rtl/>
        </w:rPr>
      </w:pPr>
      <w:r w:rsidRPr="005612F3">
        <w:rPr>
          <w:rStyle w:val="a5"/>
          <w:rFonts w:eastAsia="Narkisim"/>
        </w:rPr>
        <w:footnoteRef/>
      </w:r>
      <w:r w:rsidRPr="005612F3">
        <w:rPr>
          <w:rFonts w:hint="cs"/>
          <w:rtl/>
        </w:rPr>
        <w:t xml:space="preserve"> </w:t>
      </w:r>
      <w:r>
        <w:rPr>
          <w:rtl/>
        </w:rPr>
        <w:tab/>
      </w:r>
      <w:r w:rsidRPr="005612F3">
        <w:rPr>
          <w:rFonts w:hint="cs"/>
          <w:rtl/>
        </w:rPr>
        <w:t>ספרא לפרשת צו, פר' ח', א'; זבחים דף פ"א ע"ב. יש שם גם עמדת ביניים של ר' אליעזר שסבור שהדין תקף בחטאת ובאשם, אך לא בקרבנות הנדבה.</w:t>
      </w:r>
    </w:p>
  </w:footnote>
  <w:footnote w:id="2">
    <w:p w14:paraId="53F3E58E" w14:textId="5A4926EC" w:rsidR="00AA5CD9" w:rsidRDefault="00AA5CD9" w:rsidP="00AA5CD9">
      <w:pPr>
        <w:pStyle w:val="a3"/>
      </w:pPr>
      <w:r>
        <w:rPr>
          <w:rStyle w:val="a5"/>
          <w:rFonts w:eastAsia="Narkisim"/>
        </w:rPr>
        <w:footnoteRef/>
      </w:r>
      <w:r>
        <w:rPr>
          <w:rtl/>
        </w:rPr>
        <w:t xml:space="preserve"> </w:t>
      </w:r>
      <w:r w:rsidR="00063C6D">
        <w:rPr>
          <w:rtl/>
        </w:rPr>
        <w:tab/>
      </w:r>
      <w:r>
        <w:rPr>
          <w:rFonts w:hint="cs"/>
          <w:rtl/>
        </w:rPr>
        <w:t xml:space="preserve">ר' יוסי אינו חולק על עצם הדין שחטאת חיצונה שנכנס דמה פנימה נאסרת באכילה. אך הוא סבור שהדבר לא נלמד מפסוקנו </w:t>
      </w:r>
      <w:r>
        <w:rPr>
          <w:rtl/>
        </w:rPr>
        <w:t>–</w:t>
      </w:r>
      <w:r>
        <w:rPr>
          <w:rFonts w:hint="cs"/>
          <w:rtl/>
        </w:rPr>
        <w:t xml:space="preserve"> שמדבר בחטאת פנימית </w:t>
      </w:r>
      <w:r>
        <w:rPr>
          <w:rtl/>
        </w:rPr>
        <w:t>–</w:t>
      </w:r>
      <w:r>
        <w:rPr>
          <w:rFonts w:hint="cs"/>
          <w:rtl/>
        </w:rPr>
        <w:t xml:space="preserve"> אלא מדברי משה לאהרן </w:t>
      </w:r>
      <w:proofErr w:type="spellStart"/>
      <w:r>
        <w:rPr>
          <w:rFonts w:hint="cs"/>
          <w:rtl/>
        </w:rPr>
        <w:t>בויקרא</w:t>
      </w:r>
      <w:proofErr w:type="spellEnd"/>
      <w:r>
        <w:rPr>
          <w:rFonts w:hint="cs"/>
          <w:rtl/>
        </w:rPr>
        <w:t xml:space="preserve"> י', </w:t>
      </w:r>
      <w:proofErr w:type="spellStart"/>
      <w:r>
        <w:rPr>
          <w:rFonts w:hint="cs"/>
          <w:rtl/>
        </w:rPr>
        <w:t>יח</w:t>
      </w:r>
      <w:proofErr w:type="spellEnd"/>
      <w:r>
        <w:rPr>
          <w:rFonts w:hint="cs"/>
          <w:rtl/>
        </w:rPr>
        <w:t xml:space="preserve"> (ספרא וזבחים שם)</w:t>
      </w:r>
    </w:p>
  </w:footnote>
  <w:footnote w:id="3">
    <w:p w14:paraId="3807FE34" w14:textId="7B21ED37" w:rsidR="00C97835" w:rsidRDefault="00C97835">
      <w:pPr>
        <w:pStyle w:val="a3"/>
        <w:rPr>
          <w:rtl/>
        </w:rPr>
      </w:pPr>
      <w:r>
        <w:rPr>
          <w:rStyle w:val="a5"/>
          <w:rFonts w:eastAsia="Narkisim"/>
        </w:rPr>
        <w:footnoteRef/>
      </w:r>
      <w:r>
        <w:rPr>
          <w:rtl/>
        </w:rPr>
        <w:t xml:space="preserve"> </w:t>
      </w:r>
      <w:r w:rsidR="00B607A8">
        <w:rPr>
          <w:rtl/>
        </w:rPr>
        <w:tab/>
      </w:r>
      <w:r>
        <w:rPr>
          <w:rFonts w:hint="cs"/>
          <w:rtl/>
        </w:rPr>
        <w:t xml:space="preserve">מאחר שלדעת חכמים הדם הנכנס פנימה הוא האוסר את אכילת הקורבן, והפסול איננו בבשר עצמו, אין לשרוף את בשר החטאת מיד לאחר כניסת הדם, אלא הוא טעון "עיבור צורה", כלומר יש לחכות שהבשר יתקלקל, ויש </w:t>
      </w:r>
      <w:proofErr w:type="spellStart"/>
      <w:r>
        <w:rPr>
          <w:rFonts w:hint="cs"/>
          <w:rtl/>
        </w:rPr>
        <w:t>לשורפו</w:t>
      </w:r>
      <w:proofErr w:type="spellEnd"/>
      <w:r>
        <w:rPr>
          <w:rFonts w:hint="cs"/>
          <w:rtl/>
        </w:rPr>
        <w:t xml:space="preserve"> רק למחרת. לעומתם, ר' יוסי שלומד דין זה מפסוק אחר שלא מתמקד בדם, סבור שיש לשרוף את הבשר מיד לאחר כניסת הדם (ראו בסוגיה בפסחים דף פ"ג, ע"א).</w:t>
      </w:r>
    </w:p>
  </w:footnote>
  <w:footnote w:id="4">
    <w:p w14:paraId="5CAD22F9" w14:textId="444104D9" w:rsidR="00B208F9" w:rsidRDefault="00B208F9" w:rsidP="008A1AFB">
      <w:pPr>
        <w:pStyle w:val="a3"/>
      </w:pPr>
      <w:r>
        <w:rPr>
          <w:rStyle w:val="a5"/>
          <w:rFonts w:eastAsia="Narkisim"/>
        </w:rPr>
        <w:footnoteRef/>
      </w:r>
      <w:r>
        <w:rPr>
          <w:rtl/>
        </w:rPr>
        <w:t xml:space="preserve"> </w:t>
      </w:r>
      <w:r>
        <w:rPr>
          <w:rtl/>
        </w:rPr>
        <w:tab/>
      </w:r>
      <w:r>
        <w:rPr>
          <w:rFonts w:hint="cs"/>
          <w:rtl/>
        </w:rPr>
        <w:t xml:space="preserve">לאור כך נראה יותר שיש לאחוז בדעת ר' שמעון, שרק אם הדם הוזה בפנים </w:t>
      </w:r>
      <w:r w:rsidR="008A1AFB">
        <w:rPr>
          <w:rFonts w:hint="cs"/>
          <w:rtl/>
        </w:rPr>
        <w:t xml:space="preserve">נאסר </w:t>
      </w:r>
      <w:r>
        <w:rPr>
          <w:rFonts w:hint="cs"/>
          <w:rtl/>
        </w:rPr>
        <w:t xml:space="preserve">הקורבן באכילה. אך אם הדם נכנס פנימה ולבסוף לא הוזה </w:t>
      </w:r>
      <w:r>
        <w:rPr>
          <w:rtl/>
        </w:rPr>
        <w:t>–</w:t>
      </w:r>
      <w:r>
        <w:rPr>
          <w:rFonts w:hint="cs"/>
          <w:rtl/>
        </w:rPr>
        <w:t xml:space="preserve"> הקורבן לא נאסר </w:t>
      </w:r>
      <w:r w:rsidRPr="008A1AFB">
        <w:rPr>
          <w:rFonts w:hint="cs"/>
          <w:sz w:val="16"/>
          <w:szCs w:val="16"/>
          <w:rtl/>
        </w:rPr>
        <w:t>(זבחים דף פ"ג ע"א. חולק על כך ר' אליעזר)</w:t>
      </w:r>
      <w:r>
        <w:rPr>
          <w:rFonts w:hint="cs"/>
          <w:rtl/>
        </w:rPr>
        <w:t>. בהזאת דם החטאת בפנים, ניתק הכ</w:t>
      </w:r>
      <w:r w:rsidR="008A1AFB">
        <w:rPr>
          <w:rFonts w:hint="cs"/>
          <w:rtl/>
        </w:rPr>
        <w:t>ו</w:t>
      </w:r>
      <w:r>
        <w:rPr>
          <w:rFonts w:hint="cs"/>
          <w:rtl/>
        </w:rPr>
        <w:t xml:space="preserve">הן את הקורבן מיעדו הראשוני </w:t>
      </w:r>
      <w:r>
        <w:rPr>
          <w:rtl/>
        </w:rPr>
        <w:t>–</w:t>
      </w:r>
      <w:r>
        <w:rPr>
          <w:rFonts w:hint="cs"/>
          <w:rtl/>
        </w:rPr>
        <w:t xml:space="preserve"> המזבח החיצוני, וקבע לו ייעוד אחר, בפנים. בעצם כניסת הדם אל תחומי המשכן, הדם עדיין לא פעל פעולת חיטוי.</w:t>
      </w:r>
    </w:p>
  </w:footnote>
  <w:footnote w:id="5">
    <w:p w14:paraId="2BFBF9EF" w14:textId="66417420" w:rsidR="005612F3" w:rsidRPr="005612F3" w:rsidRDefault="005612F3" w:rsidP="005612F3">
      <w:pPr>
        <w:pStyle w:val="a3"/>
        <w:rPr>
          <w:rtl/>
        </w:rPr>
      </w:pPr>
      <w:r w:rsidRPr="005612F3">
        <w:rPr>
          <w:rStyle w:val="a5"/>
          <w:rFonts w:eastAsia="Narkisim"/>
        </w:rPr>
        <w:footnoteRef/>
      </w:r>
      <w:r w:rsidRPr="005612F3">
        <w:rPr>
          <w:rFonts w:hint="cs"/>
          <w:rtl/>
        </w:rPr>
        <w:t xml:space="preserve"> </w:t>
      </w:r>
      <w:r>
        <w:rPr>
          <w:rtl/>
        </w:rPr>
        <w:tab/>
      </w:r>
      <w:r w:rsidRPr="005612F3">
        <w:rPr>
          <w:rFonts w:hint="cs"/>
          <w:rtl/>
        </w:rPr>
        <w:t xml:space="preserve">כך עולה למשל מדברי </w:t>
      </w:r>
      <w:proofErr w:type="spellStart"/>
      <w:r w:rsidRPr="005612F3">
        <w:rPr>
          <w:rFonts w:hint="cs"/>
          <w:rtl/>
        </w:rPr>
        <w:t>הספרא</w:t>
      </w:r>
      <w:proofErr w:type="spellEnd"/>
      <w:r w:rsidRPr="005612F3">
        <w:rPr>
          <w:rFonts w:hint="cs"/>
          <w:rtl/>
        </w:rPr>
        <w:t>: "'ב</w:t>
      </w:r>
      <w:r w:rsidRPr="005612F3">
        <w:rPr>
          <w:rtl/>
        </w:rPr>
        <w:t>גד</w:t>
      </w:r>
      <w:r w:rsidRPr="005612F3">
        <w:rPr>
          <w:rFonts w:hint="cs"/>
          <w:rtl/>
        </w:rPr>
        <w:t xml:space="preserve">' </w:t>
      </w:r>
      <w:r w:rsidRPr="005612F3">
        <w:rPr>
          <w:rtl/>
        </w:rPr>
        <w:t>– אין לי אלא בגד מנין לרבות העור משהופשט</w:t>
      </w:r>
      <w:r w:rsidRPr="005612F3">
        <w:rPr>
          <w:rFonts w:hint="cs"/>
          <w:rtl/>
        </w:rPr>
        <w:t>?</w:t>
      </w:r>
      <w:r w:rsidRPr="005612F3">
        <w:rPr>
          <w:rtl/>
        </w:rPr>
        <w:t xml:space="preserve"> תלמוד לומר אשר יזה עליה תכבס</w:t>
      </w:r>
      <w:r w:rsidRPr="005612F3">
        <w:rPr>
          <w:rFonts w:hint="cs"/>
          <w:rtl/>
        </w:rPr>
        <w:t>.</w:t>
      </w:r>
      <w:r w:rsidRPr="005612F3">
        <w:rPr>
          <w:rtl/>
        </w:rPr>
        <w:t xml:space="preserve"> יכול שאני מרבה את העור עד שלא הופשט</w:t>
      </w:r>
      <w:r w:rsidRPr="005612F3">
        <w:rPr>
          <w:rFonts w:hint="cs"/>
          <w:rtl/>
        </w:rPr>
        <w:t>?</w:t>
      </w:r>
      <w:r w:rsidRPr="005612F3">
        <w:rPr>
          <w:rtl/>
        </w:rPr>
        <w:t xml:space="preserve"> תלמוד לומר </w:t>
      </w:r>
      <w:r w:rsidRPr="005612F3">
        <w:rPr>
          <w:rFonts w:hint="cs"/>
          <w:rtl/>
        </w:rPr>
        <w:t>'</w:t>
      </w:r>
      <w:r w:rsidRPr="005612F3">
        <w:rPr>
          <w:rtl/>
        </w:rPr>
        <w:t>בגד</w:t>
      </w:r>
      <w:r w:rsidRPr="005612F3">
        <w:rPr>
          <w:rFonts w:hint="cs"/>
          <w:rtl/>
        </w:rPr>
        <w:t xml:space="preserve">' </w:t>
      </w:r>
      <w:r w:rsidRPr="005612F3">
        <w:rPr>
          <w:rtl/>
        </w:rPr>
        <w:t>– מה בגד ראוי לקבל טומאה אף כל ראוי לקבל טומאה</w:t>
      </w:r>
      <w:r w:rsidRPr="005612F3">
        <w:rPr>
          <w:rFonts w:hint="cs"/>
          <w:rtl/>
        </w:rPr>
        <w:t>,</w:t>
      </w:r>
      <w:r w:rsidRPr="005612F3">
        <w:rPr>
          <w:rtl/>
        </w:rPr>
        <w:t xml:space="preserve"> פרט לעור עד שלא הופשט</w:t>
      </w:r>
      <w:r w:rsidRPr="005612F3">
        <w:rPr>
          <w:rFonts w:hint="cs"/>
          <w:rtl/>
        </w:rPr>
        <w:t>,</w:t>
      </w:r>
      <w:r w:rsidRPr="005612F3">
        <w:rPr>
          <w:rtl/>
        </w:rPr>
        <w:t xml:space="preserve"> דברי רבי יהודה</w:t>
      </w:r>
      <w:r w:rsidRPr="005612F3">
        <w:rPr>
          <w:rFonts w:hint="cs"/>
          <w:rtl/>
        </w:rPr>
        <w:t>.</w:t>
      </w:r>
      <w:r w:rsidRPr="005612F3">
        <w:rPr>
          <w:rtl/>
        </w:rPr>
        <w:t xml:space="preserve"> רבי אלעזר אומר</w:t>
      </w:r>
      <w:r w:rsidRPr="005612F3">
        <w:rPr>
          <w:rFonts w:hint="cs"/>
          <w:rtl/>
        </w:rPr>
        <w:t>:</w:t>
      </w:r>
      <w:r w:rsidRPr="005612F3">
        <w:rPr>
          <w:rtl/>
        </w:rPr>
        <w:t xml:space="preserve"> </w:t>
      </w:r>
      <w:r w:rsidRPr="005612F3">
        <w:rPr>
          <w:rFonts w:hint="cs"/>
          <w:rtl/>
        </w:rPr>
        <w:t>'</w:t>
      </w:r>
      <w:r w:rsidRPr="005612F3">
        <w:rPr>
          <w:rtl/>
        </w:rPr>
        <w:t>בגד</w:t>
      </w:r>
      <w:r w:rsidRPr="005612F3">
        <w:rPr>
          <w:rFonts w:hint="cs"/>
          <w:rtl/>
        </w:rPr>
        <w:t xml:space="preserve">' </w:t>
      </w:r>
      <w:r w:rsidRPr="005612F3">
        <w:rPr>
          <w:rtl/>
        </w:rPr>
        <w:t>– אין לי אלא בגד</w:t>
      </w:r>
      <w:r w:rsidRPr="005612F3">
        <w:rPr>
          <w:rFonts w:hint="cs"/>
          <w:rtl/>
        </w:rPr>
        <w:t>,</w:t>
      </w:r>
      <w:r w:rsidRPr="005612F3">
        <w:rPr>
          <w:rtl/>
        </w:rPr>
        <w:t xml:space="preserve"> מנין לרבות את השק וכל דבר שמקבל טומאה</w:t>
      </w:r>
      <w:r w:rsidRPr="005612F3">
        <w:rPr>
          <w:rFonts w:hint="cs"/>
          <w:rtl/>
        </w:rPr>
        <w:t>?</w:t>
      </w:r>
      <w:r w:rsidRPr="005612F3">
        <w:rPr>
          <w:rtl/>
        </w:rPr>
        <w:t xml:space="preserve"> תלמוד לומר </w:t>
      </w:r>
      <w:r w:rsidRPr="005612F3">
        <w:rPr>
          <w:rFonts w:hint="cs"/>
          <w:rtl/>
        </w:rPr>
        <w:t>'</w:t>
      </w:r>
      <w:r w:rsidRPr="005612F3">
        <w:rPr>
          <w:rtl/>
        </w:rPr>
        <w:t>אשר יזה עליה תכבס</w:t>
      </w:r>
      <w:r w:rsidRPr="005612F3">
        <w:rPr>
          <w:rFonts w:hint="cs"/>
          <w:rtl/>
        </w:rPr>
        <w:t>'</w:t>
      </w:r>
      <w:r w:rsidRPr="005612F3">
        <w:rPr>
          <w:rtl/>
        </w:rPr>
        <w:t>. יכול שאני מרבה את העור עד שלא הופשט</w:t>
      </w:r>
      <w:r w:rsidRPr="005612F3">
        <w:rPr>
          <w:rFonts w:hint="cs"/>
          <w:rtl/>
        </w:rPr>
        <w:t>?</w:t>
      </w:r>
      <w:r w:rsidRPr="005612F3">
        <w:rPr>
          <w:rtl/>
        </w:rPr>
        <w:t xml:space="preserve"> תלמוד לומר </w:t>
      </w:r>
      <w:r w:rsidRPr="005612F3">
        <w:rPr>
          <w:rFonts w:hint="cs"/>
          <w:rtl/>
        </w:rPr>
        <w:t>'</w:t>
      </w:r>
      <w:r w:rsidRPr="005612F3">
        <w:rPr>
          <w:rtl/>
        </w:rPr>
        <w:t>בגד</w:t>
      </w:r>
      <w:r w:rsidRPr="005612F3">
        <w:rPr>
          <w:rFonts w:hint="cs"/>
          <w:rtl/>
        </w:rPr>
        <w:t xml:space="preserve">' </w:t>
      </w:r>
      <w:r w:rsidRPr="005612F3">
        <w:rPr>
          <w:rtl/>
        </w:rPr>
        <w:t>– מה בגד מיוחד לקבל טומאה וראוי לכיבוס אף כל המקבל טומאה</w:t>
      </w:r>
      <w:r w:rsidRPr="005612F3">
        <w:rPr>
          <w:rFonts w:hint="cs"/>
          <w:rtl/>
        </w:rPr>
        <w:t>,</w:t>
      </w:r>
      <w:r w:rsidRPr="005612F3">
        <w:rPr>
          <w:rtl/>
        </w:rPr>
        <w:t xml:space="preserve"> יצא דבר שאין ראוי לקבל טומאה ואין ראוי לכיבוס</w:t>
      </w:r>
      <w:r w:rsidRPr="005612F3">
        <w:rPr>
          <w:rFonts w:hint="cs"/>
          <w:rtl/>
        </w:rPr>
        <w:t xml:space="preserve">" </w:t>
      </w:r>
      <w:r w:rsidRPr="00FB677E">
        <w:rPr>
          <w:rFonts w:hint="cs"/>
          <w:sz w:val="16"/>
          <w:szCs w:val="16"/>
          <w:rtl/>
        </w:rPr>
        <w:t>(ספרא, צו, פר' ג', ו')</w:t>
      </w:r>
      <w:r w:rsidRPr="005612F3">
        <w:rPr>
          <w:rtl/>
        </w:rPr>
        <w:t>.</w:t>
      </w:r>
      <w:r w:rsidRPr="005612F3">
        <w:rPr>
          <w:rFonts w:hint="cs"/>
          <w:rtl/>
        </w:rPr>
        <w:t xml:space="preserve"> גם מבלי להיכנס לעובי הדיון של </w:t>
      </w:r>
      <w:proofErr w:type="spellStart"/>
      <w:r w:rsidRPr="005612F3">
        <w:rPr>
          <w:rFonts w:hint="cs"/>
          <w:rtl/>
        </w:rPr>
        <w:t>הספרא</w:t>
      </w:r>
      <w:proofErr w:type="spellEnd"/>
      <w:r w:rsidRPr="005612F3">
        <w:rPr>
          <w:rFonts w:hint="cs"/>
          <w:rtl/>
        </w:rPr>
        <w:t>, ניכר שיש כאן העתקה של הפסוקים ממושגי קדושה למושגי טומאה וטהרה.</w:t>
      </w:r>
    </w:p>
  </w:footnote>
  <w:footnote w:id="6">
    <w:p w14:paraId="7CB01E3C" w14:textId="3400D390" w:rsidR="005612F3" w:rsidRPr="005612F3" w:rsidRDefault="005612F3" w:rsidP="005612F3">
      <w:pPr>
        <w:pStyle w:val="a3"/>
        <w:rPr>
          <w:rtl/>
        </w:rPr>
      </w:pPr>
      <w:r w:rsidRPr="005612F3">
        <w:rPr>
          <w:rStyle w:val="a5"/>
          <w:rFonts w:eastAsia="Narkisim"/>
        </w:rPr>
        <w:footnoteRef/>
      </w:r>
      <w:r>
        <w:rPr>
          <w:rtl/>
        </w:rPr>
        <w:tab/>
      </w:r>
      <w:r w:rsidRPr="005612F3">
        <w:rPr>
          <w:rFonts w:hint="cs"/>
          <w:rtl/>
        </w:rPr>
        <w:t xml:space="preserve">בדרך דומה הלך גם </w:t>
      </w:r>
      <w:proofErr w:type="spellStart"/>
      <w:r w:rsidRPr="005612F3">
        <w:rPr>
          <w:rFonts w:hint="cs"/>
          <w:rtl/>
        </w:rPr>
        <w:t>מילגרום</w:t>
      </w:r>
      <w:proofErr w:type="spellEnd"/>
      <w:r w:rsidRPr="005612F3">
        <w:rPr>
          <w:rFonts w:hint="cs"/>
          <w:rtl/>
        </w:rPr>
        <w:t>, ויקרא, כרך א, עמ' 403.</w:t>
      </w:r>
    </w:p>
  </w:footnote>
  <w:footnote w:id="7">
    <w:p w14:paraId="0B84F0E4" w14:textId="1EC0FFF3" w:rsidR="005612F3" w:rsidRPr="005612F3" w:rsidRDefault="005612F3" w:rsidP="005612F3">
      <w:pPr>
        <w:pStyle w:val="a3"/>
      </w:pPr>
      <w:r w:rsidRPr="005612F3">
        <w:rPr>
          <w:rStyle w:val="a5"/>
          <w:rFonts w:eastAsia="Narkisim"/>
        </w:rPr>
        <w:footnoteRef/>
      </w:r>
      <w:r w:rsidRPr="005612F3">
        <w:rPr>
          <w:rtl/>
        </w:rPr>
        <w:t xml:space="preserve"> </w:t>
      </w:r>
      <w:r>
        <w:rPr>
          <w:rtl/>
        </w:rPr>
        <w:tab/>
      </w:r>
      <w:r w:rsidRPr="005612F3">
        <w:rPr>
          <w:rFonts w:hint="cs"/>
          <w:rtl/>
        </w:rPr>
        <w:t xml:space="preserve">לקריאה אחרת ראו אצל </w:t>
      </w:r>
      <w:proofErr w:type="spellStart"/>
      <w:r w:rsidRPr="005612F3">
        <w:rPr>
          <w:rFonts w:hint="cs"/>
          <w:rtl/>
        </w:rPr>
        <w:t>רד"צ</w:t>
      </w:r>
      <w:proofErr w:type="spellEnd"/>
      <w:r w:rsidRPr="005612F3">
        <w:rPr>
          <w:rFonts w:hint="cs"/>
          <w:rtl/>
        </w:rPr>
        <w:t xml:space="preserve"> הופמן, ויקרא, חלק א, עמ' </w:t>
      </w:r>
      <w:proofErr w:type="spellStart"/>
      <w:r w:rsidRPr="005612F3">
        <w:rPr>
          <w:rFonts w:hint="cs"/>
          <w:rtl/>
        </w:rPr>
        <w:t>קסח</w:t>
      </w:r>
      <w:proofErr w:type="spellEnd"/>
      <w:r w:rsidRPr="005612F3">
        <w:rPr>
          <w:rFonts w:hint="cs"/>
          <w:rtl/>
        </w:rPr>
        <w:t>.</w:t>
      </w:r>
    </w:p>
  </w:footnote>
  <w:footnote w:id="8">
    <w:p w14:paraId="061A0F82" w14:textId="6D27CF70" w:rsidR="005612F3" w:rsidRPr="005612F3" w:rsidRDefault="005612F3" w:rsidP="005612F3">
      <w:pPr>
        <w:pStyle w:val="a3"/>
      </w:pPr>
      <w:r w:rsidRPr="005612F3">
        <w:rPr>
          <w:rStyle w:val="a5"/>
          <w:rFonts w:eastAsia="Narkisim"/>
        </w:rPr>
        <w:footnoteRef/>
      </w:r>
      <w:r w:rsidRPr="005612F3">
        <w:rPr>
          <w:rtl/>
        </w:rPr>
        <w:t xml:space="preserve"> </w:t>
      </w:r>
      <w:r>
        <w:rPr>
          <w:rtl/>
        </w:rPr>
        <w:tab/>
      </w:r>
      <w:r w:rsidRPr="005612F3">
        <w:rPr>
          <w:rFonts w:hint="cs"/>
          <w:rtl/>
        </w:rPr>
        <w:t xml:space="preserve">חז"ל ביארו שדין הכיבוס רלוונטי דווקא לדם חטאת ולא לשאר קרבנות (לאחר התלבטות ודרשות מגוונת </w:t>
      </w:r>
      <w:r w:rsidRPr="005612F3">
        <w:rPr>
          <w:rtl/>
        </w:rPr>
        <w:t>–</w:t>
      </w:r>
      <w:r w:rsidRPr="005612F3">
        <w:rPr>
          <w:rFonts w:hint="cs"/>
          <w:rtl/>
        </w:rPr>
        <w:t xml:space="preserve"> ראו פסחים דף פ"ב ע"א). ניתן גם לקרוא דין זה כרלוונטי בכל קורבנות קודשי קודשים ושהוא נזכר בחטאת כדוגמה, אולם קריאת חז"ל מתאימה לאופי המיוחד של דם החטאת שתפקידו לחטא ושאיננו ניתן כמתנה לגבוה.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175C37">
      <w:rPr>
        <w:noProof/>
        <w:rtl/>
      </w:rPr>
      <w:t>3</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E70A47"/>
    <w:multiLevelType w:val="hybridMultilevel"/>
    <w:tmpl w:val="5BF09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2">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7"/>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2"/>
  </w:num>
  <w:num w:numId="15">
    <w:abstractNumId w:val="26"/>
  </w:num>
  <w:num w:numId="16">
    <w:abstractNumId w:val="18"/>
  </w:num>
  <w:num w:numId="17">
    <w:abstractNumId w:val="36"/>
  </w:num>
  <w:num w:numId="18">
    <w:abstractNumId w:val="20"/>
  </w:num>
  <w:num w:numId="19">
    <w:abstractNumId w:val="10"/>
  </w:num>
  <w:num w:numId="20">
    <w:abstractNumId w:val="33"/>
  </w:num>
  <w:num w:numId="21">
    <w:abstractNumId w:val="30"/>
  </w:num>
  <w:num w:numId="22">
    <w:abstractNumId w:val="9"/>
  </w:num>
  <w:num w:numId="23">
    <w:abstractNumId w:val="35"/>
  </w:num>
  <w:num w:numId="24">
    <w:abstractNumId w:val="34"/>
  </w:num>
  <w:num w:numId="25">
    <w:abstractNumId w:val="19"/>
  </w:num>
  <w:num w:numId="26">
    <w:abstractNumId w:val="17"/>
  </w:num>
  <w:num w:numId="27">
    <w:abstractNumId w:val="3"/>
  </w:num>
  <w:num w:numId="28">
    <w:abstractNumId w:val="21"/>
  </w:num>
  <w:num w:numId="29">
    <w:abstractNumId w:val="31"/>
  </w:num>
  <w:num w:numId="30">
    <w:abstractNumId w:val="7"/>
  </w:num>
  <w:num w:numId="31">
    <w:abstractNumId w:val="11"/>
  </w:num>
  <w:num w:numId="32">
    <w:abstractNumId w:val="24"/>
  </w:num>
  <w:num w:numId="33">
    <w:abstractNumId w:val="0"/>
  </w:num>
  <w:num w:numId="34">
    <w:abstractNumId w:val="29"/>
  </w:num>
  <w:num w:numId="35">
    <w:abstractNumId w:val="16"/>
  </w:num>
  <w:num w:numId="36">
    <w:abstractNumId w:val="13"/>
  </w:num>
  <w:num w:numId="37">
    <w:abstractNumId w:val="12"/>
  </w:num>
  <w:num w:numId="38">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6A2C"/>
    <w:rsid w:val="00017774"/>
    <w:rsid w:val="00017E6D"/>
    <w:rsid w:val="00021ADE"/>
    <w:rsid w:val="00022A1A"/>
    <w:rsid w:val="00026734"/>
    <w:rsid w:val="000268F4"/>
    <w:rsid w:val="00031797"/>
    <w:rsid w:val="00032E49"/>
    <w:rsid w:val="00034C35"/>
    <w:rsid w:val="00040A12"/>
    <w:rsid w:val="00042703"/>
    <w:rsid w:val="00043F83"/>
    <w:rsid w:val="00047072"/>
    <w:rsid w:val="00056413"/>
    <w:rsid w:val="00057741"/>
    <w:rsid w:val="000601FE"/>
    <w:rsid w:val="00062C83"/>
    <w:rsid w:val="0006305C"/>
    <w:rsid w:val="00063C6D"/>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1C59"/>
    <w:rsid w:val="000B4AA4"/>
    <w:rsid w:val="000B59A2"/>
    <w:rsid w:val="000C211A"/>
    <w:rsid w:val="000C5EDE"/>
    <w:rsid w:val="000D14EE"/>
    <w:rsid w:val="000D150D"/>
    <w:rsid w:val="000D1DEC"/>
    <w:rsid w:val="000D25BF"/>
    <w:rsid w:val="000D2F68"/>
    <w:rsid w:val="000D4260"/>
    <w:rsid w:val="000D7F0C"/>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C5B"/>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C37"/>
    <w:rsid w:val="00175D42"/>
    <w:rsid w:val="001771DB"/>
    <w:rsid w:val="001820F1"/>
    <w:rsid w:val="001852B1"/>
    <w:rsid w:val="0018776A"/>
    <w:rsid w:val="00190FEA"/>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164"/>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454FB"/>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B7985"/>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32A56"/>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E4AEF"/>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0776"/>
    <w:rsid w:val="00532CC6"/>
    <w:rsid w:val="00533123"/>
    <w:rsid w:val="005342F8"/>
    <w:rsid w:val="00537C4E"/>
    <w:rsid w:val="005424F3"/>
    <w:rsid w:val="005427CB"/>
    <w:rsid w:val="00542CE3"/>
    <w:rsid w:val="005515D3"/>
    <w:rsid w:val="005559A7"/>
    <w:rsid w:val="00556775"/>
    <w:rsid w:val="00557B56"/>
    <w:rsid w:val="00560304"/>
    <w:rsid w:val="005612F3"/>
    <w:rsid w:val="005615C3"/>
    <w:rsid w:val="00563D4C"/>
    <w:rsid w:val="00570081"/>
    <w:rsid w:val="0057194E"/>
    <w:rsid w:val="00573B7B"/>
    <w:rsid w:val="00575C0F"/>
    <w:rsid w:val="00576198"/>
    <w:rsid w:val="00576A9E"/>
    <w:rsid w:val="00581F75"/>
    <w:rsid w:val="0058338B"/>
    <w:rsid w:val="005847F6"/>
    <w:rsid w:val="00587E20"/>
    <w:rsid w:val="00587EE2"/>
    <w:rsid w:val="005932A1"/>
    <w:rsid w:val="005946C1"/>
    <w:rsid w:val="005946FD"/>
    <w:rsid w:val="00594DAB"/>
    <w:rsid w:val="005964B2"/>
    <w:rsid w:val="005970EF"/>
    <w:rsid w:val="0059787B"/>
    <w:rsid w:val="005A009C"/>
    <w:rsid w:val="005A0904"/>
    <w:rsid w:val="005A2485"/>
    <w:rsid w:val="005A4E5A"/>
    <w:rsid w:val="005A5215"/>
    <w:rsid w:val="005B08DB"/>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2A9D"/>
    <w:rsid w:val="00632DE8"/>
    <w:rsid w:val="006336C5"/>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A5E"/>
    <w:rsid w:val="00660BA1"/>
    <w:rsid w:val="00660BD6"/>
    <w:rsid w:val="00660BFA"/>
    <w:rsid w:val="00663423"/>
    <w:rsid w:val="00664526"/>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1B"/>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F0018"/>
    <w:rsid w:val="006F016B"/>
    <w:rsid w:val="006F20BC"/>
    <w:rsid w:val="006F3743"/>
    <w:rsid w:val="006F5957"/>
    <w:rsid w:val="006F77DB"/>
    <w:rsid w:val="006F7B26"/>
    <w:rsid w:val="006F7FE3"/>
    <w:rsid w:val="007008D0"/>
    <w:rsid w:val="00701021"/>
    <w:rsid w:val="00701DF9"/>
    <w:rsid w:val="00702359"/>
    <w:rsid w:val="00706365"/>
    <w:rsid w:val="007071A9"/>
    <w:rsid w:val="00710F7F"/>
    <w:rsid w:val="00711334"/>
    <w:rsid w:val="007115F7"/>
    <w:rsid w:val="00715E94"/>
    <w:rsid w:val="0072125D"/>
    <w:rsid w:val="007221DE"/>
    <w:rsid w:val="00723694"/>
    <w:rsid w:val="00726594"/>
    <w:rsid w:val="00726821"/>
    <w:rsid w:val="00726C97"/>
    <w:rsid w:val="00731FFA"/>
    <w:rsid w:val="00732736"/>
    <w:rsid w:val="00737519"/>
    <w:rsid w:val="00740096"/>
    <w:rsid w:val="00743AC7"/>
    <w:rsid w:val="0074567B"/>
    <w:rsid w:val="00754383"/>
    <w:rsid w:val="00755D64"/>
    <w:rsid w:val="00757344"/>
    <w:rsid w:val="00760C49"/>
    <w:rsid w:val="007633BC"/>
    <w:rsid w:val="007652A2"/>
    <w:rsid w:val="007664B8"/>
    <w:rsid w:val="0076779A"/>
    <w:rsid w:val="00770158"/>
    <w:rsid w:val="00772EFB"/>
    <w:rsid w:val="00773454"/>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419B"/>
    <w:rsid w:val="008945B7"/>
    <w:rsid w:val="00895B8B"/>
    <w:rsid w:val="00896063"/>
    <w:rsid w:val="00897D94"/>
    <w:rsid w:val="008A0C18"/>
    <w:rsid w:val="008A1AFB"/>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593B"/>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78F6"/>
    <w:rsid w:val="009A0FB2"/>
    <w:rsid w:val="009A1BFD"/>
    <w:rsid w:val="009A3A51"/>
    <w:rsid w:val="009A5CB0"/>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18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3BDB"/>
    <w:rsid w:val="00A54CC4"/>
    <w:rsid w:val="00A55985"/>
    <w:rsid w:val="00A57682"/>
    <w:rsid w:val="00A61CC1"/>
    <w:rsid w:val="00A65685"/>
    <w:rsid w:val="00A65CE5"/>
    <w:rsid w:val="00A67047"/>
    <w:rsid w:val="00A67CE0"/>
    <w:rsid w:val="00A7069D"/>
    <w:rsid w:val="00A70ABB"/>
    <w:rsid w:val="00A7465C"/>
    <w:rsid w:val="00A7495E"/>
    <w:rsid w:val="00A74AB1"/>
    <w:rsid w:val="00A828AD"/>
    <w:rsid w:val="00A837BF"/>
    <w:rsid w:val="00A84AC7"/>
    <w:rsid w:val="00A851A9"/>
    <w:rsid w:val="00A86477"/>
    <w:rsid w:val="00A86F24"/>
    <w:rsid w:val="00A92C0A"/>
    <w:rsid w:val="00A95BD5"/>
    <w:rsid w:val="00A96885"/>
    <w:rsid w:val="00AA284F"/>
    <w:rsid w:val="00AA2E53"/>
    <w:rsid w:val="00AA4FCC"/>
    <w:rsid w:val="00AA5CD9"/>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08F9"/>
    <w:rsid w:val="00B24B4D"/>
    <w:rsid w:val="00B25AB3"/>
    <w:rsid w:val="00B265C9"/>
    <w:rsid w:val="00B307A7"/>
    <w:rsid w:val="00B3187E"/>
    <w:rsid w:val="00B3255D"/>
    <w:rsid w:val="00B32D38"/>
    <w:rsid w:val="00B343A5"/>
    <w:rsid w:val="00B343B7"/>
    <w:rsid w:val="00B34BF1"/>
    <w:rsid w:val="00B35366"/>
    <w:rsid w:val="00B35C47"/>
    <w:rsid w:val="00B36EAE"/>
    <w:rsid w:val="00B404B0"/>
    <w:rsid w:val="00B46B08"/>
    <w:rsid w:val="00B506C1"/>
    <w:rsid w:val="00B54C6C"/>
    <w:rsid w:val="00B5550A"/>
    <w:rsid w:val="00B571D5"/>
    <w:rsid w:val="00B602E5"/>
    <w:rsid w:val="00B607A8"/>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5418"/>
    <w:rsid w:val="00BC6202"/>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3768"/>
    <w:rsid w:val="00C26085"/>
    <w:rsid w:val="00C26719"/>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835"/>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0B3"/>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D9"/>
    <w:rsid w:val="00DF4FF7"/>
    <w:rsid w:val="00DF5A0E"/>
    <w:rsid w:val="00DF5E95"/>
    <w:rsid w:val="00E00BC5"/>
    <w:rsid w:val="00E011B4"/>
    <w:rsid w:val="00E01E90"/>
    <w:rsid w:val="00E03ABB"/>
    <w:rsid w:val="00E06D13"/>
    <w:rsid w:val="00E0740F"/>
    <w:rsid w:val="00E10606"/>
    <w:rsid w:val="00E10B62"/>
    <w:rsid w:val="00E10C99"/>
    <w:rsid w:val="00E10E63"/>
    <w:rsid w:val="00E127D3"/>
    <w:rsid w:val="00E17D16"/>
    <w:rsid w:val="00E17E55"/>
    <w:rsid w:val="00E25294"/>
    <w:rsid w:val="00E27AFE"/>
    <w:rsid w:val="00E31AC1"/>
    <w:rsid w:val="00E33C36"/>
    <w:rsid w:val="00E4130F"/>
    <w:rsid w:val="00E413D7"/>
    <w:rsid w:val="00E41518"/>
    <w:rsid w:val="00E41D93"/>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A7067"/>
    <w:rsid w:val="00EA7715"/>
    <w:rsid w:val="00EB0485"/>
    <w:rsid w:val="00EB058B"/>
    <w:rsid w:val="00EB49E3"/>
    <w:rsid w:val="00EB5D69"/>
    <w:rsid w:val="00EB5DCB"/>
    <w:rsid w:val="00EB70DE"/>
    <w:rsid w:val="00EB784D"/>
    <w:rsid w:val="00EC4BD1"/>
    <w:rsid w:val="00EC4F4D"/>
    <w:rsid w:val="00EC5515"/>
    <w:rsid w:val="00ED2139"/>
    <w:rsid w:val="00ED250F"/>
    <w:rsid w:val="00ED41CC"/>
    <w:rsid w:val="00ED45FA"/>
    <w:rsid w:val="00ED5420"/>
    <w:rsid w:val="00ED65D4"/>
    <w:rsid w:val="00ED6810"/>
    <w:rsid w:val="00ED705C"/>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1BCE"/>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677E"/>
    <w:rsid w:val="00FB704F"/>
    <w:rsid w:val="00FC05EF"/>
    <w:rsid w:val="00FC0858"/>
    <w:rsid w:val="00FC42D1"/>
    <w:rsid w:val="00FC75F5"/>
    <w:rsid w:val="00FD0DE4"/>
    <w:rsid w:val="00FD1479"/>
    <w:rsid w:val="00FD44A7"/>
    <w:rsid w:val="00FD5220"/>
    <w:rsid w:val="00FD5983"/>
    <w:rsid w:val="00FD765F"/>
    <w:rsid w:val="00FD7FCE"/>
    <w:rsid w:val="00FE0993"/>
    <w:rsid w:val="00FE1880"/>
    <w:rsid w:val="00FE203F"/>
    <w:rsid w:val="00FE652F"/>
    <w:rsid w:val="00FE79B3"/>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036CD"/>
  <w15:docId w15:val="{DBDF7A91-5808-4043-8336-17D1718F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ED6C-2268-4910-AB46-F28E7071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6705</Characters>
  <Application>Microsoft Office Word</Application>
  <DocSecurity>0</DocSecurity>
  <Lines>55</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8029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דבורה ברקוביץ</cp:lastModifiedBy>
  <cp:revision>2</cp:revision>
  <cp:lastPrinted>2001-10-24T10:13:00Z</cp:lastPrinted>
  <dcterms:created xsi:type="dcterms:W3CDTF">2019-01-20T13:22:00Z</dcterms:created>
  <dcterms:modified xsi:type="dcterms:W3CDTF">2019-01-20T13:22:00Z</dcterms:modified>
</cp:coreProperties>
</file>