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48565E">
      <w:pPr>
        <w:pStyle w:val="a8"/>
        <w:rPr>
          <w:rtl/>
        </w:rPr>
      </w:pPr>
      <w:r>
        <w:rPr>
          <w:rtl/>
        </w:rPr>
        <w:t xml:space="preserve">הרב </w:t>
      </w:r>
      <w:r w:rsidR="0048565E">
        <w:rPr>
          <w:rFonts w:hint="cs"/>
          <w:rtl/>
        </w:rPr>
        <w:t>יעקב מדן</w:t>
      </w:r>
    </w:p>
    <w:p w:rsidR="00FA7791" w:rsidRDefault="00FA7791" w:rsidP="00AC35CD">
      <w:pPr>
        <w:pStyle w:val="a8"/>
        <w:rPr>
          <w:rtl/>
        </w:rPr>
      </w:pPr>
      <w:r>
        <w:rPr>
          <w:rtl/>
        </w:rPr>
        <w:t xml:space="preserve">שיחה </w:t>
      </w:r>
      <w:r w:rsidR="00AC35CD">
        <w:rPr>
          <w:rFonts w:hint="cs"/>
          <w:rtl/>
        </w:rPr>
        <w:t>לקראת יום הכיפורים</w:t>
      </w:r>
    </w:p>
    <w:p w:rsidR="00FA7791" w:rsidRPr="00835E24" w:rsidRDefault="0048565E" w:rsidP="00826B46">
      <w:pPr>
        <w:pStyle w:val="1"/>
        <w:rPr>
          <w:rtl/>
        </w:rPr>
      </w:pPr>
      <w:bookmarkStart w:id="0" w:name="OLE_LINK1"/>
      <w:r>
        <w:rPr>
          <w:rFonts w:hint="cs"/>
          <w:sz w:val="36"/>
          <w:szCs w:val="36"/>
          <w:rtl/>
        </w:rPr>
        <w:t>על התשובה</w:t>
      </w:r>
      <w:r w:rsidR="00FA7791" w:rsidRPr="00835E24">
        <w:rPr>
          <w:rStyle w:val="a5"/>
          <w:rtl/>
        </w:rPr>
        <w:footnoteReference w:customMarkFollows="1" w:id="1"/>
        <w:t>*</w:t>
      </w:r>
    </w:p>
    <w:p w:rsidR="0048565E" w:rsidRPr="0048565E" w:rsidRDefault="0048565E" w:rsidP="0048565E">
      <w:pPr>
        <w:rPr>
          <w:b/>
          <w:bCs/>
          <w:szCs w:val="24"/>
          <w:rtl/>
        </w:rPr>
      </w:pPr>
      <w:r w:rsidRPr="0048565E">
        <w:rPr>
          <w:b/>
          <w:bCs/>
          <w:szCs w:val="24"/>
          <w:rtl/>
        </w:rPr>
        <w:t>תופעת התשובה</w:t>
      </w:r>
    </w:p>
    <w:p w:rsidR="00826B46" w:rsidRDefault="0048565E" w:rsidP="0048565E">
      <w:pPr>
        <w:rPr>
          <w:szCs w:val="24"/>
          <w:rtl/>
        </w:rPr>
      </w:pPr>
      <w:r w:rsidRPr="0048565E">
        <w:rPr>
          <w:szCs w:val="24"/>
          <w:rtl/>
        </w:rPr>
        <w:t xml:space="preserve">בהפטרת השבת </w:t>
      </w:r>
      <w:r w:rsidR="00AC35CD">
        <w:rPr>
          <w:rFonts w:hint="cs"/>
          <w:szCs w:val="24"/>
          <w:rtl/>
        </w:rPr>
        <w:t xml:space="preserve">[שבת שובה] </w:t>
      </w:r>
      <w:r w:rsidRPr="0048565E">
        <w:rPr>
          <w:szCs w:val="24"/>
          <w:rtl/>
        </w:rPr>
        <w:t>נקרא:</w:t>
      </w:r>
    </w:p>
    <w:p w:rsidR="0048565E" w:rsidRPr="0048565E" w:rsidRDefault="0048565E" w:rsidP="0048565E">
      <w:pPr>
        <w:rPr>
          <w:szCs w:val="24"/>
          <w:rtl/>
        </w:rPr>
      </w:pPr>
      <w:proofErr w:type="spellStart"/>
      <w:r w:rsidRPr="0048565E">
        <w:rPr>
          <w:szCs w:val="24"/>
          <w:rtl/>
        </w:rPr>
        <w:t>יב</w:t>
      </w:r>
      <w:proofErr w:type="spellEnd"/>
      <w:r w:rsidRPr="0048565E">
        <w:rPr>
          <w:szCs w:val="24"/>
          <w:rtl/>
        </w:rPr>
        <w:t xml:space="preserve"> וְגַם-עַתָּה, נְאֻם-יְהוָה, שֻׁבוּ עָדַי, בְּכָל-לְבַבְכֶם; וּבְצוֹם וּבִבְכִי, וּבְמִסְפֵּד.  </w:t>
      </w:r>
      <w:proofErr w:type="spellStart"/>
      <w:r w:rsidRPr="0048565E">
        <w:rPr>
          <w:szCs w:val="24"/>
          <w:rtl/>
        </w:rPr>
        <w:t>יג</w:t>
      </w:r>
      <w:proofErr w:type="spellEnd"/>
      <w:r w:rsidRPr="0048565E">
        <w:rPr>
          <w:szCs w:val="24"/>
          <w:rtl/>
        </w:rPr>
        <w:t xml:space="preserve"> וְקִרְעוּ לְבַבְכֶם וְאַל-בִּגְדֵיכֶם, וְשׁוּבוּ אֶל-יְהוָה </w:t>
      </w:r>
      <w:proofErr w:type="spellStart"/>
      <w:r w:rsidRPr="0048565E">
        <w:rPr>
          <w:szCs w:val="24"/>
          <w:rtl/>
        </w:rPr>
        <w:t>אֱלֹהֵיכֶם</w:t>
      </w:r>
      <w:proofErr w:type="spellEnd"/>
      <w:r w:rsidRPr="0048565E">
        <w:rPr>
          <w:szCs w:val="24"/>
          <w:rtl/>
        </w:rPr>
        <w:t xml:space="preserve">:  כִּי-חַנּוּן וְרַחוּם, הוּא--אֶרֶךְ אַפַּיִם וְרַב-חֶסֶד, וְנִחָם עַל-הָרָעָה.  יד מִי יוֹדֵעַ, יָשׁוּב וְנִחָם; וְהִשְׁאִיר אַחֲרָיו, בְּרָכָה--מִנְחָה וָנֶסֶךְ, לַיהוָה </w:t>
      </w:r>
      <w:proofErr w:type="spellStart"/>
      <w:r w:rsidRPr="0048565E">
        <w:rPr>
          <w:szCs w:val="24"/>
          <w:rtl/>
        </w:rPr>
        <w:t>אֱלֹהֵיכֶם</w:t>
      </w:r>
      <w:proofErr w:type="spellEnd"/>
      <w:r w:rsidRPr="0048565E">
        <w:rPr>
          <w:szCs w:val="24"/>
          <w:rtl/>
        </w:rPr>
        <w:t xml:space="preserve">.  </w:t>
      </w:r>
      <w:r>
        <w:rPr>
          <w:rFonts w:hint="cs"/>
          <w:szCs w:val="24"/>
          <w:rtl/>
        </w:rPr>
        <w:t>(</w:t>
      </w:r>
      <w:r w:rsidRPr="0048565E">
        <w:rPr>
          <w:rFonts w:hint="eastAsia"/>
          <w:szCs w:val="24"/>
          <w:rtl/>
        </w:rPr>
        <w:t>יואל</w:t>
      </w:r>
      <w:r w:rsidRPr="0048565E">
        <w:rPr>
          <w:szCs w:val="24"/>
          <w:rtl/>
        </w:rPr>
        <w:t xml:space="preserve"> ב:יב–יד</w:t>
      </w:r>
      <w:r>
        <w:rPr>
          <w:rFonts w:hint="cs"/>
          <w:szCs w:val="24"/>
          <w:rtl/>
        </w:rPr>
        <w:t>)</w:t>
      </w:r>
      <w:r w:rsidRPr="0048565E">
        <w:rPr>
          <w:szCs w:val="24"/>
          <w:rtl/>
        </w:rPr>
        <w:t xml:space="preserve"> </w:t>
      </w:r>
    </w:p>
    <w:p w:rsidR="0048565E" w:rsidRPr="0048565E" w:rsidRDefault="0048565E" w:rsidP="0048565E">
      <w:pPr>
        <w:rPr>
          <w:szCs w:val="24"/>
          <w:rtl/>
        </w:rPr>
      </w:pPr>
      <w:r w:rsidRPr="0048565E">
        <w:rPr>
          <w:rFonts w:hint="eastAsia"/>
          <w:szCs w:val="24"/>
          <w:rtl/>
        </w:rPr>
        <w:t>במחילה</w:t>
      </w:r>
      <w:r w:rsidRPr="0048565E">
        <w:rPr>
          <w:szCs w:val="24"/>
          <w:rtl/>
        </w:rPr>
        <w:t xml:space="preserve"> המובטחת על ידי הנביא קיימת בעיה: מה בין רחמים על בעל התשובה לבין ויתור? מידת הרחמים היא מידה נאה, אך מידת הוויתור כרוכה בחוסר צדק ובשקר. וכך ביטא זאת </w:t>
      </w:r>
      <w:proofErr w:type="spellStart"/>
      <w:r w:rsidRPr="0048565E">
        <w:rPr>
          <w:szCs w:val="24"/>
          <w:rtl/>
        </w:rPr>
        <w:t>הרמח"ל</w:t>
      </w:r>
      <w:proofErr w:type="spellEnd"/>
      <w:r w:rsidRPr="0048565E">
        <w:rPr>
          <w:szCs w:val="24"/>
          <w:rtl/>
        </w:rPr>
        <w:t xml:space="preserve"> בספרו הטהור ’מסילת ישרים’: </w:t>
      </w:r>
    </w:p>
    <w:p w:rsidR="0048565E" w:rsidRDefault="0048565E" w:rsidP="0048565E">
      <w:pPr>
        <w:rPr>
          <w:szCs w:val="24"/>
          <w:rtl/>
        </w:rPr>
      </w:pPr>
      <w:r w:rsidRPr="0048565E">
        <w:rPr>
          <w:rFonts w:hint="eastAsia"/>
          <w:szCs w:val="24"/>
          <w:rtl/>
        </w:rPr>
        <w:t>והוא</w:t>
      </w:r>
      <w:r w:rsidRPr="0048565E">
        <w:rPr>
          <w:szCs w:val="24"/>
          <w:rtl/>
        </w:rPr>
        <w:t xml:space="preserve"> מה שאמר משה רבנו עליו השלום "הצור תמים פעלו כי כל דרכיו משפט </w:t>
      </w:r>
      <w:r w:rsidRPr="0048565E">
        <w:rPr>
          <w:rFonts w:hint="cs"/>
          <w:szCs w:val="24"/>
          <w:rtl/>
        </w:rPr>
        <w:t>ﭏ</w:t>
      </w:r>
      <w:r w:rsidRPr="0048565E">
        <w:rPr>
          <w:szCs w:val="24"/>
          <w:rtl/>
        </w:rPr>
        <w:t xml:space="preserve"> אמונה ואין עול" וגו', כי כיוון שהקב"ה רוצה במשפט, הנה כך הוא עובר על המשפט, מעלים את העין מן הזכות כמו מן החובה. על כן אם משפט הוא רוצה, צריך </w:t>
      </w:r>
      <w:proofErr w:type="spellStart"/>
      <w:r w:rsidRPr="0048565E">
        <w:rPr>
          <w:szCs w:val="24"/>
          <w:rtl/>
        </w:rPr>
        <w:t>שיתן</w:t>
      </w:r>
      <w:proofErr w:type="spellEnd"/>
      <w:r w:rsidRPr="0048565E">
        <w:rPr>
          <w:szCs w:val="24"/>
          <w:rtl/>
        </w:rPr>
        <w:t xml:space="preserve"> לכל איש כדרכיו וכפרי מעלליו בתכלית הדקדוק, בין לטוב בין למוטב, והיינו "</w:t>
      </w:r>
      <w:r w:rsidRPr="0048565E">
        <w:rPr>
          <w:rFonts w:hint="cs"/>
          <w:szCs w:val="24"/>
          <w:rtl/>
        </w:rPr>
        <w:t>ﭏ</w:t>
      </w:r>
      <w:r w:rsidRPr="0048565E">
        <w:rPr>
          <w:szCs w:val="24"/>
          <w:rtl/>
        </w:rPr>
        <w:t xml:space="preserve"> אמונה ואין עול צדיק וישר הוא", שפירשו ז"ל לצדיקים ולרשעים,</w:t>
      </w:r>
      <w:r>
        <w:rPr>
          <w:rFonts w:hint="cs"/>
          <w:szCs w:val="24"/>
          <w:rtl/>
        </w:rPr>
        <w:t xml:space="preserve"> </w:t>
      </w:r>
      <w:r w:rsidRPr="0048565E">
        <w:rPr>
          <w:szCs w:val="24"/>
          <w:rtl/>
        </w:rPr>
        <w:t xml:space="preserve">כי כך היא </w:t>
      </w:r>
      <w:proofErr w:type="spellStart"/>
      <w:r w:rsidRPr="0048565E">
        <w:rPr>
          <w:szCs w:val="24"/>
          <w:rtl/>
        </w:rPr>
        <w:t>המדה</w:t>
      </w:r>
      <w:proofErr w:type="spellEnd"/>
      <w:r w:rsidRPr="0048565E">
        <w:rPr>
          <w:szCs w:val="24"/>
          <w:rtl/>
        </w:rPr>
        <w:t xml:space="preserve"> ועל </w:t>
      </w:r>
      <w:proofErr w:type="spellStart"/>
      <w:r w:rsidRPr="0048565E">
        <w:rPr>
          <w:szCs w:val="24"/>
          <w:rtl/>
        </w:rPr>
        <w:t>הכל</w:t>
      </w:r>
      <w:proofErr w:type="spellEnd"/>
      <w:r w:rsidRPr="0048565E">
        <w:rPr>
          <w:szCs w:val="24"/>
          <w:rtl/>
        </w:rPr>
        <w:t xml:space="preserve"> הוא דן ועל כל חטא הוא מעניש ואין </w:t>
      </w:r>
      <w:proofErr w:type="spellStart"/>
      <w:r w:rsidRPr="0048565E">
        <w:rPr>
          <w:szCs w:val="24"/>
          <w:rtl/>
        </w:rPr>
        <w:t>להמלט</w:t>
      </w:r>
      <w:proofErr w:type="spellEnd"/>
      <w:r w:rsidRPr="0048565E">
        <w:rPr>
          <w:szCs w:val="24"/>
          <w:rtl/>
        </w:rPr>
        <w:t xml:space="preserve">. </w:t>
      </w:r>
      <w:r>
        <w:rPr>
          <w:rFonts w:hint="cs"/>
          <w:szCs w:val="24"/>
          <w:rtl/>
        </w:rPr>
        <w:t>(</w:t>
      </w:r>
      <w:r w:rsidRPr="0048565E">
        <w:rPr>
          <w:szCs w:val="24"/>
          <w:rtl/>
        </w:rPr>
        <w:t>מסילת ישרים פרק ד</w:t>
      </w:r>
      <w:r>
        <w:rPr>
          <w:rFonts w:hint="cs"/>
          <w:szCs w:val="24"/>
          <w:rtl/>
        </w:rPr>
        <w:t>)</w:t>
      </w:r>
    </w:p>
    <w:p w:rsidR="0048565E" w:rsidRPr="0048565E" w:rsidRDefault="0048565E" w:rsidP="0048565E">
      <w:pPr>
        <w:rPr>
          <w:szCs w:val="24"/>
          <w:rtl/>
        </w:rPr>
      </w:pPr>
      <w:r w:rsidRPr="0048565E">
        <w:rPr>
          <w:szCs w:val="24"/>
          <w:rtl/>
        </w:rPr>
        <w:t xml:space="preserve">רבים עמדו על שאלה זו. אנו נלך כאן בדרכו של המהר"ל. המהר"ל מסביר כי כשהאדם שב בתשובה מתברר שהחטא מעולם לא היה חלק ממנו, מאישיותו – לכן הוא מצליח לנער את החטא מעליו, וניתן למחול לו על עוונו.  </w:t>
      </w:r>
    </w:p>
    <w:p w:rsidR="0048565E" w:rsidRPr="0048565E" w:rsidRDefault="0048565E" w:rsidP="0048565E">
      <w:pPr>
        <w:rPr>
          <w:szCs w:val="24"/>
          <w:rtl/>
        </w:rPr>
      </w:pPr>
      <w:r w:rsidRPr="0048565E">
        <w:rPr>
          <w:szCs w:val="24"/>
          <w:rtl/>
        </w:rPr>
        <w:t xml:space="preserve">משל למה הדבר דומה? רכב ששלדתו ניזוקה בתאונת דרכים עלול לאבד עד מחצית מערכו בשוק המכוניות. אם אדם ימכור את הרכב בלא להודיע על הפגם יהיה זה מיקח טעות; אם הפנס אינו פועל, לעומת זאת, חסר ברכב חלק שאינו </w:t>
      </w:r>
      <w:proofErr w:type="spellStart"/>
      <w:r w:rsidRPr="0048565E">
        <w:rPr>
          <w:szCs w:val="24"/>
          <w:rtl/>
        </w:rPr>
        <w:t>מ’אישיותו</w:t>
      </w:r>
      <w:proofErr w:type="spellEnd"/>
      <w:r w:rsidRPr="0048565E">
        <w:rPr>
          <w:szCs w:val="24"/>
          <w:rtl/>
        </w:rPr>
        <w:t xml:space="preserve">’ של הרכב. על המוכר יהיה לפצות על כך את הקונה ולשלם לו דמי פנס חדש, אך המכר לא יבוטל כמיקח טעות. לדברינו, תשובה מתאפשרת הודות לכך שהחטא לא מהווה חלק מאישיותו של החוטא, דבר המתברר עם תיקון החטא ועם התנערותו המלאה של החוטא מדרך החטא. </w:t>
      </w:r>
    </w:p>
    <w:p w:rsidR="0048565E" w:rsidRDefault="0048565E" w:rsidP="0048565E">
      <w:pPr>
        <w:rPr>
          <w:szCs w:val="24"/>
          <w:rtl/>
        </w:rPr>
      </w:pPr>
      <w:r w:rsidRPr="0048565E">
        <w:rPr>
          <w:szCs w:val="24"/>
          <w:rtl/>
        </w:rPr>
        <w:t>ועדיין רובצת לפתחנו השאלה מהם החרטה והתיקון מבחינה מעשית.</w:t>
      </w:r>
    </w:p>
    <w:p w:rsidR="0048565E" w:rsidRDefault="0048565E" w:rsidP="0048565E">
      <w:pPr>
        <w:rPr>
          <w:b/>
          <w:bCs/>
          <w:szCs w:val="24"/>
          <w:rtl/>
        </w:rPr>
      </w:pPr>
      <w:r w:rsidRPr="0048565E">
        <w:rPr>
          <w:b/>
          <w:bCs/>
          <w:szCs w:val="24"/>
          <w:rtl/>
        </w:rPr>
        <w:t>הדרכה מעשית</w:t>
      </w:r>
    </w:p>
    <w:p w:rsidR="0048565E" w:rsidRPr="0048565E" w:rsidRDefault="0048565E" w:rsidP="0048565E">
      <w:pPr>
        <w:rPr>
          <w:szCs w:val="24"/>
          <w:rtl/>
        </w:rPr>
      </w:pPr>
      <w:r w:rsidRPr="0048565E">
        <w:rPr>
          <w:szCs w:val="24"/>
          <w:rtl/>
        </w:rPr>
        <w:t xml:space="preserve">האומנם יכול אדם להחליט מהיום למחר על דרך חדשה? מורגל בלשוננו הביטוי ’לפתוח דף חדש’, משמעו: לא נורא שהדפים הקודמים מקושקשים או מלאים בדברי נבלה – אנו נכסה אותם בדף החדש, ורק הוא יהיה לנגד עינינו. אך אם לא נתבונן בדף המקושקש ולא נקדיש זמן </w:t>
      </w:r>
      <w:proofErr w:type="spellStart"/>
      <w:r w:rsidRPr="0048565E">
        <w:rPr>
          <w:szCs w:val="24"/>
          <w:rtl/>
        </w:rPr>
        <w:t>למוחקו</w:t>
      </w:r>
      <w:proofErr w:type="spellEnd"/>
      <w:r w:rsidRPr="0048565E">
        <w:rPr>
          <w:szCs w:val="24"/>
          <w:rtl/>
        </w:rPr>
        <w:t xml:space="preserve"> ולנקותו, חזקה על הדף החדש שכעבור זמן קצר יהיה מקושקש כקודמיו. אם כן, אפוא, איך מוחקים וכיצד</w:t>
      </w:r>
      <w:r>
        <w:rPr>
          <w:rFonts w:hint="cs"/>
          <w:szCs w:val="24"/>
          <w:rtl/>
        </w:rPr>
        <w:t xml:space="preserve"> </w:t>
      </w:r>
      <w:r w:rsidRPr="0048565E">
        <w:rPr>
          <w:szCs w:val="24"/>
          <w:rtl/>
        </w:rPr>
        <w:t xml:space="preserve">מתקנים? האומנם יכול כל אחד </w:t>
      </w:r>
      <w:proofErr w:type="spellStart"/>
      <w:r w:rsidRPr="0048565E">
        <w:rPr>
          <w:szCs w:val="24"/>
          <w:rtl/>
        </w:rPr>
        <w:t>מאיתנו</w:t>
      </w:r>
      <w:proofErr w:type="spellEnd"/>
      <w:r w:rsidRPr="0048565E">
        <w:rPr>
          <w:szCs w:val="24"/>
          <w:rtl/>
        </w:rPr>
        <w:t xml:space="preserve"> להתחרט חרטה עמוקה על כל מעשיו הרעים בשנה החולפת? כלום ניתן לעשות זאת כל שנה? </w:t>
      </w:r>
    </w:p>
    <w:p w:rsidR="0048565E" w:rsidRPr="0048565E" w:rsidRDefault="0048565E" w:rsidP="0048565E">
      <w:pPr>
        <w:rPr>
          <w:szCs w:val="24"/>
          <w:rtl/>
        </w:rPr>
      </w:pPr>
      <w:r w:rsidRPr="0048565E">
        <w:rPr>
          <w:szCs w:val="24"/>
          <w:rtl/>
        </w:rPr>
        <w:t xml:space="preserve">אני מסופק בכך, אך אני משוכנע שכל אחד מאתנו יכול, אם כי במאמץ לא קטן, לקבל על עצמו לשנות מן היסוד שניים, שלושה או ארבעה דברים באורח חייו. על חלקם להיות ממצוות הקדושה, התורה והתפילה ועל חלקם להיות ממצוות היושר, הנאמנות, הצדקה והמשפט.  </w:t>
      </w:r>
    </w:p>
    <w:p w:rsidR="0048565E" w:rsidRPr="0048565E" w:rsidRDefault="0048565E" w:rsidP="0048565E">
      <w:pPr>
        <w:rPr>
          <w:szCs w:val="24"/>
          <w:rtl/>
        </w:rPr>
      </w:pPr>
      <w:r w:rsidRPr="0048565E">
        <w:rPr>
          <w:szCs w:val="24"/>
          <w:rtl/>
        </w:rPr>
        <w:t xml:space="preserve">כל אחד </w:t>
      </w:r>
      <w:proofErr w:type="spellStart"/>
      <w:r w:rsidRPr="0048565E">
        <w:rPr>
          <w:szCs w:val="24"/>
          <w:rtl/>
        </w:rPr>
        <w:t>מאיתנו</w:t>
      </w:r>
      <w:proofErr w:type="spellEnd"/>
      <w:r w:rsidRPr="0048565E">
        <w:rPr>
          <w:szCs w:val="24"/>
          <w:rtl/>
        </w:rPr>
        <w:t xml:space="preserve"> יכול לאתר במהלך יומו מספר קטן של פגמים ולהחליט שהוא נוטל אותם כמשימה לשנה הקרובה, לטיפול ולתיקון. אם יעשה כך יוכל להופיע ביום הרחמים כבעל תשובה לפני הקב"ה ולבקש רחמים על עצמו ועל עמו, ולבקש עימם גם את הכוח ואת היכולת לתקן. </w:t>
      </w:r>
    </w:p>
    <w:p w:rsidR="0048565E" w:rsidRDefault="0048565E" w:rsidP="0048565E">
      <w:pPr>
        <w:rPr>
          <w:szCs w:val="24"/>
          <w:rtl/>
        </w:rPr>
      </w:pPr>
      <w:r w:rsidRPr="0048565E">
        <w:rPr>
          <w:szCs w:val="24"/>
          <w:rtl/>
        </w:rPr>
        <w:t xml:space="preserve">הוא יצטרך לקבל על עצמו לערוך במהלך השנה נקודות ביקורת מוגדרות, אולי בכל </w:t>
      </w:r>
      <w:proofErr w:type="spellStart"/>
      <w:r w:rsidRPr="0048565E">
        <w:rPr>
          <w:szCs w:val="24"/>
          <w:rtl/>
        </w:rPr>
        <w:t>יום־כיפור</w:t>
      </w:r>
      <w:proofErr w:type="spellEnd"/>
      <w:r w:rsidRPr="0048565E">
        <w:rPr>
          <w:szCs w:val="24"/>
          <w:rtl/>
        </w:rPr>
        <w:t xml:space="preserve"> קטן או בכל ערב </w:t>
      </w:r>
      <w:proofErr w:type="spellStart"/>
      <w:r w:rsidRPr="0048565E">
        <w:rPr>
          <w:szCs w:val="24"/>
          <w:rtl/>
        </w:rPr>
        <w:t>ראש־חודש</w:t>
      </w:r>
      <w:proofErr w:type="spellEnd"/>
      <w:r w:rsidRPr="0048565E">
        <w:rPr>
          <w:szCs w:val="24"/>
          <w:rtl/>
        </w:rPr>
        <w:t>, ובנקודות אלו יבדוק אם הוא עומד במשימה, מתקרב אליה או חלילה דורך במקום או מתרחק ממנה. בנקודות אלו הוא יבדוק מה עליו לעשות כדי לשפר את עמידתו במשימה, ולקראת יום הכיפורים הבא יבדוק במה הצליח ובמה לא, מה עליו לקחת כמשימה לשנה נוספת ומה יוכל להוסיף על משימתו לשנה שאחריה.</w:t>
      </w:r>
    </w:p>
    <w:p w:rsidR="0048565E" w:rsidRDefault="0048565E" w:rsidP="0048565E">
      <w:pPr>
        <w:rPr>
          <w:b/>
          <w:bCs/>
          <w:szCs w:val="24"/>
          <w:rtl/>
        </w:rPr>
      </w:pPr>
      <w:r w:rsidRPr="0048565E">
        <w:rPr>
          <w:b/>
          <w:bCs/>
          <w:szCs w:val="24"/>
          <w:rtl/>
        </w:rPr>
        <w:t>הווידוי</w:t>
      </w:r>
    </w:p>
    <w:p w:rsidR="0048565E" w:rsidRPr="0048565E" w:rsidRDefault="0048565E" w:rsidP="0048565E">
      <w:pPr>
        <w:rPr>
          <w:szCs w:val="24"/>
          <w:rtl/>
        </w:rPr>
      </w:pPr>
      <w:r w:rsidRPr="0048565E">
        <w:rPr>
          <w:szCs w:val="24"/>
          <w:rtl/>
        </w:rPr>
        <w:t xml:space="preserve">לקראת היום הקדוש יש לזכור את הווידוי, שהוא עיקר מצוות היום. וידוי אמתי אינו דבר של מה בכך. מילות הווידוי הן סתמיות וכלליות מדי, וקיים בהן חשש להוספת חטא של ’וידוי פה’. בעל </w:t>
      </w:r>
      <w:proofErr w:type="spellStart"/>
      <w:r w:rsidRPr="0048565E">
        <w:rPr>
          <w:szCs w:val="24"/>
          <w:rtl/>
        </w:rPr>
        <w:t>ה’חיי</w:t>
      </w:r>
      <w:proofErr w:type="spellEnd"/>
      <w:r w:rsidRPr="0048565E">
        <w:rPr>
          <w:szCs w:val="24"/>
          <w:rtl/>
        </w:rPr>
        <w:t xml:space="preserve"> אדם’ הרגיש בכך והוסיף בווידוי שכתב רשימה ארוכה של חטאים פרטיים על פי סדר </w:t>
      </w:r>
      <w:proofErr w:type="spellStart"/>
      <w:r w:rsidRPr="0048565E">
        <w:rPr>
          <w:szCs w:val="24"/>
          <w:rtl/>
        </w:rPr>
        <w:t>האל״ף־בי״ת</w:t>
      </w:r>
      <w:proofErr w:type="spellEnd"/>
      <w:r w:rsidRPr="0048565E">
        <w:rPr>
          <w:szCs w:val="24"/>
          <w:rtl/>
        </w:rPr>
        <w:t xml:space="preserve"> – אך מה טעם שנאמר רשימת חטאים שכתב אחר, גדול בתורה ובמוסר ככל שיהיה?  </w:t>
      </w:r>
    </w:p>
    <w:p w:rsidR="0048565E" w:rsidRPr="0048565E" w:rsidRDefault="0048565E" w:rsidP="0048565E">
      <w:pPr>
        <w:rPr>
          <w:szCs w:val="24"/>
          <w:rtl/>
        </w:rPr>
      </w:pPr>
      <w:r w:rsidRPr="0048565E">
        <w:rPr>
          <w:szCs w:val="24"/>
          <w:rtl/>
        </w:rPr>
        <w:t xml:space="preserve">מוטל על כל אחד מאתנו לייחד זמן, לנבור, לחפש ולעשות רשימה של כל חטאיו הזכורים לו – וראוי לו לסדרם על פי סדר הא"ב ולאומרם בצמוד לווידוי שבסידור. כמה פעמים נהגנו בחוסר זהירות בכביש? כמה פעמים ’גנבנו’ את תורה של מכונית אחרת בצומת? כמה פעמים זלזלנו בברכת אשר יצר? </w:t>
      </w:r>
    </w:p>
    <w:p w:rsidR="0048565E" w:rsidRDefault="0048565E" w:rsidP="0048565E">
      <w:pPr>
        <w:rPr>
          <w:szCs w:val="24"/>
          <w:rtl/>
        </w:rPr>
      </w:pPr>
      <w:r w:rsidRPr="0048565E">
        <w:rPr>
          <w:szCs w:val="24"/>
          <w:rtl/>
        </w:rPr>
        <w:t>הכרה בחטא היא צעד חשוב גם אם לא נוכל להפעיל את כל נימי החרטה שבנפשנו – אולם היא אכן צעד חשוב רק אם יש לנו רצון אמתי לתקן, גם אנו יודעים שכרגע לא נוכל להשקיע כוחות נפש רבים באינסוף חטאינו.</w:t>
      </w:r>
    </w:p>
    <w:p w:rsidR="0048565E" w:rsidRDefault="0048565E" w:rsidP="0048565E">
      <w:pPr>
        <w:rPr>
          <w:b/>
          <w:bCs/>
          <w:szCs w:val="24"/>
          <w:rtl/>
        </w:rPr>
      </w:pPr>
      <w:r w:rsidRPr="0048565E">
        <w:rPr>
          <w:b/>
          <w:bCs/>
          <w:szCs w:val="24"/>
          <w:rtl/>
        </w:rPr>
        <w:t>זמנם של עשרת ימי תשובה</w:t>
      </w:r>
    </w:p>
    <w:p w:rsidR="0048565E" w:rsidRPr="0048565E" w:rsidRDefault="0048565E" w:rsidP="0048565E">
      <w:pPr>
        <w:rPr>
          <w:szCs w:val="24"/>
          <w:rtl/>
        </w:rPr>
      </w:pPr>
      <w:r w:rsidRPr="0048565E">
        <w:rPr>
          <w:szCs w:val="24"/>
          <w:rtl/>
        </w:rPr>
        <w:t xml:space="preserve">נקודה אחרונה: עשרת ימי תשובה היו אמורים בדרך ההיגיון להיקבע בסוף השנה ולא בראשיתה, שהרי הם מסכמים ומתקנים את חטאי השנה החולפת – הריהם כמבחן מתקן לשיפור הציון של שנת הלימודים שעברנו עתה. </w:t>
      </w:r>
    </w:p>
    <w:p w:rsidR="0048565E" w:rsidRPr="0048565E" w:rsidRDefault="0048565E" w:rsidP="00535455">
      <w:pPr>
        <w:rPr>
          <w:szCs w:val="24"/>
          <w:rtl/>
        </w:rPr>
      </w:pPr>
      <w:r w:rsidRPr="0048565E">
        <w:rPr>
          <w:szCs w:val="24"/>
          <w:rtl/>
        </w:rPr>
        <w:t xml:space="preserve">אך ימי התשובה נקבעו לתחילת השנה. התשובה היא תשובה לקראת ולא תשובה מהעבר בלבד. עיקרה אינו בריחה מן החטא </w:t>
      </w:r>
      <w:r w:rsidR="00535455">
        <w:rPr>
          <w:rFonts w:hint="cs"/>
          <w:szCs w:val="24"/>
          <w:rtl/>
        </w:rPr>
        <w:t>(</w:t>
      </w:r>
      <w:r w:rsidRPr="0048565E">
        <w:rPr>
          <w:szCs w:val="24"/>
          <w:rtl/>
        </w:rPr>
        <w:t>עם כל חשיבותה</w:t>
      </w:r>
      <w:r w:rsidR="00535455">
        <w:rPr>
          <w:rFonts w:hint="cs"/>
          <w:szCs w:val="24"/>
          <w:rtl/>
        </w:rPr>
        <w:t>)</w:t>
      </w:r>
      <w:bookmarkStart w:id="2" w:name="_GoBack"/>
      <w:bookmarkEnd w:id="2"/>
      <w:r w:rsidRPr="0048565E">
        <w:rPr>
          <w:szCs w:val="24"/>
          <w:rtl/>
        </w:rPr>
        <w:t xml:space="preserve"> אלא תשובה אל ה'. אנו פותחים את השנה החדשה באמירה לקב"ה כמה חשוב לנו לשוב אליו, להיות קרובים אליו, ללא המחיצה של ”עוונותיכם היו מבדילים ביניכם ובין א–</w:t>
      </w:r>
      <w:proofErr w:type="spellStart"/>
      <w:r w:rsidRPr="0048565E">
        <w:rPr>
          <w:szCs w:val="24"/>
          <w:rtl/>
        </w:rPr>
        <w:t>לוהיכם</w:t>
      </w:r>
      <w:proofErr w:type="spellEnd"/>
      <w:r w:rsidRPr="0048565E">
        <w:rPr>
          <w:szCs w:val="24"/>
          <w:rtl/>
        </w:rPr>
        <w:t>”</w:t>
      </w:r>
      <w:r>
        <w:rPr>
          <w:rFonts w:hint="cs"/>
          <w:szCs w:val="24"/>
          <w:rtl/>
        </w:rPr>
        <w:t>.</w:t>
      </w:r>
    </w:p>
    <w:p w:rsidR="0048565E" w:rsidRDefault="0048565E" w:rsidP="0048565E">
      <w:pPr>
        <w:rPr>
          <w:szCs w:val="24"/>
        </w:rPr>
      </w:pPr>
    </w:p>
    <w:p w:rsidR="00826B46" w:rsidRDefault="00826B46" w:rsidP="00826B46">
      <w:pPr>
        <w:pStyle w:val="NormalPar"/>
        <w:jc w:val="both"/>
        <w:rPr>
          <w:rFonts w:cs="David"/>
          <w:rtl/>
        </w:rPr>
      </w:pPr>
    </w:p>
    <w:p w:rsidR="00826B46" w:rsidRDefault="00826B46" w:rsidP="00826B46">
      <w:pPr>
        <w:rPr>
          <w:rtl/>
        </w:rPr>
      </w:pPr>
    </w:p>
    <w:p w:rsidR="00826B46" w:rsidRDefault="00826B46" w:rsidP="00826B46">
      <w:pPr>
        <w:pStyle w:val="NormalPar"/>
        <w:jc w:val="both"/>
        <w:rPr>
          <w:rFonts w:cs="David"/>
          <w:rtl/>
        </w:rPr>
      </w:pPr>
    </w:p>
    <w:p w:rsidR="00826B46" w:rsidRDefault="00826B46" w:rsidP="00826B46">
      <w:pPr>
        <w:rPr>
          <w:rtl/>
        </w:rPr>
      </w:pPr>
    </w:p>
    <w:p w:rsidR="00826B46" w:rsidRDefault="00826B46" w:rsidP="00826B46">
      <w:pPr>
        <w:pStyle w:val="NormalPar"/>
        <w:jc w:val="both"/>
        <w:rPr>
          <w:rFonts w:cs="David"/>
          <w:rtl/>
        </w:rPr>
      </w:pPr>
    </w:p>
    <w:tbl>
      <w:tblPr>
        <w:tblpPr w:leftFromText="180" w:rightFromText="180" w:vertAnchor="text" w:horzAnchor="page" w:tblpX="598" w:tblpY="709"/>
        <w:bidiVisual/>
        <w:tblW w:w="4678" w:type="dxa"/>
        <w:tblLayout w:type="fixed"/>
        <w:tblLook w:val="0000" w:firstRow="0" w:lastRow="0" w:firstColumn="0" w:lastColumn="0" w:noHBand="0" w:noVBand="0"/>
      </w:tblPr>
      <w:tblGrid>
        <w:gridCol w:w="283"/>
        <w:gridCol w:w="4111"/>
        <w:gridCol w:w="284"/>
      </w:tblGrid>
      <w:tr w:rsidR="00826B46" w:rsidTr="00826B46">
        <w:trPr>
          <w:cantSplit/>
        </w:trPr>
        <w:tc>
          <w:tcPr>
            <w:tcW w:w="283" w:type="dxa"/>
            <w:tcBorders>
              <w:top w:val="nil"/>
              <w:left w:val="nil"/>
              <w:bottom w:val="nil"/>
              <w:right w:val="nil"/>
            </w:tcBorders>
          </w:tcPr>
          <w:p w:rsidR="00826B46" w:rsidRDefault="00826B46" w:rsidP="00826B46">
            <w:pPr>
              <w:pStyle w:val="ab"/>
              <w:rPr>
                <w:noProof w:val="0"/>
              </w:rPr>
            </w:pPr>
            <w:r>
              <w:rPr>
                <w:noProof w:val="0"/>
                <w:rtl/>
              </w:rPr>
              <w:t>*</w:t>
            </w:r>
          </w:p>
        </w:tc>
        <w:tc>
          <w:tcPr>
            <w:tcW w:w="4111" w:type="dxa"/>
            <w:tcBorders>
              <w:top w:val="nil"/>
              <w:left w:val="nil"/>
              <w:bottom w:val="nil"/>
              <w:right w:val="nil"/>
            </w:tcBorders>
          </w:tcPr>
          <w:p w:rsidR="00826B46" w:rsidRDefault="00826B46" w:rsidP="00826B46">
            <w:pPr>
              <w:pStyle w:val="ab"/>
              <w:rPr>
                <w:noProof w:val="0"/>
              </w:rPr>
            </w:pPr>
            <w:r>
              <w:rPr>
                <w:noProof w:val="0"/>
                <w:rtl/>
              </w:rPr>
              <w:t>**********************************************************</w:t>
            </w:r>
          </w:p>
        </w:tc>
        <w:tc>
          <w:tcPr>
            <w:tcW w:w="284" w:type="dxa"/>
            <w:tcBorders>
              <w:top w:val="nil"/>
              <w:left w:val="nil"/>
              <w:bottom w:val="nil"/>
              <w:right w:val="nil"/>
            </w:tcBorders>
          </w:tcPr>
          <w:p w:rsidR="00826B46" w:rsidRDefault="00826B46" w:rsidP="00826B46">
            <w:pPr>
              <w:pStyle w:val="ab"/>
              <w:rPr>
                <w:noProof w:val="0"/>
              </w:rPr>
            </w:pPr>
            <w:r>
              <w:rPr>
                <w:noProof w:val="0"/>
                <w:rtl/>
              </w:rPr>
              <w:t>*</w:t>
            </w:r>
          </w:p>
        </w:tc>
      </w:tr>
      <w:tr w:rsidR="00826B46" w:rsidTr="00826B46">
        <w:trPr>
          <w:cantSplit/>
        </w:trPr>
        <w:tc>
          <w:tcPr>
            <w:tcW w:w="283" w:type="dxa"/>
            <w:tcBorders>
              <w:top w:val="nil"/>
              <w:left w:val="nil"/>
              <w:bottom w:val="nil"/>
              <w:right w:val="nil"/>
            </w:tcBorders>
          </w:tcPr>
          <w:p w:rsidR="00826B46" w:rsidRDefault="00826B46" w:rsidP="00826B46">
            <w:pPr>
              <w:pStyle w:val="ab"/>
              <w:rPr>
                <w:noProof w:val="0"/>
              </w:rPr>
            </w:pPr>
            <w:r>
              <w:rPr>
                <w:noProof w:val="0"/>
                <w:rtl/>
              </w:rPr>
              <w:t xml:space="preserve">* * * * * * * </w:t>
            </w:r>
          </w:p>
        </w:tc>
        <w:tc>
          <w:tcPr>
            <w:tcW w:w="4111" w:type="dxa"/>
            <w:tcBorders>
              <w:top w:val="nil"/>
              <w:left w:val="nil"/>
              <w:bottom w:val="nil"/>
              <w:right w:val="nil"/>
            </w:tcBorders>
          </w:tcPr>
          <w:p w:rsidR="00826B46" w:rsidRDefault="00826B46" w:rsidP="00AC35CD">
            <w:pPr>
              <w:pStyle w:val="ab"/>
              <w:rPr>
                <w:noProof w:val="0"/>
                <w:rtl/>
              </w:rPr>
            </w:pPr>
            <w:r>
              <w:rPr>
                <w:noProof w:val="0"/>
                <w:rtl/>
              </w:rPr>
              <w:t>כל הזכויות שמורות לישיבת הר עציון</w:t>
            </w:r>
            <w:r>
              <w:rPr>
                <w:rFonts w:hint="cs"/>
                <w:noProof w:val="0"/>
                <w:rtl/>
              </w:rPr>
              <w:t xml:space="preserve"> ולרב </w:t>
            </w:r>
            <w:r w:rsidR="00AC35CD">
              <w:rPr>
                <w:rFonts w:hint="cs"/>
                <w:noProof w:val="0"/>
                <w:rtl/>
              </w:rPr>
              <w:t>יעקב מדן</w:t>
            </w:r>
            <w:r>
              <w:rPr>
                <w:noProof w:val="0"/>
                <w:rtl/>
              </w:rPr>
              <w:t xml:space="preserve"> </w:t>
            </w:r>
          </w:p>
          <w:p w:rsidR="00826B46" w:rsidRDefault="00826B46" w:rsidP="00826B46">
            <w:pPr>
              <w:pStyle w:val="ab"/>
              <w:rPr>
                <w:noProof w:val="0"/>
                <w:rtl/>
              </w:rPr>
            </w:pPr>
            <w:r>
              <w:rPr>
                <w:rFonts w:hint="cs"/>
                <w:noProof w:val="0"/>
                <w:rtl/>
              </w:rPr>
              <w:t>תשע"ט</w:t>
            </w:r>
          </w:p>
          <w:p w:rsidR="00826B46" w:rsidRDefault="00826B46" w:rsidP="00826B46">
            <w:pPr>
              <w:pStyle w:val="ab"/>
              <w:rPr>
                <w:noProof w:val="0"/>
                <w:rtl/>
              </w:rPr>
            </w:pPr>
            <w:r>
              <w:rPr>
                <w:noProof w:val="0"/>
                <w:rtl/>
              </w:rPr>
              <w:t>*******************************************************</w:t>
            </w:r>
          </w:p>
          <w:p w:rsidR="00826B46" w:rsidRDefault="00826B46" w:rsidP="00826B46">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826B46" w:rsidRPr="005734F1" w:rsidRDefault="00826B46" w:rsidP="00826B46">
            <w:pPr>
              <w:pStyle w:val="ab"/>
              <w:rPr>
                <w:noProof w:val="0"/>
                <w:rtl/>
              </w:rPr>
            </w:pPr>
            <w:r w:rsidRPr="005734F1">
              <w:rPr>
                <w:noProof w:val="0"/>
                <w:rtl/>
              </w:rPr>
              <w:t xml:space="preserve">מיסודו של </w:t>
            </w:r>
          </w:p>
          <w:p w:rsidR="00826B46" w:rsidRPr="005734F1" w:rsidRDefault="00826B46" w:rsidP="00826B46">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826B46" w:rsidRDefault="00826B46" w:rsidP="00826B4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826B46" w:rsidRDefault="00826B46" w:rsidP="00826B46">
            <w:pPr>
              <w:pStyle w:val="ab"/>
              <w:rPr>
                <w:noProof w:val="0"/>
                <w:rtl/>
              </w:rPr>
            </w:pPr>
            <w:r>
              <w:rPr>
                <w:noProof w:val="0"/>
                <w:rtl/>
              </w:rPr>
              <w:t>האתר באנגלית:</w:t>
            </w:r>
            <w:r>
              <w:rPr>
                <w:noProof w:val="0"/>
                <w:rtl/>
              </w:rPr>
              <w:tab/>
            </w:r>
            <w:hyperlink r:id="rId9" w:history="1">
              <w:r>
                <w:rPr>
                  <w:rStyle w:val="Hyperlink"/>
                </w:rPr>
                <w:t>http://www.vbm-torah.org</w:t>
              </w:r>
            </w:hyperlink>
          </w:p>
          <w:p w:rsidR="00826B46" w:rsidRDefault="00826B46" w:rsidP="00826B46">
            <w:pPr>
              <w:pStyle w:val="ab"/>
              <w:rPr>
                <w:noProof w:val="0"/>
                <w:rtl/>
              </w:rPr>
            </w:pPr>
          </w:p>
          <w:p w:rsidR="00826B46" w:rsidRDefault="00826B46" w:rsidP="00826B46">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26B46" w:rsidRDefault="00826B46" w:rsidP="00826B4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826B46" w:rsidRDefault="00826B46" w:rsidP="00826B46">
            <w:pPr>
              <w:pStyle w:val="ab"/>
              <w:rPr>
                <w:noProof w:val="0"/>
              </w:rPr>
            </w:pPr>
          </w:p>
        </w:tc>
        <w:tc>
          <w:tcPr>
            <w:tcW w:w="284" w:type="dxa"/>
            <w:tcBorders>
              <w:top w:val="nil"/>
              <w:left w:val="nil"/>
              <w:bottom w:val="nil"/>
              <w:right w:val="nil"/>
            </w:tcBorders>
          </w:tcPr>
          <w:p w:rsidR="00826B46" w:rsidRDefault="00826B46" w:rsidP="00826B46">
            <w:pPr>
              <w:pStyle w:val="ab"/>
              <w:rPr>
                <w:noProof w:val="0"/>
              </w:rPr>
            </w:pPr>
            <w:r>
              <w:rPr>
                <w:noProof w:val="0"/>
                <w:rtl/>
              </w:rPr>
              <w:t xml:space="preserve">* * * * * * * </w:t>
            </w:r>
          </w:p>
        </w:tc>
      </w:tr>
    </w:tbl>
    <w:p w:rsidR="00826B46" w:rsidRDefault="00826B46" w:rsidP="00826B46">
      <w:pPr>
        <w:rPr>
          <w:rtl/>
        </w:rPr>
      </w:pPr>
    </w:p>
    <w:p w:rsidR="00826B46" w:rsidRDefault="00826B46" w:rsidP="00826B46">
      <w:pPr>
        <w:pStyle w:val="NormalPar"/>
        <w:jc w:val="both"/>
        <w:rPr>
          <w:rFonts w:cs="David"/>
          <w:rtl/>
        </w:rPr>
      </w:pPr>
    </w:p>
    <w:p w:rsidR="00826B46" w:rsidRDefault="00826B46" w:rsidP="0048565E">
      <w:pPr>
        <w:rPr>
          <w:rtl/>
        </w:rPr>
      </w:pPr>
    </w:p>
    <w:p w:rsidR="00FA7791" w:rsidRPr="007C0DC9" w:rsidRDefault="00FA7791" w:rsidP="00FA7791">
      <w:pPr>
        <w:shd w:val="clear" w:color="auto" w:fill="FFFFFF"/>
        <w:autoSpaceDE/>
        <w:autoSpaceDN/>
        <w:spacing w:line="288" w:lineRule="exact"/>
        <w:rPr>
          <w:sz w:val="22"/>
          <w:rtl/>
        </w:rPr>
      </w:pPr>
    </w:p>
    <w:p w:rsidR="00FA7791" w:rsidRPr="001C4E63" w:rsidRDefault="00FA7791" w:rsidP="00FA7791">
      <w:pPr>
        <w:autoSpaceDE/>
        <w:autoSpaceDN/>
        <w:spacing w:after="50" w:line="240" w:lineRule="atLeast"/>
        <w:rPr>
          <w:rFonts w:cs="Times New Roman"/>
          <w:sz w:val="22"/>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ind w:left="-170" w:right="-170"/>
              <w:rPr>
                <w:noProof w:val="0"/>
              </w:rPr>
            </w:pPr>
          </w:p>
        </w:tc>
        <w:tc>
          <w:tcPr>
            <w:tcW w:w="284" w:type="dxa"/>
            <w:tcBorders>
              <w:top w:val="nil"/>
              <w:left w:val="nil"/>
              <w:bottom w:val="nil"/>
              <w:right w:val="nil"/>
            </w:tcBorders>
          </w:tcPr>
          <w:p w:rsidR="00FA7791" w:rsidRDefault="00FA7791" w:rsidP="00C47D82">
            <w:pPr>
              <w:pStyle w:val="ab"/>
              <w:rPr>
                <w:noProof w:val="0"/>
              </w:rPr>
            </w:pPr>
          </w:p>
        </w:tc>
      </w:tr>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rPr>
                <w:noProof w:val="0"/>
              </w:rPr>
            </w:pPr>
          </w:p>
        </w:tc>
        <w:tc>
          <w:tcPr>
            <w:tcW w:w="284" w:type="dxa"/>
            <w:tcBorders>
              <w:top w:val="nil"/>
              <w:left w:val="nil"/>
              <w:bottom w:val="nil"/>
              <w:right w:val="nil"/>
            </w:tcBorders>
          </w:tcPr>
          <w:p w:rsidR="00FA7791" w:rsidRDefault="00FA7791" w:rsidP="00C47D82">
            <w:pPr>
              <w:pStyle w:val="ab"/>
              <w:rPr>
                <w:noProof w:val="0"/>
              </w:rPr>
            </w:pPr>
          </w:p>
        </w:tc>
      </w:tr>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ind w:left="-227" w:right="-227"/>
              <w:rPr>
                <w:noProof w:val="0"/>
              </w:rPr>
            </w:pPr>
          </w:p>
        </w:tc>
        <w:tc>
          <w:tcPr>
            <w:tcW w:w="284" w:type="dxa"/>
            <w:tcBorders>
              <w:top w:val="nil"/>
              <w:left w:val="nil"/>
              <w:bottom w:val="nil"/>
              <w:right w:val="nil"/>
            </w:tcBorders>
          </w:tcPr>
          <w:p w:rsidR="00FA7791" w:rsidRDefault="00FA7791" w:rsidP="00C47D82">
            <w:pPr>
              <w:pStyle w:val="ab"/>
              <w:rPr>
                <w:noProof w:val="0"/>
              </w:rPr>
            </w:pPr>
          </w:p>
        </w:tc>
      </w:tr>
    </w:tbl>
    <w:p w:rsidR="00FA7791" w:rsidRDefault="00FA7791" w:rsidP="00FA7791">
      <w:pPr>
        <w:rPr>
          <w:sz w:val="21"/>
          <w:rtl/>
        </w:rPr>
      </w:pPr>
    </w:p>
    <w:p w:rsidR="007769B1" w:rsidRPr="00FA7791" w:rsidRDefault="007769B1" w:rsidP="00FA7791">
      <w:pPr>
        <w:rPr>
          <w:szCs w:val="20"/>
          <w:rtl/>
        </w:rPr>
      </w:pPr>
    </w:p>
    <w:sectPr w:rsidR="007769B1"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CF" w:rsidRDefault="00A54CCF">
      <w:r>
        <w:separator/>
      </w:r>
    </w:p>
  </w:endnote>
  <w:endnote w:type="continuationSeparator" w:id="0">
    <w:p w:rsidR="00A54CCF" w:rsidRDefault="00A5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CF" w:rsidRDefault="00A54CCF">
      <w:r>
        <w:separator/>
      </w:r>
    </w:p>
  </w:footnote>
  <w:footnote w:type="continuationSeparator" w:id="0">
    <w:p w:rsidR="00A54CCF" w:rsidRDefault="00A54CCF">
      <w:r>
        <w:continuationSeparator/>
      </w:r>
    </w:p>
  </w:footnote>
  <w:footnote w:id="1">
    <w:p w:rsidR="00FA7791" w:rsidRPr="009A0FB2" w:rsidRDefault="00FA7791" w:rsidP="0048565E">
      <w:pPr>
        <w:pStyle w:val="a3"/>
        <w:rPr>
          <w:rtl/>
        </w:rPr>
      </w:pPr>
      <w:r>
        <w:rPr>
          <w:rStyle w:val="a5"/>
          <w:rtl/>
        </w:rPr>
        <w:t>*</w:t>
      </w:r>
      <w:r w:rsidRPr="001C4E63">
        <w:rPr>
          <w:rFonts w:hint="cs"/>
          <w:rtl/>
        </w:rPr>
        <w:t xml:space="preserve"> </w:t>
      </w:r>
      <w:bookmarkStart w:id="1" w:name="_ftn1"/>
      <w:bookmarkEnd w:id="1"/>
      <w:r>
        <w:rPr>
          <w:rFonts w:hint="cs"/>
          <w:rtl/>
        </w:rPr>
        <w:tab/>
        <w:t xml:space="preserve">השיחה </w:t>
      </w:r>
      <w:r w:rsidR="0048565E">
        <w:rPr>
          <w:rFonts w:hint="cs"/>
          <w:rtl/>
        </w:rPr>
        <w:t xml:space="preserve">הופיעה לראשונה בדף קשר </w:t>
      </w:r>
      <w:proofErr w:type="spellStart"/>
      <w:r w:rsidR="0048565E">
        <w:rPr>
          <w:rFonts w:hint="cs"/>
          <w:rtl/>
        </w:rPr>
        <w:t>גליון</w:t>
      </w:r>
      <w:proofErr w:type="spellEnd"/>
      <w:r w:rsidR="0048565E">
        <w:rPr>
          <w:rFonts w:hint="cs"/>
          <w:rtl/>
        </w:rPr>
        <w:t xml:space="preserve"> 1569 ו' בתשרי תשע"ט.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35455">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48565E">
          <w:pPr>
            <w:tabs>
              <w:tab w:val="right" w:pos="8220"/>
            </w:tabs>
            <w:bidi w:val="0"/>
            <w:spacing w:after="0" w:line="240" w:lineRule="auto"/>
            <w:jc w:val="left"/>
            <w:rPr>
              <w:sz w:val="28"/>
              <w:szCs w:val="24"/>
            </w:rPr>
          </w:pPr>
          <w:r>
            <w:rPr>
              <w:b/>
              <w:bCs/>
              <w:sz w:val="28"/>
              <w:szCs w:val="24"/>
            </w:rPr>
            <w:t>www.etzion.org.il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6413"/>
    <w:rsid w:val="00062C83"/>
    <w:rsid w:val="0006305C"/>
    <w:rsid w:val="00074142"/>
    <w:rsid w:val="000773F4"/>
    <w:rsid w:val="000A1BE6"/>
    <w:rsid w:val="000A56FC"/>
    <w:rsid w:val="000A5D16"/>
    <w:rsid w:val="000D3CEA"/>
    <w:rsid w:val="001051EE"/>
    <w:rsid w:val="001162A4"/>
    <w:rsid w:val="00130F07"/>
    <w:rsid w:val="001316F0"/>
    <w:rsid w:val="001571DB"/>
    <w:rsid w:val="001615CD"/>
    <w:rsid w:val="00163EE5"/>
    <w:rsid w:val="001B7F24"/>
    <w:rsid w:val="001C1CAA"/>
    <w:rsid w:val="001C4E63"/>
    <w:rsid w:val="001E3883"/>
    <w:rsid w:val="00281070"/>
    <w:rsid w:val="00293BED"/>
    <w:rsid w:val="002B4D51"/>
    <w:rsid w:val="002B6A17"/>
    <w:rsid w:val="002D22C4"/>
    <w:rsid w:val="002E0D3F"/>
    <w:rsid w:val="00307245"/>
    <w:rsid w:val="003128B3"/>
    <w:rsid w:val="003403F3"/>
    <w:rsid w:val="00351974"/>
    <w:rsid w:val="0037776B"/>
    <w:rsid w:val="00383BEA"/>
    <w:rsid w:val="003B10E1"/>
    <w:rsid w:val="003B38FF"/>
    <w:rsid w:val="003B5490"/>
    <w:rsid w:val="003C07F9"/>
    <w:rsid w:val="003E3654"/>
    <w:rsid w:val="004148C3"/>
    <w:rsid w:val="00431FA5"/>
    <w:rsid w:val="00475741"/>
    <w:rsid w:val="00477C74"/>
    <w:rsid w:val="0048565E"/>
    <w:rsid w:val="004D0C20"/>
    <w:rsid w:val="004F7707"/>
    <w:rsid w:val="00535455"/>
    <w:rsid w:val="0057194E"/>
    <w:rsid w:val="005D4972"/>
    <w:rsid w:val="005D5DBD"/>
    <w:rsid w:val="00612A40"/>
    <w:rsid w:val="00622528"/>
    <w:rsid w:val="0062477E"/>
    <w:rsid w:val="00625DC3"/>
    <w:rsid w:val="00664FE2"/>
    <w:rsid w:val="00666CEB"/>
    <w:rsid w:val="00680CBB"/>
    <w:rsid w:val="006C1C74"/>
    <w:rsid w:val="0072125D"/>
    <w:rsid w:val="00725631"/>
    <w:rsid w:val="00731FFA"/>
    <w:rsid w:val="00737519"/>
    <w:rsid w:val="007738DC"/>
    <w:rsid w:val="007769B1"/>
    <w:rsid w:val="007915D4"/>
    <w:rsid w:val="007A3EDF"/>
    <w:rsid w:val="007A5F86"/>
    <w:rsid w:val="007C0DC9"/>
    <w:rsid w:val="007C2346"/>
    <w:rsid w:val="007D5680"/>
    <w:rsid w:val="007F2116"/>
    <w:rsid w:val="00826B46"/>
    <w:rsid w:val="008309A4"/>
    <w:rsid w:val="00890769"/>
    <w:rsid w:val="008A0C18"/>
    <w:rsid w:val="008C169E"/>
    <w:rsid w:val="008E2357"/>
    <w:rsid w:val="00903190"/>
    <w:rsid w:val="0094617E"/>
    <w:rsid w:val="009565EF"/>
    <w:rsid w:val="009737F2"/>
    <w:rsid w:val="009A0FB2"/>
    <w:rsid w:val="009B58F1"/>
    <w:rsid w:val="009D22C0"/>
    <w:rsid w:val="00A11992"/>
    <w:rsid w:val="00A47B1D"/>
    <w:rsid w:val="00A54CCF"/>
    <w:rsid w:val="00A70ABB"/>
    <w:rsid w:val="00AA4FCC"/>
    <w:rsid w:val="00AB39B7"/>
    <w:rsid w:val="00AB6820"/>
    <w:rsid w:val="00AC35CD"/>
    <w:rsid w:val="00AD10A8"/>
    <w:rsid w:val="00B06009"/>
    <w:rsid w:val="00B16F9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B2FAC"/>
    <w:rsid w:val="00CD7181"/>
    <w:rsid w:val="00CD7418"/>
    <w:rsid w:val="00D0716C"/>
    <w:rsid w:val="00D139EF"/>
    <w:rsid w:val="00D73A0A"/>
    <w:rsid w:val="00D774DD"/>
    <w:rsid w:val="00D95E9E"/>
    <w:rsid w:val="00DA0136"/>
    <w:rsid w:val="00E72351"/>
    <w:rsid w:val="00E84C14"/>
    <w:rsid w:val="00ED7E69"/>
    <w:rsid w:val="00F3187A"/>
    <w:rsid w:val="00F3664E"/>
    <w:rsid w:val="00F57159"/>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60C0B74-CD96-4ADD-BFB2-B61A3D8C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535455"/>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53545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5D7D-67AC-46D0-958E-BEACF751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843</Words>
  <Characters>4100</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4934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3</cp:revision>
  <cp:lastPrinted>2019-10-06T11:01:00Z</cp:lastPrinted>
  <dcterms:created xsi:type="dcterms:W3CDTF">2019-10-06T11:00:00Z</dcterms:created>
  <dcterms:modified xsi:type="dcterms:W3CDTF">2019-10-06T11:05:00Z</dcterms:modified>
</cp:coreProperties>
</file>