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DF3A10">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DF3A1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DF3A10">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DF3A10">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DF3A10">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DF3A10" w:rsidRDefault="00DF3A10" w:rsidP="00DF3A10">
      <w:pPr>
        <w:spacing w:after="0" w:line="240" w:lineRule="auto"/>
        <w:jc w:val="center"/>
        <w:outlineLvl w:val="0"/>
        <w:rPr>
          <w:rFonts w:asciiTheme="minorBidi" w:hAnsiTheme="minorBidi"/>
          <w:b/>
          <w:bCs/>
          <w:i/>
          <w:iCs/>
          <w:sz w:val="24"/>
          <w:szCs w:val="24"/>
        </w:rPr>
      </w:pPr>
    </w:p>
    <w:p w:rsidR="0014188A" w:rsidRPr="000C1970" w:rsidRDefault="00984554" w:rsidP="00DF3A10">
      <w:pPr>
        <w:spacing w:after="0" w:line="240" w:lineRule="auto"/>
        <w:jc w:val="center"/>
        <w:outlineLvl w:val="0"/>
        <w:rPr>
          <w:rFonts w:asciiTheme="minorBidi" w:hAnsiTheme="minorBidi"/>
          <w:b/>
          <w:bCs/>
          <w:sz w:val="24"/>
          <w:szCs w:val="24"/>
        </w:rPr>
      </w:pPr>
      <w:r>
        <w:rPr>
          <w:rFonts w:asciiTheme="minorBidi" w:hAnsiTheme="minorBidi"/>
          <w:b/>
          <w:bCs/>
          <w:i/>
          <w:iCs/>
          <w:sz w:val="24"/>
          <w:szCs w:val="24"/>
        </w:rPr>
        <w:t>SUKKOT</w:t>
      </w:r>
    </w:p>
    <w:p w:rsidR="0014188A" w:rsidRPr="000C1970" w:rsidRDefault="0014188A" w:rsidP="00DF3A10">
      <w:pPr>
        <w:spacing w:after="0" w:line="240" w:lineRule="auto"/>
        <w:jc w:val="center"/>
        <w:rPr>
          <w:rFonts w:asciiTheme="minorBidi" w:hAnsiTheme="minorBidi"/>
          <w:b/>
          <w:bCs/>
          <w:sz w:val="24"/>
          <w:szCs w:val="24"/>
        </w:rPr>
      </w:pPr>
    </w:p>
    <w:p w:rsidR="004A6EF7" w:rsidRPr="00E752A6" w:rsidRDefault="00E752A6" w:rsidP="00DF3A10">
      <w:pPr>
        <w:spacing w:after="0" w:line="240" w:lineRule="auto"/>
        <w:jc w:val="center"/>
        <w:outlineLvl w:val="0"/>
        <w:rPr>
          <w:rFonts w:asciiTheme="minorBidi" w:hAnsiTheme="minorBidi"/>
          <w:b/>
          <w:bCs/>
          <w:i/>
          <w:iCs/>
          <w:sz w:val="24"/>
          <w:szCs w:val="24"/>
        </w:rPr>
      </w:pPr>
      <w:r>
        <w:rPr>
          <w:rFonts w:asciiTheme="minorBidi" w:hAnsiTheme="minorBidi"/>
          <w:b/>
          <w:bCs/>
          <w:i/>
          <w:iCs/>
          <w:sz w:val="24"/>
          <w:szCs w:val="24"/>
        </w:rPr>
        <w:t>Ka-Arava</w:t>
      </w:r>
    </w:p>
    <w:p w:rsidR="00F7770D" w:rsidRPr="000C1970" w:rsidRDefault="00F7770D" w:rsidP="00DF3A10">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E44888" w:rsidRDefault="00E44888" w:rsidP="00DF3A10">
      <w:pPr>
        <w:spacing w:after="0" w:line="240" w:lineRule="auto"/>
        <w:jc w:val="both"/>
        <w:rPr>
          <w:rFonts w:asciiTheme="minorBidi" w:hAnsiTheme="minorBidi"/>
          <w:b/>
          <w:bCs/>
          <w:sz w:val="24"/>
          <w:szCs w:val="24"/>
        </w:rPr>
      </w:pPr>
    </w:p>
    <w:p w:rsidR="00DF3A10" w:rsidRPr="000C1970" w:rsidRDefault="00DF3A10" w:rsidP="00DF3A10">
      <w:pPr>
        <w:spacing w:after="0" w:line="240" w:lineRule="auto"/>
        <w:jc w:val="both"/>
        <w:rPr>
          <w:rFonts w:asciiTheme="minorBidi" w:hAnsiTheme="minorBidi"/>
          <w:b/>
          <w:bCs/>
          <w:sz w:val="24"/>
          <w:szCs w:val="24"/>
        </w:rPr>
      </w:pPr>
    </w:p>
    <w:p w:rsidR="00CC464D" w:rsidRDefault="00635C8C" w:rsidP="00DF3A10">
      <w:pPr>
        <w:spacing w:after="0" w:line="240" w:lineRule="auto"/>
        <w:jc w:val="both"/>
        <w:rPr>
          <w:rFonts w:asciiTheme="minorBidi" w:hAnsiTheme="minorBidi"/>
          <w:b/>
          <w:bCs/>
          <w:sz w:val="24"/>
          <w:szCs w:val="24"/>
        </w:rPr>
      </w:pPr>
      <w:r>
        <w:rPr>
          <w:rFonts w:asciiTheme="minorBidi" w:hAnsiTheme="minorBidi"/>
          <w:b/>
          <w:bCs/>
          <w:sz w:val="24"/>
          <w:szCs w:val="24"/>
        </w:rPr>
        <w:t>Zechariah’s Prophecy and the Essence of Sukkot</w:t>
      </w:r>
    </w:p>
    <w:p w:rsidR="00823542" w:rsidRDefault="00823542" w:rsidP="00DF3A10">
      <w:pPr>
        <w:spacing w:after="0" w:line="240" w:lineRule="auto"/>
        <w:jc w:val="both"/>
        <w:rPr>
          <w:rFonts w:asciiTheme="minorBidi" w:hAnsiTheme="minorBidi"/>
          <w:b/>
          <w:bCs/>
          <w:sz w:val="24"/>
          <w:szCs w:val="24"/>
        </w:rPr>
      </w:pPr>
    </w:p>
    <w:p w:rsidR="00823542" w:rsidRPr="00FA3B10" w:rsidRDefault="00823542" w:rsidP="00DF3A10">
      <w:pPr>
        <w:spacing w:after="0" w:line="240" w:lineRule="auto"/>
        <w:jc w:val="both"/>
        <w:rPr>
          <w:rFonts w:asciiTheme="minorBidi" w:hAnsiTheme="minorBidi"/>
          <w:sz w:val="24"/>
          <w:szCs w:val="24"/>
        </w:rPr>
      </w:pPr>
      <w:r>
        <w:rPr>
          <w:rFonts w:asciiTheme="minorBidi" w:hAnsiTheme="minorBidi"/>
          <w:sz w:val="24"/>
          <w:szCs w:val="24"/>
        </w:rPr>
        <w:tab/>
        <w:t xml:space="preserve">The Jewish festivals possess a dual identity: </w:t>
      </w:r>
      <w:r w:rsidR="003F4F52">
        <w:rPr>
          <w:rFonts w:asciiTheme="minorBidi" w:hAnsiTheme="minorBidi"/>
          <w:sz w:val="24"/>
          <w:szCs w:val="24"/>
        </w:rPr>
        <w:t xml:space="preserve">They are partly </w:t>
      </w:r>
      <w:r>
        <w:rPr>
          <w:rFonts w:asciiTheme="minorBidi" w:hAnsiTheme="minorBidi"/>
          <w:sz w:val="24"/>
          <w:szCs w:val="24"/>
        </w:rPr>
        <w:t xml:space="preserve">global, </w:t>
      </w:r>
      <w:r w:rsidR="003F4F52">
        <w:rPr>
          <w:rFonts w:asciiTheme="minorBidi" w:hAnsiTheme="minorBidi"/>
          <w:sz w:val="24"/>
          <w:szCs w:val="24"/>
        </w:rPr>
        <w:t xml:space="preserve">relevant </w:t>
      </w:r>
      <w:r>
        <w:rPr>
          <w:rFonts w:asciiTheme="minorBidi" w:hAnsiTheme="minorBidi"/>
          <w:sz w:val="24"/>
          <w:szCs w:val="24"/>
        </w:rPr>
        <w:t xml:space="preserve">to all of mankind, and </w:t>
      </w:r>
      <w:r w:rsidR="003F4F52">
        <w:rPr>
          <w:rFonts w:asciiTheme="minorBidi" w:hAnsiTheme="minorBidi"/>
          <w:sz w:val="24"/>
          <w:szCs w:val="24"/>
        </w:rPr>
        <w:t xml:space="preserve">partly exclusive, </w:t>
      </w:r>
      <w:r>
        <w:rPr>
          <w:rFonts w:asciiTheme="minorBidi" w:hAnsiTheme="minorBidi"/>
          <w:sz w:val="24"/>
          <w:szCs w:val="24"/>
        </w:rPr>
        <w:t>relevant to the people of Israel</w:t>
      </w:r>
      <w:r w:rsidR="003F4F52">
        <w:rPr>
          <w:rFonts w:asciiTheme="minorBidi" w:hAnsiTheme="minorBidi"/>
          <w:sz w:val="24"/>
          <w:szCs w:val="24"/>
        </w:rPr>
        <w:t xml:space="preserve"> alone</w:t>
      </w:r>
      <w:r>
        <w:rPr>
          <w:rFonts w:asciiTheme="minorBidi" w:hAnsiTheme="minorBidi"/>
          <w:sz w:val="24"/>
          <w:szCs w:val="24"/>
        </w:rPr>
        <w:t xml:space="preserve">. The global side of the festivals is rooted in nature, while the other side is intrinsically connected to the history of the nation of Israel. Pesach is the Festival of Spring, of the blossoming and rejuvenation of the natural world. At the same time, it celebrates the rejuvenation of the nation of Israel, the pivotal transition from </w:t>
      </w:r>
      <w:r w:rsidR="003F4F52">
        <w:rPr>
          <w:rFonts w:asciiTheme="minorBidi" w:hAnsiTheme="minorBidi"/>
          <w:sz w:val="24"/>
          <w:szCs w:val="24"/>
        </w:rPr>
        <w:t>the darkness of enslavement</w:t>
      </w:r>
      <w:r>
        <w:rPr>
          <w:rFonts w:asciiTheme="minorBidi" w:hAnsiTheme="minorBidi"/>
          <w:sz w:val="24"/>
          <w:szCs w:val="24"/>
        </w:rPr>
        <w:t xml:space="preserve"> to complete freedom.</w:t>
      </w:r>
      <w:r w:rsidR="003F4F52">
        <w:rPr>
          <w:rFonts w:asciiTheme="minorBidi" w:hAnsiTheme="minorBidi"/>
          <w:sz w:val="24"/>
          <w:szCs w:val="24"/>
        </w:rPr>
        <w:t xml:space="preserve"> Shavuot marks the wheat harvest on the calendar and the beginning of the fruit season, while in terms of our national history it is a celebration of the Giving of the Torah and the promise of “But you shall be to Me a kingdom of priests and a holy nation” (Exodus 19:6). What about the festival of Sukkot? We are familiar with the natural side of the festival, the </w:t>
      </w:r>
      <w:r w:rsidR="004D7C2A">
        <w:rPr>
          <w:rFonts w:asciiTheme="minorBidi" w:hAnsiTheme="minorBidi"/>
          <w:sz w:val="24"/>
          <w:szCs w:val="24"/>
        </w:rPr>
        <w:t xml:space="preserve">joyous </w:t>
      </w:r>
      <w:r w:rsidR="003F4F52">
        <w:rPr>
          <w:rFonts w:asciiTheme="minorBidi" w:hAnsiTheme="minorBidi"/>
          <w:sz w:val="24"/>
          <w:szCs w:val="24"/>
        </w:rPr>
        <w:t xml:space="preserve">celebration as we gather the summer harvest and bring it into </w:t>
      </w:r>
      <w:r w:rsidR="004D7C2A">
        <w:rPr>
          <w:rFonts w:asciiTheme="minorBidi" w:hAnsiTheme="minorBidi"/>
          <w:sz w:val="24"/>
          <w:szCs w:val="24"/>
        </w:rPr>
        <w:t>our homes: “And the Feast of the Ingathering at the end of the year, when you gather in the results of your work from the field” (23:16). What is the side of the festival that pertains to the nation of Israel and its history? Of course, the verse, “I made the Israelite people live in booths” (Leviticus 23:43)</w:t>
      </w:r>
      <w:r w:rsidR="00FA3B10">
        <w:rPr>
          <w:rFonts w:asciiTheme="minorBidi" w:hAnsiTheme="minorBidi"/>
          <w:sz w:val="24"/>
          <w:szCs w:val="24"/>
        </w:rPr>
        <w:t xml:space="preserve"> is not relevant to this matter at all, as the verse does not refer to any particular date in the month of Tishrei, but rather to the overall experience of the </w:t>
      </w:r>
      <w:r w:rsidR="00F86D7E">
        <w:rPr>
          <w:rFonts w:asciiTheme="minorBidi" w:hAnsiTheme="minorBidi"/>
          <w:sz w:val="24"/>
          <w:szCs w:val="24"/>
        </w:rPr>
        <w:t>nation of Israel</w:t>
      </w:r>
      <w:r w:rsidR="00FA3B10">
        <w:rPr>
          <w:rFonts w:asciiTheme="minorBidi" w:hAnsiTheme="minorBidi"/>
          <w:sz w:val="24"/>
          <w:szCs w:val="24"/>
        </w:rPr>
        <w:t xml:space="preserve">. The answer to the question is provided by the prophet Zechariah, in a prophecy that we read as the </w:t>
      </w:r>
      <w:r w:rsidR="00FA3B10">
        <w:rPr>
          <w:rFonts w:asciiTheme="minorBidi" w:hAnsiTheme="minorBidi"/>
          <w:i/>
          <w:iCs/>
          <w:sz w:val="24"/>
          <w:szCs w:val="24"/>
        </w:rPr>
        <w:t xml:space="preserve">haftara </w:t>
      </w:r>
      <w:r w:rsidR="00FA3B10">
        <w:rPr>
          <w:rFonts w:asciiTheme="minorBidi" w:hAnsiTheme="minorBidi"/>
          <w:sz w:val="24"/>
          <w:szCs w:val="24"/>
        </w:rPr>
        <w:t>on the first day of Sukkot. Zechariah reveals to us that according to the divine plan, there will be a great war at the end of days. In this war, God will fight against the nations</w:t>
      </w:r>
      <w:r w:rsidR="0052604A">
        <w:rPr>
          <w:rFonts w:asciiTheme="minorBidi" w:hAnsiTheme="minorBidi"/>
          <w:sz w:val="24"/>
          <w:szCs w:val="24"/>
        </w:rPr>
        <w:t xml:space="preserve">, and the wicked will be defeated at the gates of Jerusalem. Following this, the prophet states: “All who survive of all those nations that came up against Jerusalem shall make a pilgrimage year by year to bow low to the King Lord of Hosts and to </w:t>
      </w:r>
      <w:r w:rsidR="00F86D7E">
        <w:rPr>
          <w:rFonts w:asciiTheme="minorBidi" w:hAnsiTheme="minorBidi"/>
          <w:sz w:val="24"/>
          <w:szCs w:val="24"/>
        </w:rPr>
        <w:t xml:space="preserve">celebrate </w:t>
      </w:r>
      <w:r w:rsidR="0052604A">
        <w:rPr>
          <w:rFonts w:asciiTheme="minorBidi" w:hAnsiTheme="minorBidi"/>
          <w:sz w:val="24"/>
          <w:szCs w:val="24"/>
        </w:rPr>
        <w:t xml:space="preserve">the Feast of Booths” – Sukkot (Zechariah 14:16). It seems that the prophet is alluding here to the notion that this war will be “the war of the festival of Sukkot.” We find here </w:t>
      </w:r>
      <w:r w:rsidR="006D429B">
        <w:rPr>
          <w:rFonts w:asciiTheme="minorBidi" w:hAnsiTheme="minorBidi"/>
          <w:sz w:val="24"/>
          <w:szCs w:val="24"/>
        </w:rPr>
        <w:t xml:space="preserve">the missing piece of the puzzle, the national historical event that stands parallel to the natural aspect of the festival. In addition to the agricultural ingathering of the harvest on Sukkot, we have a nation ingathering as well, redemption for a nation that </w:t>
      </w:r>
      <w:r w:rsidR="005652C0">
        <w:rPr>
          <w:rFonts w:asciiTheme="minorBidi" w:hAnsiTheme="minorBidi"/>
          <w:sz w:val="24"/>
          <w:szCs w:val="24"/>
        </w:rPr>
        <w:t xml:space="preserve">has </w:t>
      </w:r>
      <w:r w:rsidR="006D429B">
        <w:rPr>
          <w:rFonts w:asciiTheme="minorBidi" w:hAnsiTheme="minorBidi"/>
          <w:sz w:val="24"/>
          <w:szCs w:val="24"/>
        </w:rPr>
        <w:t xml:space="preserve">finally </w:t>
      </w:r>
      <w:r w:rsidR="00081C74">
        <w:rPr>
          <w:rFonts w:asciiTheme="minorBidi" w:hAnsiTheme="minorBidi"/>
          <w:sz w:val="24"/>
          <w:szCs w:val="24"/>
        </w:rPr>
        <w:t>end</w:t>
      </w:r>
      <w:r w:rsidR="005652C0">
        <w:rPr>
          <w:rFonts w:asciiTheme="minorBidi" w:hAnsiTheme="minorBidi"/>
          <w:sz w:val="24"/>
          <w:szCs w:val="24"/>
        </w:rPr>
        <w:t>ed</w:t>
      </w:r>
      <w:r w:rsidR="00081C74">
        <w:rPr>
          <w:rFonts w:asciiTheme="minorBidi" w:hAnsiTheme="minorBidi"/>
          <w:sz w:val="24"/>
          <w:szCs w:val="24"/>
        </w:rPr>
        <w:t xml:space="preserve"> the saga of </w:t>
      </w:r>
      <w:r w:rsidR="006D429B">
        <w:rPr>
          <w:rFonts w:asciiTheme="minorBidi" w:hAnsiTheme="minorBidi"/>
          <w:sz w:val="24"/>
          <w:szCs w:val="24"/>
        </w:rPr>
        <w:t>suffering and wandering. Henceforth, the nation of Israel will dwell safely and securely in its national homeland.</w:t>
      </w:r>
    </w:p>
    <w:p w:rsidR="008B32C0" w:rsidRDefault="008B32C0" w:rsidP="00DF3A10">
      <w:pPr>
        <w:spacing w:after="0" w:line="240" w:lineRule="auto"/>
        <w:jc w:val="both"/>
        <w:rPr>
          <w:rFonts w:asciiTheme="minorBidi" w:hAnsiTheme="minorBidi"/>
          <w:b/>
          <w:bCs/>
          <w:sz w:val="24"/>
          <w:szCs w:val="24"/>
        </w:rPr>
      </w:pPr>
    </w:p>
    <w:p w:rsidR="008B32C0" w:rsidRDefault="00635C8C" w:rsidP="00DF3A10">
      <w:pPr>
        <w:spacing w:after="0" w:line="240" w:lineRule="auto"/>
        <w:jc w:val="both"/>
        <w:rPr>
          <w:rFonts w:asciiTheme="minorBidi" w:hAnsiTheme="minorBidi"/>
          <w:b/>
          <w:bCs/>
          <w:sz w:val="24"/>
          <w:szCs w:val="24"/>
        </w:rPr>
      </w:pPr>
      <w:r>
        <w:rPr>
          <w:rFonts w:asciiTheme="minorBidi" w:hAnsiTheme="minorBidi"/>
          <w:b/>
          <w:bCs/>
          <w:sz w:val="24"/>
          <w:szCs w:val="24"/>
        </w:rPr>
        <w:t xml:space="preserve">“Then the Whole Country Will Become </w:t>
      </w:r>
      <w:r w:rsidR="00E752A6">
        <w:rPr>
          <w:rFonts w:asciiTheme="minorBidi" w:hAnsiTheme="minorBidi"/>
          <w:b/>
          <w:bCs/>
          <w:i/>
          <w:iCs/>
          <w:sz w:val="24"/>
          <w:szCs w:val="24"/>
        </w:rPr>
        <w:t>Ka-Arava</w:t>
      </w:r>
      <w:r>
        <w:rPr>
          <w:rFonts w:asciiTheme="minorBidi" w:hAnsiTheme="minorBidi"/>
          <w:b/>
          <w:bCs/>
          <w:sz w:val="24"/>
          <w:szCs w:val="24"/>
        </w:rPr>
        <w:t>”</w:t>
      </w:r>
    </w:p>
    <w:p w:rsidR="006D429B" w:rsidRDefault="006D429B" w:rsidP="00DF3A10">
      <w:pPr>
        <w:spacing w:after="0" w:line="240" w:lineRule="auto"/>
        <w:jc w:val="both"/>
        <w:rPr>
          <w:rFonts w:asciiTheme="minorBidi" w:hAnsiTheme="minorBidi"/>
          <w:b/>
          <w:bCs/>
          <w:sz w:val="24"/>
          <w:szCs w:val="24"/>
        </w:rPr>
      </w:pPr>
    </w:p>
    <w:p w:rsidR="006D429B" w:rsidRDefault="006D429B" w:rsidP="00DF3A10">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I would like to relate to a minor point in Zechariah’s prophecy, a linguistic point that has important geographical significance. The prophet speaks of </w:t>
      </w:r>
      <w:r w:rsidR="00E752A6">
        <w:rPr>
          <w:rFonts w:asciiTheme="minorBidi" w:hAnsiTheme="minorBidi"/>
          <w:sz w:val="24"/>
          <w:szCs w:val="24"/>
        </w:rPr>
        <w:t xml:space="preserve">changes that will affect the natural world as a result of the great war: the Mount of Olives will split, creating a huge gorge, fresh water shall flow from Jerusalem, etc. Then comes a unique verse: “Then the whole country will become </w:t>
      </w:r>
      <w:r w:rsidR="00E752A6">
        <w:rPr>
          <w:rFonts w:asciiTheme="minorBidi" w:hAnsiTheme="minorBidi"/>
          <w:i/>
          <w:iCs/>
          <w:sz w:val="24"/>
          <w:szCs w:val="24"/>
        </w:rPr>
        <w:t>ka-arava</w:t>
      </w:r>
      <w:r w:rsidR="00E752A6">
        <w:rPr>
          <w:rFonts w:asciiTheme="minorBidi" w:hAnsiTheme="minorBidi"/>
          <w:sz w:val="24"/>
          <w:szCs w:val="24"/>
        </w:rPr>
        <w:t>… but [Jerusalem] shall perch high up where it is, and shall be inhabited…” (Zechariah 14:10). What is the meaning of this verse? It seems that the verse is conveying that Jerusalem will be lifted up above all its surroundings.</w:t>
      </w:r>
    </w:p>
    <w:p w:rsidR="006F7833" w:rsidRDefault="006F7833" w:rsidP="00DF3A10">
      <w:pPr>
        <w:spacing w:after="0" w:line="240" w:lineRule="auto"/>
        <w:jc w:val="both"/>
        <w:rPr>
          <w:rFonts w:asciiTheme="minorBidi" w:hAnsiTheme="minorBidi"/>
          <w:sz w:val="24"/>
          <w:szCs w:val="24"/>
        </w:rPr>
      </w:pPr>
    </w:p>
    <w:p w:rsidR="006F7833" w:rsidRDefault="006F7833" w:rsidP="00DF3A10">
      <w:pPr>
        <w:spacing w:after="0" w:line="240" w:lineRule="auto"/>
        <w:jc w:val="both"/>
        <w:rPr>
          <w:rFonts w:asciiTheme="minorBidi" w:hAnsiTheme="minorBidi"/>
          <w:sz w:val="24"/>
          <w:szCs w:val="24"/>
        </w:rPr>
      </w:pPr>
      <w:r>
        <w:rPr>
          <w:rFonts w:asciiTheme="minorBidi" w:hAnsiTheme="minorBidi"/>
          <w:sz w:val="24"/>
          <w:szCs w:val="24"/>
        </w:rPr>
        <w:tab/>
        <w:t xml:space="preserve">The linguistic issue that I would like to clarify here does not concern a name, a word, a letter or even a whole vowel point. The issue concerns half of a vowel point, or more precisely, whether the point beneath the first letter in the word </w:t>
      </w:r>
      <w:r>
        <w:rPr>
          <w:rFonts w:asciiTheme="minorBidi" w:hAnsiTheme="minorBidi"/>
          <w:i/>
          <w:iCs/>
          <w:sz w:val="24"/>
          <w:szCs w:val="24"/>
        </w:rPr>
        <w:t>ka-arava</w:t>
      </w:r>
      <w:r>
        <w:rPr>
          <w:rFonts w:asciiTheme="minorBidi" w:hAnsiTheme="minorBidi"/>
          <w:sz w:val="24"/>
          <w:szCs w:val="24"/>
        </w:rPr>
        <w:t xml:space="preserve"> is a </w:t>
      </w:r>
      <w:r>
        <w:rPr>
          <w:rFonts w:asciiTheme="minorBidi" w:hAnsiTheme="minorBidi"/>
          <w:i/>
          <w:iCs/>
          <w:sz w:val="24"/>
          <w:szCs w:val="24"/>
        </w:rPr>
        <w:t xml:space="preserve">kamatz </w:t>
      </w:r>
      <w:r>
        <w:rPr>
          <w:rFonts w:asciiTheme="minorBidi" w:hAnsiTheme="minorBidi"/>
          <w:sz w:val="24"/>
          <w:szCs w:val="24"/>
        </w:rPr>
        <w:t>(</w:t>
      </w:r>
      <w:hyperlink r:id="rId9" w:tooltip="Kamatz" w:history="1">
        <w:r w:rsidR="00F36E14" w:rsidRPr="00F36E14">
          <w:rPr>
            <w:rFonts w:asciiTheme="minorBidi" w:hAnsiTheme="minorBidi"/>
            <w:sz w:val="24"/>
            <w:szCs w:val="24"/>
            <w:rtl/>
          </w:rPr>
          <w:t>כָּעֲרָבָה</w:t>
        </w:r>
        <w:r w:rsidR="00F36E14">
          <w:rPr>
            <w:rFonts w:asciiTheme="minorBidi" w:hAnsiTheme="minorBidi"/>
            <w:sz w:val="24"/>
            <w:szCs w:val="24"/>
          </w:rPr>
          <w:t>)</w:t>
        </w:r>
      </w:hyperlink>
      <w:r w:rsidR="00F36E14">
        <w:rPr>
          <w:rFonts w:asciiTheme="minorBidi" w:hAnsiTheme="minorBidi"/>
          <w:sz w:val="24"/>
          <w:szCs w:val="24"/>
        </w:rPr>
        <w:t xml:space="preserve"> </w:t>
      </w:r>
      <w:r>
        <w:rPr>
          <w:rFonts w:asciiTheme="minorBidi" w:hAnsiTheme="minorBidi"/>
          <w:sz w:val="24"/>
          <w:szCs w:val="24"/>
        </w:rPr>
        <w:t xml:space="preserve">or a </w:t>
      </w:r>
      <w:r>
        <w:rPr>
          <w:rFonts w:asciiTheme="minorBidi" w:hAnsiTheme="minorBidi"/>
          <w:i/>
          <w:iCs/>
          <w:sz w:val="24"/>
          <w:szCs w:val="24"/>
        </w:rPr>
        <w:t>patach</w:t>
      </w:r>
      <w:r w:rsidR="00F36E14">
        <w:rPr>
          <w:rFonts w:asciiTheme="minorBidi" w:hAnsiTheme="minorBidi"/>
          <w:sz w:val="24"/>
          <w:szCs w:val="24"/>
        </w:rPr>
        <w:t xml:space="preserve"> (</w:t>
      </w:r>
      <w:r w:rsidR="00F36E14" w:rsidRPr="00F36E14">
        <w:rPr>
          <w:rFonts w:asciiTheme="minorBidi" w:hAnsiTheme="minorBidi"/>
          <w:sz w:val="24"/>
          <w:szCs w:val="24"/>
          <w:rtl/>
        </w:rPr>
        <w:t>כַּעֲרָבָה</w:t>
      </w:r>
      <w:r w:rsidR="00F36E14">
        <w:rPr>
          <w:rFonts w:asciiTheme="minorBidi" w:hAnsiTheme="minorBidi"/>
          <w:sz w:val="24"/>
          <w:szCs w:val="24"/>
        </w:rPr>
        <w:t xml:space="preserve">). Most accurate versions of the </w:t>
      </w:r>
      <w:r w:rsidR="00F36E14">
        <w:rPr>
          <w:rFonts w:asciiTheme="minorBidi" w:hAnsiTheme="minorBidi"/>
          <w:i/>
          <w:iCs/>
          <w:sz w:val="24"/>
          <w:szCs w:val="24"/>
        </w:rPr>
        <w:t xml:space="preserve">Tanakh </w:t>
      </w:r>
      <w:r w:rsidR="00F36E14">
        <w:rPr>
          <w:rFonts w:asciiTheme="minorBidi" w:hAnsiTheme="minorBidi"/>
          <w:sz w:val="24"/>
          <w:szCs w:val="24"/>
        </w:rPr>
        <w:t xml:space="preserve">print the word with a </w:t>
      </w:r>
      <w:r w:rsidR="00F36E14">
        <w:rPr>
          <w:rFonts w:asciiTheme="minorBidi" w:hAnsiTheme="minorBidi"/>
          <w:i/>
          <w:iCs/>
          <w:sz w:val="24"/>
          <w:szCs w:val="24"/>
        </w:rPr>
        <w:t>kamatz</w:t>
      </w:r>
      <w:r w:rsidR="00F36E14">
        <w:rPr>
          <w:rFonts w:asciiTheme="minorBidi" w:hAnsiTheme="minorBidi"/>
          <w:sz w:val="24"/>
          <w:szCs w:val="24"/>
        </w:rPr>
        <w:t xml:space="preserve">. Some older printings and a few manuscripts render the word with a </w:t>
      </w:r>
      <w:r w:rsidR="00F36E14">
        <w:rPr>
          <w:rFonts w:asciiTheme="minorBidi" w:hAnsiTheme="minorBidi"/>
          <w:i/>
          <w:iCs/>
          <w:sz w:val="24"/>
          <w:szCs w:val="24"/>
        </w:rPr>
        <w:t>patach</w:t>
      </w:r>
      <w:r w:rsidR="00F36E14">
        <w:rPr>
          <w:rFonts w:asciiTheme="minorBidi" w:hAnsiTheme="minorBidi"/>
          <w:sz w:val="24"/>
          <w:szCs w:val="24"/>
        </w:rPr>
        <w:t xml:space="preserve">. </w:t>
      </w:r>
    </w:p>
    <w:p w:rsidR="00434AFC" w:rsidRDefault="00434AFC" w:rsidP="00DF3A10">
      <w:pPr>
        <w:spacing w:after="0" w:line="240" w:lineRule="auto"/>
        <w:jc w:val="both"/>
        <w:rPr>
          <w:rFonts w:asciiTheme="minorBidi" w:hAnsiTheme="minorBidi"/>
          <w:sz w:val="24"/>
          <w:szCs w:val="24"/>
        </w:rPr>
      </w:pPr>
    </w:p>
    <w:p w:rsidR="00434AFC" w:rsidRDefault="00434AFC" w:rsidP="00DF3A10">
      <w:pPr>
        <w:keepNext/>
        <w:spacing w:after="0" w:line="240" w:lineRule="auto"/>
        <w:jc w:val="center"/>
      </w:pPr>
      <w:r w:rsidRPr="00DF3A10">
        <w:rPr>
          <w:rFonts w:asciiTheme="minorBidi" w:hAnsiTheme="minorBidi"/>
          <w:noProof/>
          <w:sz w:val="24"/>
          <w:szCs w:val="24"/>
        </w:rPr>
        <w:drawing>
          <wp:inline distT="0" distB="0" distL="0" distR="0" wp14:anchorId="0F372C16" wp14:editId="52A2F074">
            <wp:extent cx="5276215" cy="1032510"/>
            <wp:effectExtent l="19050" t="0" r="635" b="0"/>
            <wp:docPr id="5" name="Picture 4" descr="kaarava ver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ava versions.jpg"/>
                    <pic:cNvPicPr/>
                  </pic:nvPicPr>
                  <pic:blipFill>
                    <a:blip r:embed="rId10" cstate="screen"/>
                    <a:stretch>
                      <a:fillRect/>
                    </a:stretch>
                  </pic:blipFill>
                  <pic:spPr>
                    <a:xfrm>
                      <a:off x="0" y="0"/>
                      <a:ext cx="5276215" cy="1032510"/>
                    </a:xfrm>
                    <a:prstGeom prst="rect">
                      <a:avLst/>
                    </a:prstGeom>
                  </pic:spPr>
                </pic:pic>
              </a:graphicData>
            </a:graphic>
          </wp:inline>
        </w:drawing>
      </w:r>
    </w:p>
    <w:p w:rsidR="00434AFC" w:rsidRPr="00DF3A10" w:rsidRDefault="00434AFC" w:rsidP="00DF3A10">
      <w:pPr>
        <w:pStyle w:val="Caption"/>
        <w:spacing w:after="0"/>
        <w:jc w:val="center"/>
        <w:rPr>
          <w:rFonts w:asciiTheme="minorBidi" w:hAnsiTheme="minorBidi"/>
          <w:sz w:val="20"/>
          <w:szCs w:val="20"/>
        </w:rPr>
      </w:pPr>
      <w:r>
        <w:rPr>
          <w:rFonts w:asciiTheme="minorBidi" w:hAnsiTheme="minorBidi"/>
          <w:b w:val="0"/>
          <w:bCs w:val="0"/>
          <w:i/>
          <w:iCs/>
          <w:color w:val="auto"/>
          <w:sz w:val="20"/>
          <w:szCs w:val="20"/>
        </w:rPr>
        <w:t>Ka-arava</w:t>
      </w:r>
      <w:r>
        <w:rPr>
          <w:rFonts w:asciiTheme="minorBidi" w:hAnsiTheme="minorBidi"/>
          <w:b w:val="0"/>
          <w:bCs w:val="0"/>
          <w:color w:val="auto"/>
          <w:sz w:val="20"/>
          <w:szCs w:val="20"/>
        </w:rPr>
        <w:t xml:space="preserve"> in various printings</w:t>
      </w:r>
      <w:r w:rsidR="00AA20FB">
        <w:rPr>
          <w:rFonts w:asciiTheme="minorBidi" w:hAnsiTheme="minorBidi"/>
          <w:b w:val="0"/>
          <w:bCs w:val="0"/>
          <w:color w:val="auto"/>
          <w:sz w:val="20"/>
          <w:szCs w:val="20"/>
        </w:rPr>
        <w:t xml:space="preserve">; the top two versions read </w:t>
      </w:r>
      <w:r w:rsidR="00AA20FB" w:rsidRPr="00AA20FB">
        <w:rPr>
          <w:rFonts w:asciiTheme="minorBidi" w:hAnsiTheme="minorBidi" w:cs="Arial"/>
          <w:b w:val="0"/>
          <w:bCs w:val="0"/>
          <w:color w:val="auto"/>
          <w:sz w:val="20"/>
          <w:szCs w:val="20"/>
          <w:rtl/>
        </w:rPr>
        <w:t>כָּעֲרָבָה</w:t>
      </w:r>
      <w:r w:rsidR="00AA20FB">
        <w:rPr>
          <w:rFonts w:asciiTheme="minorBidi" w:hAnsiTheme="minorBidi" w:cs="Arial"/>
          <w:b w:val="0"/>
          <w:bCs w:val="0"/>
          <w:color w:val="auto"/>
          <w:sz w:val="20"/>
          <w:szCs w:val="20"/>
        </w:rPr>
        <w:t xml:space="preserve">, with a </w:t>
      </w:r>
      <w:r w:rsidR="00AA20FB">
        <w:rPr>
          <w:rFonts w:asciiTheme="minorBidi" w:hAnsiTheme="minorBidi" w:cs="Arial"/>
          <w:b w:val="0"/>
          <w:bCs w:val="0"/>
          <w:i/>
          <w:iCs/>
          <w:color w:val="auto"/>
          <w:sz w:val="20"/>
          <w:szCs w:val="20"/>
        </w:rPr>
        <w:t>kamatz</w:t>
      </w:r>
      <w:r w:rsidR="00AA20FB">
        <w:rPr>
          <w:rFonts w:asciiTheme="minorBidi" w:hAnsiTheme="minorBidi" w:cs="Arial"/>
          <w:b w:val="0"/>
          <w:bCs w:val="0"/>
          <w:color w:val="auto"/>
          <w:sz w:val="20"/>
          <w:szCs w:val="20"/>
        </w:rPr>
        <w:t xml:space="preserve">, while the bottom two versions read </w:t>
      </w:r>
      <w:r w:rsidR="00AA20FB" w:rsidRPr="00DF3A10">
        <w:rPr>
          <w:rFonts w:asciiTheme="minorBidi" w:hAnsiTheme="minorBidi"/>
          <w:b w:val="0"/>
          <w:bCs w:val="0"/>
          <w:color w:val="auto"/>
          <w:sz w:val="20"/>
          <w:szCs w:val="20"/>
          <w:rtl/>
        </w:rPr>
        <w:t>כַּעֲרָבָה</w:t>
      </w:r>
      <w:r w:rsidR="00AA20FB">
        <w:rPr>
          <w:rFonts w:asciiTheme="minorBidi" w:hAnsiTheme="minorBidi"/>
          <w:b w:val="0"/>
          <w:bCs w:val="0"/>
          <w:color w:val="auto"/>
          <w:sz w:val="20"/>
          <w:szCs w:val="20"/>
        </w:rPr>
        <w:t xml:space="preserve">, with a </w:t>
      </w:r>
      <w:r w:rsidR="00AA20FB">
        <w:rPr>
          <w:rFonts w:asciiTheme="minorBidi" w:hAnsiTheme="minorBidi"/>
          <w:b w:val="0"/>
          <w:bCs w:val="0"/>
          <w:i/>
          <w:iCs/>
          <w:color w:val="auto"/>
          <w:sz w:val="20"/>
          <w:szCs w:val="20"/>
        </w:rPr>
        <w:t>patach</w:t>
      </w:r>
      <w:r w:rsidR="00AA20FB">
        <w:rPr>
          <w:rFonts w:asciiTheme="minorBidi" w:hAnsiTheme="minorBidi"/>
          <w:b w:val="0"/>
          <w:bCs w:val="0"/>
          <w:color w:val="auto"/>
          <w:sz w:val="20"/>
          <w:szCs w:val="20"/>
        </w:rPr>
        <w:t>. Clockwise from top-left: Koren Bible (courtesy of Koren Publishing House); Keter Aram Zova – the Aleppo Codex (courtesy of Machon Ben Zvi and Ardon Bar-Hama; MS T-S A16.4 from the Cairo Geniza (Cambridge Library); D. Ginzburg Bible, London 1906</w:t>
      </w:r>
      <w:r w:rsidR="00542935">
        <w:rPr>
          <w:rFonts w:asciiTheme="minorBidi" w:hAnsiTheme="minorBidi"/>
          <w:b w:val="0"/>
          <w:bCs w:val="0"/>
          <w:color w:val="auto"/>
          <w:sz w:val="20"/>
          <w:szCs w:val="20"/>
        </w:rPr>
        <w:t>.</w:t>
      </w:r>
    </w:p>
    <w:p w:rsidR="008B32C0" w:rsidRDefault="008B32C0" w:rsidP="00DF3A10">
      <w:pPr>
        <w:spacing w:after="0" w:line="240" w:lineRule="auto"/>
        <w:jc w:val="both"/>
        <w:rPr>
          <w:rFonts w:asciiTheme="minorBidi" w:hAnsiTheme="minorBidi"/>
          <w:b/>
          <w:bCs/>
          <w:sz w:val="24"/>
          <w:szCs w:val="24"/>
        </w:rPr>
      </w:pPr>
    </w:p>
    <w:p w:rsidR="00635C8C" w:rsidRDefault="00635C8C" w:rsidP="00DF3A10">
      <w:pPr>
        <w:spacing w:after="0" w:line="240" w:lineRule="auto"/>
        <w:jc w:val="both"/>
        <w:rPr>
          <w:rFonts w:asciiTheme="minorBidi" w:hAnsiTheme="minorBidi"/>
          <w:b/>
          <w:bCs/>
          <w:sz w:val="24"/>
          <w:szCs w:val="24"/>
        </w:rPr>
      </w:pPr>
      <w:r>
        <w:rPr>
          <w:rFonts w:asciiTheme="minorBidi" w:hAnsiTheme="minorBidi"/>
          <w:b/>
          <w:bCs/>
          <w:sz w:val="24"/>
          <w:szCs w:val="24"/>
        </w:rPr>
        <w:t xml:space="preserve">What is the Difference between </w:t>
      </w:r>
      <w:r>
        <w:rPr>
          <w:rFonts w:asciiTheme="minorBidi" w:hAnsiTheme="minorBidi"/>
          <w:b/>
          <w:bCs/>
          <w:i/>
          <w:iCs/>
          <w:sz w:val="24"/>
          <w:szCs w:val="24"/>
        </w:rPr>
        <w:t xml:space="preserve">Arava </w:t>
      </w:r>
      <w:r>
        <w:rPr>
          <w:rFonts w:asciiTheme="minorBidi" w:hAnsiTheme="minorBidi"/>
          <w:b/>
          <w:bCs/>
          <w:sz w:val="24"/>
          <w:szCs w:val="24"/>
        </w:rPr>
        <w:t xml:space="preserve">and </w:t>
      </w:r>
      <w:r>
        <w:rPr>
          <w:rFonts w:asciiTheme="minorBidi" w:hAnsiTheme="minorBidi"/>
          <w:b/>
          <w:bCs/>
          <w:i/>
          <w:iCs/>
          <w:sz w:val="24"/>
          <w:szCs w:val="24"/>
        </w:rPr>
        <w:t>Ha-Arava</w:t>
      </w:r>
      <w:r>
        <w:rPr>
          <w:rFonts w:asciiTheme="minorBidi" w:hAnsiTheme="minorBidi"/>
          <w:b/>
          <w:bCs/>
          <w:sz w:val="24"/>
          <w:szCs w:val="24"/>
        </w:rPr>
        <w:t>?</w:t>
      </w:r>
    </w:p>
    <w:p w:rsidR="009D4471" w:rsidRDefault="009D4471" w:rsidP="00DF3A10">
      <w:pPr>
        <w:spacing w:after="0" w:line="240" w:lineRule="auto"/>
        <w:jc w:val="both"/>
        <w:rPr>
          <w:rFonts w:asciiTheme="minorBidi" w:hAnsiTheme="minorBidi"/>
          <w:b/>
          <w:bCs/>
          <w:sz w:val="24"/>
          <w:szCs w:val="24"/>
        </w:rPr>
      </w:pPr>
    </w:p>
    <w:p w:rsidR="009D4471" w:rsidRDefault="009D4471" w:rsidP="00DF3A10">
      <w:pPr>
        <w:spacing w:after="0" w:line="240" w:lineRule="auto"/>
        <w:jc w:val="both"/>
        <w:rPr>
          <w:rFonts w:asciiTheme="minorBidi" w:hAnsiTheme="minorBidi"/>
          <w:sz w:val="24"/>
          <w:szCs w:val="24"/>
        </w:rPr>
      </w:pPr>
      <w:r w:rsidRPr="0058617C">
        <w:rPr>
          <w:rFonts w:asciiTheme="minorBidi" w:hAnsiTheme="minorBidi"/>
          <w:b/>
          <w:bCs/>
          <w:sz w:val="24"/>
          <w:szCs w:val="24"/>
        </w:rPr>
        <w:tab/>
      </w:r>
      <w:r w:rsidRPr="0058617C">
        <w:rPr>
          <w:rFonts w:asciiTheme="minorBidi" w:hAnsiTheme="minorBidi"/>
          <w:sz w:val="24"/>
          <w:szCs w:val="24"/>
        </w:rPr>
        <w:t>What significance can there possibly be in such a seemingly miniscule distinction? As it turns out, even this tiny change in one diacritical mark can affect the deeper meaning of the en</w:t>
      </w:r>
      <w:r w:rsidR="00CE6FF8" w:rsidRPr="0058617C">
        <w:rPr>
          <w:rFonts w:asciiTheme="minorBidi" w:hAnsiTheme="minorBidi"/>
          <w:sz w:val="24"/>
          <w:szCs w:val="24"/>
        </w:rPr>
        <w:t xml:space="preserve">tire message of the verse. First, a </w:t>
      </w:r>
      <w:r w:rsidR="00F67CF6" w:rsidRPr="0058617C">
        <w:rPr>
          <w:rFonts w:asciiTheme="minorBidi" w:hAnsiTheme="minorBidi"/>
          <w:sz w:val="24"/>
          <w:szCs w:val="24"/>
        </w:rPr>
        <w:t xml:space="preserve">few </w:t>
      </w:r>
      <w:r w:rsidR="00CE6FF8" w:rsidRPr="0058617C">
        <w:rPr>
          <w:rFonts w:asciiTheme="minorBidi" w:hAnsiTheme="minorBidi"/>
          <w:sz w:val="24"/>
          <w:szCs w:val="24"/>
        </w:rPr>
        <w:t>word of background on pre</w:t>
      </w:r>
      <w:r w:rsidR="00F67CF6" w:rsidRPr="0058617C">
        <w:rPr>
          <w:rFonts w:asciiTheme="minorBidi" w:hAnsiTheme="minorBidi"/>
          <w:sz w:val="24"/>
          <w:szCs w:val="24"/>
        </w:rPr>
        <w:t>positional prefixes in Hebrew.</w:t>
      </w:r>
      <w:r w:rsidR="00CE6FF8" w:rsidRPr="0058617C">
        <w:rPr>
          <w:rFonts w:asciiTheme="minorBidi" w:hAnsiTheme="minorBidi"/>
          <w:sz w:val="24"/>
          <w:szCs w:val="24"/>
        </w:rPr>
        <w:t xml:space="preserve"> When the prefix letters </w:t>
      </w:r>
      <w:r w:rsidR="00CE6FF8" w:rsidRPr="0058617C">
        <w:rPr>
          <w:rFonts w:asciiTheme="minorBidi" w:hAnsiTheme="minorBidi"/>
          <w:i/>
          <w:iCs/>
          <w:sz w:val="24"/>
          <w:szCs w:val="24"/>
        </w:rPr>
        <w:t>bet</w:t>
      </w:r>
      <w:r w:rsidR="00CE6FF8" w:rsidRPr="0058617C">
        <w:rPr>
          <w:rFonts w:asciiTheme="minorBidi" w:hAnsiTheme="minorBidi"/>
          <w:sz w:val="24"/>
          <w:szCs w:val="24"/>
        </w:rPr>
        <w:t xml:space="preserve">, </w:t>
      </w:r>
      <w:r w:rsidR="00CE6FF8" w:rsidRPr="0058617C">
        <w:rPr>
          <w:rFonts w:asciiTheme="minorBidi" w:hAnsiTheme="minorBidi"/>
          <w:i/>
          <w:iCs/>
          <w:sz w:val="24"/>
          <w:szCs w:val="24"/>
        </w:rPr>
        <w:t>kaf</w:t>
      </w:r>
      <w:r w:rsidR="00CE6FF8" w:rsidRPr="0058617C">
        <w:rPr>
          <w:rFonts w:asciiTheme="minorBidi" w:hAnsiTheme="minorBidi"/>
          <w:sz w:val="24"/>
          <w:szCs w:val="24"/>
        </w:rPr>
        <w:t xml:space="preserve"> and </w:t>
      </w:r>
      <w:r w:rsidR="00CE6FF8" w:rsidRPr="0058617C">
        <w:rPr>
          <w:rFonts w:asciiTheme="minorBidi" w:hAnsiTheme="minorBidi"/>
          <w:i/>
          <w:iCs/>
          <w:sz w:val="24"/>
          <w:szCs w:val="24"/>
        </w:rPr>
        <w:t>lamed</w:t>
      </w:r>
      <w:r w:rsidR="00CE6FF8" w:rsidRPr="0058617C">
        <w:rPr>
          <w:rFonts w:asciiTheme="minorBidi" w:hAnsiTheme="minorBidi"/>
          <w:sz w:val="24"/>
          <w:szCs w:val="24"/>
        </w:rPr>
        <w:t xml:space="preserve"> are followed by the definite article, the letter </w:t>
      </w:r>
      <w:r w:rsidR="00CE6FF8" w:rsidRPr="0058617C">
        <w:rPr>
          <w:rFonts w:asciiTheme="minorBidi" w:hAnsiTheme="minorBidi"/>
          <w:i/>
          <w:iCs/>
          <w:sz w:val="24"/>
          <w:szCs w:val="24"/>
        </w:rPr>
        <w:t xml:space="preserve">heh </w:t>
      </w:r>
      <w:r w:rsidR="00F67CF6" w:rsidRPr="0058617C">
        <w:rPr>
          <w:rFonts w:asciiTheme="minorBidi" w:hAnsiTheme="minorBidi"/>
          <w:sz w:val="24"/>
          <w:szCs w:val="24"/>
        </w:rPr>
        <w:t>is dropped and</w:t>
      </w:r>
      <w:r w:rsidR="00CE6FF8" w:rsidRPr="0058617C">
        <w:rPr>
          <w:rFonts w:asciiTheme="minorBidi" w:hAnsiTheme="minorBidi"/>
          <w:sz w:val="24"/>
          <w:szCs w:val="24"/>
        </w:rPr>
        <w:t xml:space="preserve"> the prefix letter receives the vowel point </w:t>
      </w:r>
      <w:r w:rsidR="00F67CF6" w:rsidRPr="0058617C">
        <w:rPr>
          <w:rFonts w:asciiTheme="minorBidi" w:hAnsiTheme="minorBidi"/>
          <w:sz w:val="24"/>
          <w:szCs w:val="24"/>
        </w:rPr>
        <w:t xml:space="preserve">of the </w:t>
      </w:r>
      <w:r w:rsidR="00F67CF6" w:rsidRPr="0058617C">
        <w:rPr>
          <w:rFonts w:asciiTheme="minorBidi" w:hAnsiTheme="minorBidi"/>
          <w:i/>
          <w:iCs/>
          <w:sz w:val="24"/>
          <w:szCs w:val="24"/>
        </w:rPr>
        <w:t>heh</w:t>
      </w:r>
      <w:r w:rsidR="00F67CF6" w:rsidRPr="0058617C">
        <w:rPr>
          <w:rFonts w:asciiTheme="minorBidi" w:hAnsiTheme="minorBidi"/>
          <w:sz w:val="24"/>
          <w:szCs w:val="24"/>
        </w:rPr>
        <w:t xml:space="preserve"> (generally a </w:t>
      </w:r>
      <w:r w:rsidR="00F67CF6" w:rsidRPr="0058617C">
        <w:rPr>
          <w:rFonts w:asciiTheme="minorBidi" w:hAnsiTheme="minorBidi"/>
          <w:i/>
          <w:iCs/>
          <w:sz w:val="24"/>
          <w:szCs w:val="24"/>
        </w:rPr>
        <w:t>patach</w:t>
      </w:r>
      <w:r w:rsidR="00253DBE">
        <w:rPr>
          <w:rFonts w:asciiTheme="minorBidi" w:hAnsiTheme="minorBidi"/>
          <w:sz w:val="24"/>
          <w:szCs w:val="24"/>
        </w:rPr>
        <w:t xml:space="preserve"> followed by a </w:t>
      </w:r>
      <w:r w:rsidR="001005F9" w:rsidRPr="00DF3A10">
        <w:rPr>
          <w:rFonts w:asciiTheme="minorBidi" w:hAnsiTheme="minorBidi"/>
          <w:i/>
          <w:iCs/>
          <w:sz w:val="24"/>
          <w:szCs w:val="24"/>
        </w:rPr>
        <w:t>dagesh</w:t>
      </w:r>
      <w:r w:rsidR="00F67CF6" w:rsidRPr="0058617C">
        <w:rPr>
          <w:rFonts w:asciiTheme="minorBidi" w:hAnsiTheme="minorBidi"/>
          <w:sz w:val="24"/>
          <w:szCs w:val="24"/>
        </w:rPr>
        <w:t xml:space="preserve">). When the prefix is not followed by the definite article, it generally receives a </w:t>
      </w:r>
      <w:r w:rsidR="00F67CF6" w:rsidRPr="0058617C">
        <w:rPr>
          <w:rFonts w:asciiTheme="minorBidi" w:hAnsiTheme="minorBidi"/>
          <w:i/>
          <w:iCs/>
          <w:sz w:val="24"/>
          <w:szCs w:val="24"/>
        </w:rPr>
        <w:t>shva</w:t>
      </w:r>
      <w:r w:rsidR="00F67CF6" w:rsidRPr="0058617C">
        <w:rPr>
          <w:rFonts w:asciiTheme="minorBidi" w:hAnsiTheme="minorBidi"/>
          <w:sz w:val="24"/>
          <w:szCs w:val="24"/>
        </w:rPr>
        <w:t xml:space="preserve">. </w:t>
      </w:r>
      <w:r w:rsidR="005652C0">
        <w:rPr>
          <w:rFonts w:asciiTheme="minorBidi" w:hAnsiTheme="minorBidi"/>
          <w:sz w:val="24"/>
          <w:szCs w:val="24"/>
        </w:rPr>
        <w:t>When t</w:t>
      </w:r>
      <w:r w:rsidR="00F54231">
        <w:rPr>
          <w:rFonts w:asciiTheme="minorBidi" w:hAnsiTheme="minorBidi"/>
          <w:sz w:val="24"/>
          <w:szCs w:val="24"/>
        </w:rPr>
        <w:t xml:space="preserve">he word </w:t>
      </w:r>
      <w:r w:rsidR="00F67CF6" w:rsidRPr="0058617C">
        <w:rPr>
          <w:rFonts w:asciiTheme="minorBidi" w:hAnsiTheme="minorBidi"/>
          <w:i/>
          <w:iCs/>
          <w:sz w:val="24"/>
          <w:szCs w:val="24"/>
        </w:rPr>
        <w:t>arava</w:t>
      </w:r>
      <w:r w:rsidR="00310B31">
        <w:rPr>
          <w:rFonts w:asciiTheme="minorBidi" w:hAnsiTheme="minorBidi"/>
          <w:sz w:val="24"/>
          <w:szCs w:val="24"/>
        </w:rPr>
        <w:t xml:space="preserve"> –</w:t>
      </w:r>
      <w:r w:rsidR="001005F9" w:rsidRPr="005652C0">
        <w:rPr>
          <w:rFonts w:asciiTheme="minorBidi" w:hAnsiTheme="minorBidi"/>
          <w:i/>
          <w:iCs/>
          <w:sz w:val="24"/>
          <w:szCs w:val="24"/>
        </w:rPr>
        <w:t xml:space="preserve"> </w:t>
      </w:r>
      <w:r w:rsidR="005652C0">
        <w:rPr>
          <w:rFonts w:asciiTheme="minorBidi" w:hAnsiTheme="minorBidi"/>
          <w:sz w:val="24"/>
          <w:szCs w:val="24"/>
        </w:rPr>
        <w:t xml:space="preserve">which </w:t>
      </w:r>
      <w:r w:rsidR="00F67CF6" w:rsidRPr="0058617C">
        <w:rPr>
          <w:rFonts w:asciiTheme="minorBidi" w:hAnsiTheme="minorBidi"/>
          <w:sz w:val="24"/>
          <w:szCs w:val="24"/>
        </w:rPr>
        <w:t xml:space="preserve">begins with </w:t>
      </w:r>
      <w:r w:rsidR="00F54231">
        <w:rPr>
          <w:rFonts w:asciiTheme="minorBidi" w:hAnsiTheme="minorBidi"/>
          <w:sz w:val="24"/>
          <w:szCs w:val="24"/>
        </w:rPr>
        <w:t xml:space="preserve">the </w:t>
      </w:r>
      <w:r w:rsidR="00F67CF6" w:rsidRPr="0058617C">
        <w:rPr>
          <w:rFonts w:asciiTheme="minorBidi" w:hAnsiTheme="minorBidi"/>
          <w:sz w:val="24"/>
          <w:szCs w:val="24"/>
        </w:rPr>
        <w:t xml:space="preserve">guttural letter </w:t>
      </w:r>
      <w:r w:rsidR="00F54231">
        <w:rPr>
          <w:rFonts w:asciiTheme="minorBidi" w:hAnsiTheme="minorBidi"/>
          <w:i/>
          <w:iCs/>
          <w:sz w:val="24"/>
          <w:szCs w:val="24"/>
        </w:rPr>
        <w:t>ayin</w:t>
      </w:r>
      <w:r w:rsidR="00F54231">
        <w:rPr>
          <w:rFonts w:asciiTheme="minorBidi" w:hAnsiTheme="minorBidi"/>
          <w:sz w:val="24"/>
          <w:szCs w:val="24"/>
        </w:rPr>
        <w:t xml:space="preserve"> </w:t>
      </w:r>
      <w:r w:rsidR="00AC537B">
        <w:rPr>
          <w:rFonts w:asciiTheme="minorBidi" w:hAnsiTheme="minorBidi"/>
          <w:sz w:val="24"/>
          <w:szCs w:val="24"/>
        </w:rPr>
        <w:t>punctuated with a</w:t>
      </w:r>
      <w:r w:rsidR="00F54231">
        <w:rPr>
          <w:rFonts w:asciiTheme="minorBidi" w:hAnsiTheme="minorBidi"/>
          <w:sz w:val="24"/>
          <w:szCs w:val="24"/>
        </w:rPr>
        <w:t xml:space="preserve"> </w:t>
      </w:r>
      <w:r w:rsidR="00F54231">
        <w:rPr>
          <w:rFonts w:asciiTheme="minorBidi" w:hAnsiTheme="minorBidi"/>
          <w:i/>
          <w:iCs/>
          <w:sz w:val="24"/>
          <w:szCs w:val="24"/>
        </w:rPr>
        <w:t xml:space="preserve">chataf patach </w:t>
      </w:r>
      <w:r w:rsidR="00F54231" w:rsidRPr="0058617C">
        <w:rPr>
          <w:rFonts w:asciiTheme="minorBidi" w:hAnsiTheme="minorBidi"/>
          <w:sz w:val="24"/>
          <w:szCs w:val="24"/>
        </w:rPr>
        <w:t>(</w:t>
      </w:r>
      <w:r w:rsidR="00F54231" w:rsidRPr="0058617C">
        <w:rPr>
          <w:rFonts w:asciiTheme="minorBidi" w:hAnsiTheme="minorBidi"/>
          <w:sz w:val="24"/>
          <w:szCs w:val="24"/>
          <w:rtl/>
        </w:rPr>
        <w:t>עֲרָבָה</w:t>
      </w:r>
      <w:r w:rsidR="00F54231" w:rsidRPr="0058617C">
        <w:rPr>
          <w:rFonts w:asciiTheme="minorBidi" w:hAnsiTheme="minorBidi"/>
          <w:sz w:val="24"/>
          <w:szCs w:val="24"/>
        </w:rPr>
        <w:t>)</w:t>
      </w:r>
      <w:r w:rsidR="00310B31">
        <w:rPr>
          <w:rFonts w:asciiTheme="minorBidi" w:hAnsiTheme="minorBidi"/>
          <w:sz w:val="24"/>
          <w:szCs w:val="24"/>
        </w:rPr>
        <w:t xml:space="preserve"> –</w:t>
      </w:r>
      <w:r w:rsidR="00F54231">
        <w:rPr>
          <w:rFonts w:asciiTheme="minorBidi" w:hAnsiTheme="minorBidi"/>
          <w:i/>
          <w:iCs/>
          <w:sz w:val="24"/>
          <w:szCs w:val="24"/>
        </w:rPr>
        <w:t xml:space="preserve"> </w:t>
      </w:r>
      <w:r w:rsidR="00F54231">
        <w:rPr>
          <w:rFonts w:asciiTheme="minorBidi" w:hAnsiTheme="minorBidi"/>
          <w:sz w:val="24"/>
          <w:szCs w:val="24"/>
        </w:rPr>
        <w:t>is preceded by the definite article, it</w:t>
      </w:r>
      <w:r w:rsidR="00F67CF6" w:rsidRPr="0058617C">
        <w:rPr>
          <w:rFonts w:asciiTheme="minorBidi" w:hAnsiTheme="minorBidi"/>
          <w:sz w:val="24"/>
          <w:szCs w:val="24"/>
        </w:rPr>
        <w:t xml:space="preserve"> </w:t>
      </w:r>
      <w:r w:rsidR="00310B31">
        <w:rPr>
          <w:rFonts w:asciiTheme="minorBidi" w:hAnsiTheme="minorBidi"/>
          <w:sz w:val="24"/>
          <w:szCs w:val="24"/>
        </w:rPr>
        <w:t xml:space="preserve">undergoes compensatory lengthening, </w:t>
      </w:r>
      <w:r w:rsidR="00F67CF6" w:rsidRPr="0058617C">
        <w:rPr>
          <w:rFonts w:asciiTheme="minorBidi" w:hAnsiTheme="minorBidi"/>
          <w:sz w:val="24"/>
          <w:szCs w:val="24"/>
        </w:rPr>
        <w:t>becom</w:t>
      </w:r>
      <w:r w:rsidR="00310B31">
        <w:rPr>
          <w:rFonts w:asciiTheme="minorBidi" w:hAnsiTheme="minorBidi"/>
          <w:sz w:val="24"/>
          <w:szCs w:val="24"/>
        </w:rPr>
        <w:t>ing</w:t>
      </w:r>
      <w:r w:rsidR="00F67CF6" w:rsidRPr="0058617C">
        <w:rPr>
          <w:rFonts w:asciiTheme="minorBidi" w:hAnsiTheme="minorBidi"/>
          <w:sz w:val="24"/>
          <w:szCs w:val="24"/>
        </w:rPr>
        <w:t xml:space="preserve"> </w:t>
      </w:r>
      <w:r w:rsidR="00F67CF6" w:rsidRPr="0058617C">
        <w:rPr>
          <w:rFonts w:asciiTheme="minorBidi" w:hAnsiTheme="minorBidi"/>
          <w:i/>
          <w:iCs/>
          <w:sz w:val="24"/>
          <w:szCs w:val="24"/>
        </w:rPr>
        <w:t>ha-arava</w:t>
      </w:r>
      <w:r w:rsidR="00F67CF6" w:rsidRPr="0058617C">
        <w:rPr>
          <w:rFonts w:asciiTheme="minorBidi" w:hAnsiTheme="minorBidi"/>
          <w:sz w:val="24"/>
          <w:szCs w:val="24"/>
        </w:rPr>
        <w:t xml:space="preserve"> with a </w:t>
      </w:r>
      <w:r w:rsidR="00F67CF6" w:rsidRPr="0058617C">
        <w:rPr>
          <w:rFonts w:asciiTheme="minorBidi" w:hAnsiTheme="minorBidi"/>
          <w:i/>
          <w:iCs/>
          <w:sz w:val="24"/>
          <w:szCs w:val="24"/>
        </w:rPr>
        <w:t>kamatz</w:t>
      </w:r>
      <w:r w:rsidR="00F67CF6" w:rsidRPr="0058617C">
        <w:rPr>
          <w:rFonts w:asciiTheme="minorBidi" w:hAnsiTheme="minorBidi"/>
          <w:sz w:val="24"/>
          <w:szCs w:val="24"/>
        </w:rPr>
        <w:t xml:space="preserve"> (</w:t>
      </w:r>
      <w:r w:rsidR="00F67CF6" w:rsidRPr="0058617C">
        <w:rPr>
          <w:rFonts w:asciiTheme="minorBidi" w:hAnsiTheme="minorBidi"/>
          <w:sz w:val="24"/>
          <w:szCs w:val="24"/>
          <w:rtl/>
        </w:rPr>
        <w:t>הָעֲרָבָה</w:t>
      </w:r>
      <w:r w:rsidR="00F67CF6" w:rsidRPr="0058617C">
        <w:rPr>
          <w:rFonts w:asciiTheme="minorBidi" w:hAnsiTheme="minorBidi"/>
          <w:sz w:val="24"/>
          <w:szCs w:val="24"/>
        </w:rPr>
        <w:t>)</w:t>
      </w:r>
      <w:r w:rsidR="00CB525B" w:rsidRPr="0058617C">
        <w:rPr>
          <w:rFonts w:asciiTheme="minorBidi" w:hAnsiTheme="minorBidi"/>
          <w:sz w:val="24"/>
          <w:szCs w:val="24"/>
        </w:rPr>
        <w:t xml:space="preserve">. </w:t>
      </w:r>
      <w:r w:rsidR="00F54231">
        <w:rPr>
          <w:rFonts w:asciiTheme="minorBidi" w:hAnsiTheme="minorBidi"/>
          <w:sz w:val="24"/>
          <w:szCs w:val="24"/>
        </w:rPr>
        <w:t xml:space="preserve">When a preposition is added </w:t>
      </w:r>
      <w:r w:rsidR="00CB525B" w:rsidRPr="0058617C">
        <w:rPr>
          <w:rFonts w:asciiTheme="minorBidi" w:hAnsiTheme="minorBidi"/>
          <w:sz w:val="24"/>
          <w:szCs w:val="24"/>
        </w:rPr>
        <w:t xml:space="preserve">– </w:t>
      </w:r>
      <w:r w:rsidR="00CB525B" w:rsidRPr="0058617C">
        <w:rPr>
          <w:rFonts w:asciiTheme="minorBidi" w:hAnsiTheme="minorBidi"/>
          <w:i/>
          <w:iCs/>
          <w:sz w:val="24"/>
          <w:szCs w:val="24"/>
        </w:rPr>
        <w:t>ba-arava</w:t>
      </w:r>
      <w:r w:rsidR="00CB525B" w:rsidRPr="0058617C">
        <w:rPr>
          <w:rFonts w:asciiTheme="minorBidi" w:hAnsiTheme="minorBidi"/>
          <w:sz w:val="24"/>
          <w:szCs w:val="24"/>
        </w:rPr>
        <w:t xml:space="preserve">, </w:t>
      </w:r>
      <w:r w:rsidR="00CB525B" w:rsidRPr="0058617C">
        <w:rPr>
          <w:rFonts w:asciiTheme="minorBidi" w:hAnsiTheme="minorBidi"/>
          <w:i/>
          <w:iCs/>
          <w:sz w:val="24"/>
          <w:szCs w:val="24"/>
        </w:rPr>
        <w:t>ka-arava</w:t>
      </w:r>
      <w:r w:rsidR="00CB525B" w:rsidRPr="0058617C">
        <w:rPr>
          <w:rFonts w:asciiTheme="minorBidi" w:hAnsiTheme="minorBidi"/>
          <w:sz w:val="24"/>
          <w:szCs w:val="24"/>
        </w:rPr>
        <w:t xml:space="preserve"> or </w:t>
      </w:r>
      <w:r w:rsidR="00CB525B" w:rsidRPr="0058617C">
        <w:rPr>
          <w:rFonts w:asciiTheme="minorBidi" w:hAnsiTheme="minorBidi"/>
          <w:i/>
          <w:iCs/>
          <w:sz w:val="24"/>
          <w:szCs w:val="24"/>
        </w:rPr>
        <w:t>la-arava</w:t>
      </w:r>
      <w:r w:rsidR="00CB525B" w:rsidRPr="0058617C">
        <w:rPr>
          <w:rFonts w:asciiTheme="minorBidi" w:hAnsiTheme="minorBidi"/>
          <w:sz w:val="24"/>
          <w:szCs w:val="24"/>
        </w:rPr>
        <w:t xml:space="preserve"> </w:t>
      </w:r>
      <w:r w:rsidR="0058617C" w:rsidRPr="0058617C">
        <w:rPr>
          <w:rFonts w:asciiTheme="minorBidi" w:hAnsiTheme="minorBidi"/>
          <w:sz w:val="24"/>
          <w:szCs w:val="24"/>
        </w:rPr>
        <w:t>–</w:t>
      </w:r>
      <w:r w:rsidR="00CB525B" w:rsidRPr="0058617C">
        <w:rPr>
          <w:rFonts w:asciiTheme="minorBidi" w:hAnsiTheme="minorBidi"/>
          <w:sz w:val="24"/>
          <w:szCs w:val="24"/>
        </w:rPr>
        <w:t xml:space="preserve"> </w:t>
      </w:r>
      <w:r w:rsidR="0058617C" w:rsidRPr="0058617C">
        <w:rPr>
          <w:rFonts w:asciiTheme="minorBidi" w:hAnsiTheme="minorBidi"/>
          <w:sz w:val="24"/>
          <w:szCs w:val="24"/>
        </w:rPr>
        <w:t xml:space="preserve">the prefix letter </w:t>
      </w:r>
      <w:r w:rsidR="00F54231">
        <w:rPr>
          <w:rFonts w:asciiTheme="minorBidi" w:hAnsiTheme="minorBidi"/>
          <w:i/>
          <w:iCs/>
          <w:sz w:val="24"/>
          <w:szCs w:val="24"/>
        </w:rPr>
        <w:t>bet</w:t>
      </w:r>
      <w:r w:rsidR="00F54231">
        <w:rPr>
          <w:rFonts w:asciiTheme="minorBidi" w:hAnsiTheme="minorBidi"/>
          <w:sz w:val="24"/>
          <w:szCs w:val="24"/>
        </w:rPr>
        <w:t xml:space="preserve">, </w:t>
      </w:r>
      <w:r w:rsidR="00F54231">
        <w:rPr>
          <w:rFonts w:asciiTheme="minorBidi" w:hAnsiTheme="minorBidi"/>
          <w:i/>
          <w:iCs/>
          <w:sz w:val="24"/>
          <w:szCs w:val="24"/>
        </w:rPr>
        <w:t>kaf</w:t>
      </w:r>
      <w:r w:rsidR="00F54231">
        <w:rPr>
          <w:rFonts w:asciiTheme="minorBidi" w:hAnsiTheme="minorBidi"/>
          <w:sz w:val="24"/>
          <w:szCs w:val="24"/>
        </w:rPr>
        <w:t xml:space="preserve"> or </w:t>
      </w:r>
      <w:r w:rsidR="00F54231">
        <w:rPr>
          <w:rFonts w:asciiTheme="minorBidi" w:hAnsiTheme="minorBidi"/>
          <w:i/>
          <w:iCs/>
          <w:sz w:val="24"/>
          <w:szCs w:val="24"/>
        </w:rPr>
        <w:t xml:space="preserve">lamed </w:t>
      </w:r>
      <w:r w:rsidR="0058617C" w:rsidRPr="0058617C">
        <w:rPr>
          <w:rFonts w:asciiTheme="minorBidi" w:hAnsiTheme="minorBidi"/>
          <w:sz w:val="24"/>
          <w:szCs w:val="24"/>
        </w:rPr>
        <w:t xml:space="preserve">receives the </w:t>
      </w:r>
      <w:r w:rsidR="0058617C" w:rsidRPr="0058617C">
        <w:rPr>
          <w:rFonts w:asciiTheme="minorBidi" w:hAnsiTheme="minorBidi"/>
          <w:i/>
          <w:iCs/>
          <w:sz w:val="24"/>
          <w:szCs w:val="24"/>
        </w:rPr>
        <w:t>kamatz</w:t>
      </w:r>
      <w:r w:rsidR="0058617C" w:rsidRPr="0058617C">
        <w:rPr>
          <w:rFonts w:asciiTheme="minorBidi" w:hAnsiTheme="minorBidi"/>
          <w:sz w:val="24"/>
          <w:szCs w:val="24"/>
        </w:rPr>
        <w:t xml:space="preserve"> of the definite article </w:t>
      </w:r>
      <w:r w:rsidR="0058617C" w:rsidRPr="0058617C">
        <w:rPr>
          <w:rFonts w:asciiTheme="minorBidi" w:hAnsiTheme="minorBidi"/>
          <w:i/>
          <w:iCs/>
          <w:sz w:val="24"/>
          <w:szCs w:val="24"/>
        </w:rPr>
        <w:t>heh</w:t>
      </w:r>
      <w:r w:rsidR="00F54231">
        <w:rPr>
          <w:rFonts w:asciiTheme="minorBidi" w:hAnsiTheme="minorBidi"/>
          <w:sz w:val="24"/>
          <w:szCs w:val="24"/>
        </w:rPr>
        <w:t xml:space="preserve"> (</w:t>
      </w:r>
      <w:r w:rsidR="00F54231" w:rsidRPr="00F54231">
        <w:rPr>
          <w:rFonts w:asciiTheme="minorBidi" w:hAnsiTheme="minorBidi"/>
          <w:sz w:val="24"/>
          <w:szCs w:val="24"/>
          <w:rtl/>
        </w:rPr>
        <w:t>בָּעֲרָבָה, כָּעֲרָבָה, לָעֲרָבָה</w:t>
      </w:r>
      <w:r w:rsidR="00F54231">
        <w:rPr>
          <w:rFonts w:asciiTheme="minorBidi" w:hAnsiTheme="minorBidi"/>
          <w:sz w:val="24"/>
          <w:szCs w:val="24"/>
        </w:rPr>
        <w:t>)</w:t>
      </w:r>
      <w:r w:rsidR="0058617C" w:rsidRPr="0058617C">
        <w:rPr>
          <w:rFonts w:asciiTheme="minorBidi" w:hAnsiTheme="minorBidi"/>
          <w:sz w:val="24"/>
          <w:szCs w:val="24"/>
        </w:rPr>
        <w:t xml:space="preserve">. However, in the word’s indefinite form, the prefix letter does not receive a </w:t>
      </w:r>
      <w:r w:rsidR="0058617C" w:rsidRPr="0058617C">
        <w:rPr>
          <w:rFonts w:asciiTheme="minorBidi" w:hAnsiTheme="minorBidi"/>
          <w:i/>
          <w:iCs/>
          <w:sz w:val="24"/>
          <w:szCs w:val="24"/>
        </w:rPr>
        <w:t>shva</w:t>
      </w:r>
      <w:r w:rsidR="0058617C" w:rsidRPr="0058617C">
        <w:rPr>
          <w:rFonts w:asciiTheme="minorBidi" w:hAnsiTheme="minorBidi"/>
          <w:sz w:val="24"/>
          <w:szCs w:val="24"/>
        </w:rPr>
        <w:t xml:space="preserve"> as in most other cases (due to the presence of </w:t>
      </w:r>
      <w:r w:rsidR="00F54231">
        <w:rPr>
          <w:rFonts w:asciiTheme="minorBidi" w:hAnsiTheme="minorBidi"/>
          <w:sz w:val="24"/>
          <w:szCs w:val="24"/>
        </w:rPr>
        <w:t>the</w:t>
      </w:r>
      <w:r w:rsidR="0058617C" w:rsidRPr="0058617C">
        <w:rPr>
          <w:rFonts w:asciiTheme="minorBidi" w:hAnsiTheme="minorBidi"/>
          <w:sz w:val="24"/>
          <w:szCs w:val="24"/>
        </w:rPr>
        <w:t xml:space="preserve"> </w:t>
      </w:r>
      <w:r w:rsidR="0058617C" w:rsidRPr="0058617C">
        <w:rPr>
          <w:rFonts w:asciiTheme="minorBidi" w:hAnsiTheme="minorBidi"/>
          <w:i/>
          <w:iCs/>
          <w:sz w:val="24"/>
          <w:szCs w:val="24"/>
        </w:rPr>
        <w:t>chataf patach</w:t>
      </w:r>
      <w:r w:rsidR="0058617C" w:rsidRPr="0058617C">
        <w:rPr>
          <w:rFonts w:asciiTheme="minorBidi" w:hAnsiTheme="minorBidi"/>
          <w:sz w:val="24"/>
          <w:szCs w:val="24"/>
        </w:rPr>
        <w:t xml:space="preserve"> following it). Instead, it receives a </w:t>
      </w:r>
      <w:r w:rsidR="0058617C" w:rsidRPr="0058617C">
        <w:rPr>
          <w:rFonts w:asciiTheme="minorBidi" w:hAnsiTheme="minorBidi"/>
          <w:i/>
          <w:iCs/>
          <w:sz w:val="24"/>
          <w:szCs w:val="24"/>
        </w:rPr>
        <w:t>patach</w:t>
      </w:r>
      <w:r w:rsidR="0058617C" w:rsidRPr="0058617C">
        <w:rPr>
          <w:rFonts w:asciiTheme="minorBidi" w:hAnsiTheme="minorBidi"/>
          <w:sz w:val="24"/>
          <w:szCs w:val="24"/>
        </w:rPr>
        <w:t xml:space="preserve">, yielding </w:t>
      </w:r>
      <w:r w:rsidR="0058617C" w:rsidRPr="0058617C">
        <w:rPr>
          <w:rFonts w:asciiTheme="minorBidi" w:hAnsiTheme="minorBidi"/>
          <w:i/>
          <w:iCs/>
          <w:sz w:val="24"/>
          <w:szCs w:val="24"/>
        </w:rPr>
        <w:t>va-arava</w:t>
      </w:r>
      <w:r w:rsidR="0058617C" w:rsidRPr="0058617C">
        <w:rPr>
          <w:rFonts w:asciiTheme="minorBidi" w:hAnsiTheme="minorBidi"/>
          <w:sz w:val="24"/>
          <w:szCs w:val="24"/>
        </w:rPr>
        <w:t xml:space="preserve">, </w:t>
      </w:r>
      <w:r w:rsidR="0058617C" w:rsidRPr="0058617C">
        <w:rPr>
          <w:rFonts w:asciiTheme="minorBidi" w:hAnsiTheme="minorBidi"/>
          <w:i/>
          <w:iCs/>
          <w:sz w:val="24"/>
          <w:szCs w:val="24"/>
        </w:rPr>
        <w:t>ba-arava</w:t>
      </w:r>
      <w:r w:rsidR="0058617C" w:rsidRPr="0058617C">
        <w:rPr>
          <w:rFonts w:asciiTheme="minorBidi" w:hAnsiTheme="minorBidi"/>
          <w:sz w:val="24"/>
          <w:szCs w:val="24"/>
        </w:rPr>
        <w:t>,</w:t>
      </w:r>
      <w:r w:rsidR="0058617C" w:rsidRPr="0058617C">
        <w:rPr>
          <w:rFonts w:asciiTheme="minorBidi" w:hAnsiTheme="minorBidi"/>
          <w:i/>
          <w:iCs/>
          <w:sz w:val="24"/>
          <w:szCs w:val="24"/>
        </w:rPr>
        <w:t xml:space="preserve"> ka-arava</w:t>
      </w:r>
      <w:r w:rsidR="0058617C" w:rsidRPr="0058617C">
        <w:rPr>
          <w:rFonts w:asciiTheme="minorBidi" w:hAnsiTheme="minorBidi"/>
          <w:sz w:val="24"/>
          <w:szCs w:val="24"/>
        </w:rPr>
        <w:t xml:space="preserve"> and </w:t>
      </w:r>
      <w:r w:rsidR="0058617C" w:rsidRPr="0058617C">
        <w:rPr>
          <w:rFonts w:asciiTheme="minorBidi" w:hAnsiTheme="minorBidi"/>
          <w:i/>
          <w:iCs/>
          <w:sz w:val="24"/>
          <w:szCs w:val="24"/>
        </w:rPr>
        <w:t>la-arava</w:t>
      </w:r>
      <w:r w:rsidR="0058617C" w:rsidRPr="0058617C">
        <w:rPr>
          <w:rFonts w:asciiTheme="minorBidi" w:hAnsiTheme="minorBidi"/>
          <w:sz w:val="24"/>
          <w:szCs w:val="24"/>
        </w:rPr>
        <w:t xml:space="preserve"> (</w:t>
      </w:r>
      <w:r w:rsidR="0058617C" w:rsidRPr="0058617C">
        <w:rPr>
          <w:rFonts w:asciiTheme="minorBidi" w:hAnsiTheme="minorBidi"/>
          <w:sz w:val="24"/>
          <w:szCs w:val="24"/>
          <w:rtl/>
        </w:rPr>
        <w:t>לַעֲרָבָה</w:t>
      </w:r>
      <w:r w:rsidR="0058617C" w:rsidRPr="0058617C">
        <w:rPr>
          <w:rFonts w:asciiTheme="minorBidi" w:hAnsiTheme="minorBidi"/>
          <w:sz w:val="24"/>
          <w:szCs w:val="24"/>
        </w:rPr>
        <w:t xml:space="preserve">, </w:t>
      </w:r>
      <w:r w:rsidR="0058617C" w:rsidRPr="0058617C">
        <w:rPr>
          <w:rFonts w:asciiTheme="minorBidi" w:hAnsiTheme="minorBidi"/>
          <w:sz w:val="24"/>
          <w:szCs w:val="24"/>
          <w:rtl/>
        </w:rPr>
        <w:t>כַּעֲרָבָה</w:t>
      </w:r>
      <w:r w:rsidR="0058617C" w:rsidRPr="0058617C">
        <w:rPr>
          <w:rFonts w:asciiTheme="minorBidi" w:hAnsiTheme="minorBidi"/>
          <w:sz w:val="24"/>
          <w:szCs w:val="24"/>
        </w:rPr>
        <w:t xml:space="preserve">, </w:t>
      </w:r>
      <w:r w:rsidR="0058617C" w:rsidRPr="0058617C">
        <w:rPr>
          <w:rFonts w:asciiTheme="minorBidi" w:hAnsiTheme="minorBidi"/>
          <w:sz w:val="24"/>
          <w:szCs w:val="24"/>
          <w:rtl/>
        </w:rPr>
        <w:t>בַּעֲרָבָה</w:t>
      </w:r>
      <w:r w:rsidR="0058617C" w:rsidRPr="0058617C">
        <w:rPr>
          <w:rFonts w:asciiTheme="minorBidi" w:hAnsiTheme="minorBidi"/>
          <w:sz w:val="24"/>
          <w:szCs w:val="24"/>
        </w:rPr>
        <w:t xml:space="preserve">, </w:t>
      </w:r>
      <w:r w:rsidR="0058617C" w:rsidRPr="0058617C">
        <w:rPr>
          <w:rFonts w:asciiTheme="minorBidi" w:hAnsiTheme="minorBidi"/>
          <w:sz w:val="24"/>
          <w:szCs w:val="24"/>
          <w:rtl/>
        </w:rPr>
        <w:t>וַעֲרָבָה</w:t>
      </w:r>
      <w:r w:rsidR="0058617C">
        <w:rPr>
          <w:rFonts w:asciiTheme="minorBidi" w:hAnsiTheme="minorBidi"/>
          <w:sz w:val="24"/>
          <w:szCs w:val="24"/>
        </w:rPr>
        <w:t>).</w:t>
      </w:r>
    </w:p>
    <w:p w:rsidR="0058617C" w:rsidRDefault="0058617C" w:rsidP="00DF3A10">
      <w:pPr>
        <w:spacing w:after="0" w:line="240" w:lineRule="auto"/>
        <w:jc w:val="both"/>
        <w:rPr>
          <w:rFonts w:asciiTheme="minorBidi" w:hAnsiTheme="minorBidi"/>
          <w:sz w:val="24"/>
          <w:szCs w:val="24"/>
        </w:rPr>
      </w:pPr>
    </w:p>
    <w:p w:rsidR="00F121CE" w:rsidRDefault="0058617C" w:rsidP="00DF3A10">
      <w:pPr>
        <w:spacing w:after="0" w:line="240" w:lineRule="auto"/>
        <w:jc w:val="both"/>
        <w:rPr>
          <w:rFonts w:asciiTheme="minorBidi" w:hAnsiTheme="minorBidi"/>
          <w:sz w:val="24"/>
          <w:szCs w:val="24"/>
        </w:rPr>
      </w:pPr>
      <w:r>
        <w:rPr>
          <w:rFonts w:asciiTheme="minorBidi" w:hAnsiTheme="minorBidi"/>
          <w:sz w:val="24"/>
          <w:szCs w:val="24"/>
        </w:rPr>
        <w:tab/>
        <w:t xml:space="preserve">Why does all this matter? </w:t>
      </w:r>
      <w:r w:rsidR="00F54231">
        <w:rPr>
          <w:rFonts w:asciiTheme="minorBidi" w:hAnsiTheme="minorBidi"/>
          <w:sz w:val="24"/>
          <w:szCs w:val="24"/>
        </w:rPr>
        <w:t xml:space="preserve">If one were to open a Bible concordance to view the various instances of the word </w:t>
      </w:r>
      <w:r w:rsidR="00F54231">
        <w:rPr>
          <w:rFonts w:asciiTheme="minorBidi" w:hAnsiTheme="minorBidi"/>
          <w:b/>
          <w:bCs/>
          <w:i/>
          <w:iCs/>
          <w:sz w:val="24"/>
          <w:szCs w:val="24"/>
        </w:rPr>
        <w:t>arava</w:t>
      </w:r>
      <w:r w:rsidR="00F54231">
        <w:rPr>
          <w:rFonts w:asciiTheme="minorBidi" w:hAnsiTheme="minorBidi"/>
          <w:sz w:val="24"/>
          <w:szCs w:val="24"/>
        </w:rPr>
        <w:t xml:space="preserve"> in the </w:t>
      </w:r>
      <w:r w:rsidR="00F54231">
        <w:rPr>
          <w:rFonts w:asciiTheme="minorBidi" w:hAnsiTheme="minorBidi"/>
          <w:i/>
          <w:iCs/>
          <w:sz w:val="24"/>
          <w:szCs w:val="24"/>
        </w:rPr>
        <w:t>Tanakh</w:t>
      </w:r>
      <w:r w:rsidR="00F54231">
        <w:rPr>
          <w:rFonts w:asciiTheme="minorBidi" w:hAnsiTheme="minorBidi"/>
          <w:sz w:val="24"/>
          <w:szCs w:val="24"/>
        </w:rPr>
        <w:t xml:space="preserve">, one would </w:t>
      </w:r>
      <w:r w:rsidR="00F54231">
        <w:rPr>
          <w:rFonts w:asciiTheme="minorBidi" w:hAnsiTheme="minorBidi"/>
          <w:sz w:val="24"/>
          <w:szCs w:val="24"/>
        </w:rPr>
        <w:lastRenderedPageBreak/>
        <w:t xml:space="preserve">encounter an interesting phenomenon. It turns out that throughout the </w:t>
      </w:r>
      <w:r w:rsidR="00F54231">
        <w:rPr>
          <w:rFonts w:asciiTheme="minorBidi" w:hAnsiTheme="minorBidi"/>
          <w:i/>
          <w:iCs/>
          <w:sz w:val="24"/>
          <w:szCs w:val="24"/>
        </w:rPr>
        <w:t>Tanakh</w:t>
      </w:r>
      <w:r w:rsidR="00F54231">
        <w:rPr>
          <w:rFonts w:asciiTheme="minorBidi" w:hAnsiTheme="minorBidi"/>
          <w:sz w:val="24"/>
          <w:szCs w:val="24"/>
        </w:rPr>
        <w:t>,</w:t>
      </w:r>
      <w:r w:rsidR="00F54231">
        <w:rPr>
          <w:rFonts w:asciiTheme="minorBidi" w:hAnsiTheme="minorBidi"/>
          <w:i/>
          <w:iCs/>
          <w:sz w:val="24"/>
          <w:szCs w:val="24"/>
        </w:rPr>
        <w:t xml:space="preserve"> </w:t>
      </w:r>
      <w:r w:rsidR="002A645D">
        <w:rPr>
          <w:rFonts w:asciiTheme="minorBidi" w:hAnsiTheme="minorBidi"/>
          <w:sz w:val="24"/>
          <w:szCs w:val="24"/>
        </w:rPr>
        <w:t xml:space="preserve">the word’s usage in poetic sections is distinctly different from its usage in prose sections. This is not the first time that we have highlighted this kind of distinction; we similarly noted in our discussion on </w:t>
      </w:r>
      <w:r w:rsidR="002A645D">
        <w:rPr>
          <w:rFonts w:asciiTheme="minorBidi" w:hAnsiTheme="minorBidi"/>
          <w:i/>
          <w:iCs/>
          <w:sz w:val="24"/>
          <w:szCs w:val="24"/>
        </w:rPr>
        <w:t xml:space="preserve">Parashat Shoftim </w:t>
      </w:r>
      <w:r w:rsidR="002A645D">
        <w:rPr>
          <w:rFonts w:asciiTheme="minorBidi" w:hAnsiTheme="minorBidi"/>
          <w:sz w:val="24"/>
          <w:szCs w:val="24"/>
        </w:rPr>
        <w:t xml:space="preserve">two different usages of the term </w:t>
      </w:r>
      <w:r w:rsidR="002A645D">
        <w:rPr>
          <w:rFonts w:asciiTheme="minorBidi" w:hAnsiTheme="minorBidi"/>
          <w:i/>
          <w:iCs/>
          <w:sz w:val="24"/>
          <w:szCs w:val="24"/>
        </w:rPr>
        <w:t>nachal</w:t>
      </w:r>
      <w:r w:rsidR="002A645D">
        <w:rPr>
          <w:rFonts w:asciiTheme="minorBidi" w:hAnsiTheme="minorBidi"/>
          <w:sz w:val="24"/>
          <w:szCs w:val="24"/>
        </w:rPr>
        <w:t xml:space="preserve"> in Biblical poetry and prose. Indeed, the same dichotomy exists in the case of </w:t>
      </w:r>
      <w:r w:rsidR="002A645D" w:rsidRPr="002A645D">
        <w:rPr>
          <w:rFonts w:asciiTheme="minorBidi" w:hAnsiTheme="minorBidi"/>
          <w:b/>
          <w:bCs/>
          <w:i/>
          <w:iCs/>
          <w:sz w:val="24"/>
          <w:szCs w:val="24"/>
        </w:rPr>
        <w:t>arava</w:t>
      </w:r>
      <w:r w:rsidR="002A645D">
        <w:rPr>
          <w:rFonts w:asciiTheme="minorBidi" w:hAnsiTheme="minorBidi"/>
          <w:sz w:val="24"/>
          <w:szCs w:val="24"/>
        </w:rPr>
        <w:t xml:space="preserve">. It is easy to see that in every poetic, literary usage of the word </w:t>
      </w:r>
      <w:r w:rsidR="002A645D">
        <w:rPr>
          <w:rFonts w:asciiTheme="minorBidi" w:hAnsiTheme="minorBidi"/>
          <w:b/>
          <w:bCs/>
          <w:i/>
          <w:iCs/>
          <w:sz w:val="24"/>
          <w:szCs w:val="24"/>
        </w:rPr>
        <w:t>arava</w:t>
      </w:r>
      <w:r w:rsidR="002A645D">
        <w:rPr>
          <w:rFonts w:asciiTheme="minorBidi" w:hAnsiTheme="minorBidi"/>
          <w:sz w:val="24"/>
          <w:szCs w:val="24"/>
        </w:rPr>
        <w:t>, the meaning is “wilderness” or “desolation.” In addition, the word generally appears without the definite article, as in the following verses: “Arid desert shall be glad, wilderness (</w:t>
      </w:r>
      <w:r w:rsidR="002A645D">
        <w:rPr>
          <w:rFonts w:asciiTheme="minorBidi" w:hAnsiTheme="minorBidi"/>
          <w:i/>
          <w:iCs/>
          <w:sz w:val="24"/>
          <w:szCs w:val="24"/>
        </w:rPr>
        <w:t>arava</w:t>
      </w:r>
      <w:r w:rsidR="002A645D">
        <w:rPr>
          <w:rFonts w:asciiTheme="minorBidi" w:hAnsiTheme="minorBidi"/>
          <w:sz w:val="24"/>
          <w:szCs w:val="24"/>
        </w:rPr>
        <w:t>)</w:t>
      </w:r>
      <w:r w:rsidR="002A645D">
        <w:rPr>
          <w:rFonts w:asciiTheme="minorBidi" w:hAnsiTheme="minorBidi"/>
          <w:i/>
          <w:iCs/>
          <w:sz w:val="24"/>
          <w:szCs w:val="24"/>
        </w:rPr>
        <w:t xml:space="preserve"> </w:t>
      </w:r>
      <w:r w:rsidR="002A645D">
        <w:rPr>
          <w:rFonts w:asciiTheme="minorBidi" w:hAnsiTheme="minorBidi"/>
          <w:sz w:val="24"/>
          <w:szCs w:val="24"/>
        </w:rPr>
        <w:t>shall rejoice and shall blossom like a rose” (Isaiah 35:1); “Who led us through the wilderness, a land of deserts (</w:t>
      </w:r>
      <w:r w:rsidR="002A645D">
        <w:rPr>
          <w:rFonts w:asciiTheme="minorBidi" w:hAnsiTheme="minorBidi"/>
          <w:i/>
          <w:iCs/>
          <w:sz w:val="24"/>
          <w:szCs w:val="24"/>
        </w:rPr>
        <w:t>arava</w:t>
      </w:r>
      <w:r w:rsidR="002A645D">
        <w:rPr>
          <w:rFonts w:asciiTheme="minorBidi" w:hAnsiTheme="minorBidi"/>
          <w:sz w:val="24"/>
          <w:szCs w:val="24"/>
        </w:rPr>
        <w:t>)</w:t>
      </w:r>
      <w:r w:rsidR="002A645D">
        <w:rPr>
          <w:rFonts w:asciiTheme="minorBidi" w:hAnsiTheme="minorBidi"/>
          <w:i/>
          <w:iCs/>
          <w:sz w:val="24"/>
          <w:szCs w:val="24"/>
        </w:rPr>
        <w:t xml:space="preserve"> </w:t>
      </w:r>
      <w:r w:rsidR="002A645D">
        <w:rPr>
          <w:rFonts w:asciiTheme="minorBidi" w:hAnsiTheme="minorBidi"/>
          <w:sz w:val="24"/>
          <w:szCs w:val="24"/>
        </w:rPr>
        <w:t xml:space="preserve">and pits, a land of drought and darkness, a land no man had traversed, where no human being had dwelt?” (Jeremiah 2:6); “Her towns are a desolation, a dry land and </w:t>
      </w:r>
      <w:r w:rsidR="00F121CE">
        <w:rPr>
          <w:rFonts w:asciiTheme="minorBidi" w:hAnsiTheme="minorBidi"/>
          <w:sz w:val="24"/>
          <w:szCs w:val="24"/>
        </w:rPr>
        <w:t>a wilderness</w:t>
      </w:r>
      <w:r w:rsidR="002A645D">
        <w:rPr>
          <w:rFonts w:asciiTheme="minorBidi" w:hAnsiTheme="minorBidi"/>
          <w:sz w:val="24"/>
          <w:szCs w:val="24"/>
        </w:rPr>
        <w:t xml:space="preserve"> </w:t>
      </w:r>
      <w:r w:rsidR="00F121CE">
        <w:rPr>
          <w:rFonts w:asciiTheme="minorBidi" w:hAnsiTheme="minorBidi"/>
          <w:sz w:val="24"/>
          <w:szCs w:val="24"/>
        </w:rPr>
        <w:t>(</w:t>
      </w:r>
      <w:r w:rsidR="00F121CE">
        <w:rPr>
          <w:rFonts w:asciiTheme="minorBidi" w:hAnsiTheme="minorBidi"/>
          <w:i/>
          <w:iCs/>
          <w:sz w:val="24"/>
          <w:szCs w:val="24"/>
        </w:rPr>
        <w:t>va-arava</w:t>
      </w:r>
      <w:r w:rsidR="00F121CE">
        <w:rPr>
          <w:rFonts w:asciiTheme="minorBidi" w:hAnsiTheme="minorBidi"/>
          <w:sz w:val="24"/>
          <w:szCs w:val="24"/>
        </w:rPr>
        <w:t>)</w:t>
      </w:r>
      <w:r w:rsidR="002A645D">
        <w:rPr>
          <w:rFonts w:asciiTheme="minorBidi" w:hAnsiTheme="minorBidi"/>
          <w:sz w:val="24"/>
          <w:szCs w:val="24"/>
        </w:rPr>
        <w:t>” (51:43).</w:t>
      </w:r>
      <w:r w:rsidR="00F121CE">
        <w:rPr>
          <w:rFonts w:asciiTheme="minorBidi" w:hAnsiTheme="minorBidi"/>
          <w:sz w:val="24"/>
          <w:szCs w:val="24"/>
        </w:rPr>
        <w:t xml:space="preserve"> In contrast, in prose sections throughout the </w:t>
      </w:r>
      <w:r w:rsidR="00F121CE">
        <w:rPr>
          <w:rFonts w:asciiTheme="minorBidi" w:hAnsiTheme="minorBidi"/>
          <w:i/>
          <w:iCs/>
          <w:sz w:val="24"/>
          <w:szCs w:val="24"/>
        </w:rPr>
        <w:t>Tanakh</w:t>
      </w:r>
      <w:r w:rsidR="00F121CE">
        <w:rPr>
          <w:rFonts w:asciiTheme="minorBidi" w:hAnsiTheme="minorBidi"/>
          <w:sz w:val="24"/>
          <w:szCs w:val="24"/>
        </w:rPr>
        <w:t xml:space="preserve"> the situation is quite different. There, the word consistently refers to the name of a region in the land of Israel, and thus it always appears with the definite article: </w:t>
      </w:r>
      <w:r w:rsidR="00F121CE">
        <w:rPr>
          <w:rFonts w:asciiTheme="minorBidi" w:hAnsiTheme="minorBidi"/>
          <w:i/>
          <w:iCs/>
          <w:sz w:val="24"/>
          <w:szCs w:val="24"/>
        </w:rPr>
        <w:t>Ha-Arava</w:t>
      </w:r>
      <w:r w:rsidR="00F121CE">
        <w:rPr>
          <w:rFonts w:asciiTheme="minorBidi" w:hAnsiTheme="minorBidi"/>
          <w:sz w:val="24"/>
          <w:szCs w:val="24"/>
        </w:rPr>
        <w:t>.</w:t>
      </w:r>
      <w:r w:rsidR="00F121CE">
        <w:rPr>
          <w:rStyle w:val="FootnoteReference"/>
          <w:rFonts w:asciiTheme="minorBidi" w:hAnsiTheme="minorBidi"/>
          <w:sz w:val="24"/>
          <w:szCs w:val="24"/>
        </w:rPr>
        <w:footnoteReference w:id="1"/>
      </w:r>
      <w:r w:rsidR="00F121CE">
        <w:rPr>
          <w:rFonts w:asciiTheme="minorBidi" w:hAnsiTheme="minorBidi"/>
          <w:sz w:val="24"/>
          <w:szCs w:val="24"/>
        </w:rPr>
        <w:t xml:space="preserve"> </w:t>
      </w:r>
    </w:p>
    <w:p w:rsidR="00F121CE" w:rsidRDefault="00F121CE" w:rsidP="00DF3A10">
      <w:pPr>
        <w:spacing w:after="0" w:line="240" w:lineRule="auto"/>
        <w:jc w:val="both"/>
        <w:rPr>
          <w:rFonts w:asciiTheme="minorBidi" w:hAnsiTheme="minorBidi"/>
          <w:sz w:val="24"/>
          <w:szCs w:val="24"/>
        </w:rPr>
      </w:pPr>
    </w:p>
    <w:p w:rsidR="007B6E6E" w:rsidRDefault="007B6E6E" w:rsidP="00DF3A10">
      <w:pPr>
        <w:keepNext/>
        <w:spacing w:after="0" w:line="240" w:lineRule="auto"/>
        <w:jc w:val="center"/>
      </w:pPr>
      <w:r w:rsidRPr="00DF3A10">
        <w:rPr>
          <w:rFonts w:asciiTheme="minorBidi" w:hAnsiTheme="minorBidi"/>
          <w:noProof/>
          <w:sz w:val="24"/>
          <w:szCs w:val="24"/>
        </w:rPr>
        <w:drawing>
          <wp:inline distT="0" distB="0" distL="0" distR="0" wp14:anchorId="4FEF6F47" wp14:editId="2F8CC82B">
            <wp:extent cx="5276215" cy="3518535"/>
            <wp:effectExtent l="19050" t="0" r="635" b="0"/>
            <wp:docPr id="2" name="Picture 1" descr="נגב כנרות שבתאי שיר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גב כנרות שבתאי שירן.jpg"/>
                    <pic:cNvPicPr/>
                  </pic:nvPicPr>
                  <pic:blipFill>
                    <a:blip r:embed="rId11" cstate="screen"/>
                    <a:stretch>
                      <a:fillRect/>
                    </a:stretch>
                  </pic:blipFill>
                  <pic:spPr>
                    <a:xfrm>
                      <a:off x="0" y="0"/>
                      <a:ext cx="5276215" cy="3518535"/>
                    </a:xfrm>
                    <a:prstGeom prst="rect">
                      <a:avLst/>
                    </a:prstGeom>
                  </pic:spPr>
                </pic:pic>
              </a:graphicData>
            </a:graphic>
          </wp:inline>
        </w:drawing>
      </w:r>
    </w:p>
    <w:p w:rsidR="007B6E6E" w:rsidRPr="00DF3A10" w:rsidRDefault="00C12DA4" w:rsidP="00DF3A10">
      <w:pPr>
        <w:pStyle w:val="Caption"/>
        <w:spacing w:after="0"/>
        <w:jc w:val="center"/>
        <w:rPr>
          <w:rFonts w:asciiTheme="minorBidi" w:hAnsiTheme="minorBidi"/>
          <w:sz w:val="20"/>
          <w:szCs w:val="20"/>
        </w:rPr>
      </w:pPr>
      <w:r>
        <w:rPr>
          <w:rFonts w:asciiTheme="minorBidi" w:hAnsiTheme="minorBidi"/>
          <w:b w:val="0"/>
          <w:bCs w:val="0"/>
          <w:color w:val="auto"/>
          <w:sz w:val="20"/>
          <w:szCs w:val="20"/>
        </w:rPr>
        <w:t>The fertile “Negev Kinnerot” south of the Sea of Galilee – part of the Biblical Arabah (Courtesy of Shabtay Shiran)</w:t>
      </w:r>
    </w:p>
    <w:p w:rsidR="007B6E6E" w:rsidRDefault="007B6E6E" w:rsidP="00DF3A10">
      <w:pPr>
        <w:spacing w:after="0" w:line="240" w:lineRule="auto"/>
        <w:jc w:val="both"/>
        <w:rPr>
          <w:rFonts w:asciiTheme="minorBidi" w:hAnsiTheme="minorBidi"/>
          <w:sz w:val="24"/>
          <w:szCs w:val="24"/>
        </w:rPr>
      </w:pPr>
    </w:p>
    <w:p w:rsidR="007B6E6E" w:rsidRDefault="00F121CE" w:rsidP="00DF3A10">
      <w:pPr>
        <w:spacing w:after="0" w:line="240" w:lineRule="auto"/>
        <w:ind w:firstLine="720"/>
        <w:jc w:val="both"/>
        <w:rPr>
          <w:rFonts w:asciiTheme="minorBidi" w:hAnsiTheme="minorBidi"/>
          <w:sz w:val="24"/>
          <w:szCs w:val="24"/>
        </w:rPr>
      </w:pPr>
      <w:r>
        <w:rPr>
          <w:rFonts w:asciiTheme="minorBidi" w:hAnsiTheme="minorBidi"/>
          <w:sz w:val="24"/>
          <w:szCs w:val="24"/>
        </w:rPr>
        <w:t xml:space="preserve">What is this region? Based on the lists of regions in the land of Israel that appear multiple times throughout the </w:t>
      </w:r>
      <w:r>
        <w:rPr>
          <w:rFonts w:asciiTheme="minorBidi" w:hAnsiTheme="minorBidi"/>
          <w:i/>
          <w:iCs/>
          <w:sz w:val="24"/>
          <w:szCs w:val="24"/>
        </w:rPr>
        <w:t>Tanakh</w:t>
      </w:r>
      <w:r>
        <w:rPr>
          <w:rFonts w:asciiTheme="minorBidi" w:hAnsiTheme="minorBidi"/>
          <w:sz w:val="24"/>
          <w:szCs w:val="24"/>
        </w:rPr>
        <w:t xml:space="preserve"> – such as, “</w:t>
      </w:r>
      <w:r w:rsidR="00992DF7">
        <w:rPr>
          <w:rFonts w:asciiTheme="minorBidi" w:hAnsiTheme="minorBidi"/>
          <w:sz w:val="24"/>
          <w:szCs w:val="24"/>
        </w:rPr>
        <w:t>In the Arabah, the hill country, the Shephelah, the Negeb, the seacoast</w:t>
      </w:r>
      <w:r>
        <w:rPr>
          <w:rFonts w:asciiTheme="minorBidi" w:hAnsiTheme="minorBidi"/>
          <w:sz w:val="24"/>
          <w:szCs w:val="24"/>
        </w:rPr>
        <w:t xml:space="preserve">” (Deuteronomy 1:7); </w:t>
      </w:r>
      <w:r w:rsidR="00992DF7">
        <w:rPr>
          <w:rFonts w:asciiTheme="minorBidi" w:hAnsiTheme="minorBidi"/>
          <w:sz w:val="24"/>
          <w:szCs w:val="24"/>
        </w:rPr>
        <w:t xml:space="preserve">and, </w:t>
      </w:r>
      <w:r>
        <w:rPr>
          <w:rFonts w:asciiTheme="minorBidi" w:hAnsiTheme="minorBidi"/>
          <w:sz w:val="24"/>
          <w:szCs w:val="24"/>
        </w:rPr>
        <w:t>“</w:t>
      </w:r>
      <w:r w:rsidR="00992DF7">
        <w:rPr>
          <w:rFonts w:asciiTheme="minorBidi" w:hAnsiTheme="minorBidi"/>
          <w:sz w:val="24"/>
          <w:szCs w:val="24"/>
        </w:rPr>
        <w:t>Joshua conquered the whole of this region: the hill country, the Negeb, the whole land of Goshen, the Shephelah, the Arabah</w:t>
      </w:r>
      <w:r>
        <w:rPr>
          <w:rFonts w:asciiTheme="minorBidi" w:hAnsiTheme="minorBidi"/>
          <w:sz w:val="24"/>
          <w:szCs w:val="24"/>
        </w:rPr>
        <w:t>”</w:t>
      </w:r>
      <w:r w:rsidR="00992DF7">
        <w:rPr>
          <w:rFonts w:asciiTheme="minorBidi" w:hAnsiTheme="minorBidi"/>
          <w:sz w:val="24"/>
          <w:szCs w:val="24"/>
        </w:rPr>
        <w:t xml:space="preserve"> (Joshua 11:16)</w:t>
      </w:r>
      <w:r>
        <w:rPr>
          <w:rFonts w:asciiTheme="minorBidi" w:hAnsiTheme="minorBidi"/>
          <w:sz w:val="24"/>
          <w:szCs w:val="24"/>
        </w:rPr>
        <w:t xml:space="preserve"> </w:t>
      </w:r>
      <w:r w:rsidR="00992DF7">
        <w:rPr>
          <w:rFonts w:asciiTheme="minorBidi" w:hAnsiTheme="minorBidi"/>
          <w:sz w:val="24"/>
          <w:szCs w:val="24"/>
        </w:rPr>
        <w:t xml:space="preserve">– it seems that the Arabah is the Jordan Rift Valley and the Dead Sea. This is </w:t>
      </w:r>
      <w:r w:rsidR="00992DF7">
        <w:rPr>
          <w:rFonts w:asciiTheme="minorBidi" w:hAnsiTheme="minorBidi"/>
          <w:sz w:val="24"/>
          <w:szCs w:val="24"/>
        </w:rPr>
        <w:lastRenderedPageBreak/>
        <w:t xml:space="preserve">sometimes written explicitly, as in the verse, </w:t>
      </w:r>
      <w:r w:rsidR="0026544F">
        <w:rPr>
          <w:rFonts w:asciiTheme="minorBidi" w:hAnsiTheme="minorBidi"/>
          <w:sz w:val="24"/>
          <w:szCs w:val="24"/>
        </w:rPr>
        <w:t>“And from Chinnereth down to the sea of the Arabah, the Dead Sea</w:t>
      </w:r>
      <w:r w:rsidR="00992DF7">
        <w:rPr>
          <w:rFonts w:asciiTheme="minorBidi" w:hAnsiTheme="minorBidi"/>
          <w:sz w:val="24"/>
          <w:szCs w:val="24"/>
        </w:rPr>
        <w:t xml:space="preserve">” (Deuteronomy 3:17). In another place, the word </w:t>
      </w:r>
      <w:r w:rsidR="00992DF7">
        <w:rPr>
          <w:rFonts w:asciiTheme="minorBidi" w:hAnsiTheme="minorBidi"/>
          <w:b/>
          <w:bCs/>
          <w:i/>
          <w:iCs/>
          <w:sz w:val="24"/>
          <w:szCs w:val="24"/>
        </w:rPr>
        <w:t>Ha-Arava</w:t>
      </w:r>
      <w:r w:rsidR="00992DF7">
        <w:rPr>
          <w:rFonts w:asciiTheme="minorBidi" w:hAnsiTheme="minorBidi"/>
          <w:sz w:val="24"/>
          <w:szCs w:val="24"/>
        </w:rPr>
        <w:t xml:space="preserve"> is mentioned in relation to Elat</w:t>
      </w:r>
      <w:r w:rsidR="0026544F">
        <w:rPr>
          <w:rFonts w:asciiTheme="minorBidi" w:hAnsiTheme="minorBidi"/>
          <w:sz w:val="24"/>
          <w:szCs w:val="24"/>
        </w:rPr>
        <w:t>h</w:t>
      </w:r>
      <w:r w:rsidR="00992DF7">
        <w:rPr>
          <w:rFonts w:asciiTheme="minorBidi" w:hAnsiTheme="minorBidi"/>
          <w:sz w:val="24"/>
          <w:szCs w:val="24"/>
        </w:rPr>
        <w:t xml:space="preserve"> and the Sea of Suph: “</w:t>
      </w:r>
      <w:r w:rsidR="0026544F">
        <w:rPr>
          <w:rFonts w:asciiTheme="minorBidi" w:hAnsiTheme="minorBidi"/>
          <w:sz w:val="24"/>
          <w:szCs w:val="24"/>
        </w:rPr>
        <w:t>We then moved on, away from our kinsmen, the descendants of Esau, who live in Seir, away from the road of the Arabah, away from Elath and Ezion-geber</w:t>
      </w:r>
      <w:r w:rsidR="00992DF7">
        <w:rPr>
          <w:rFonts w:asciiTheme="minorBidi" w:hAnsiTheme="minorBidi"/>
          <w:sz w:val="24"/>
          <w:szCs w:val="24"/>
        </w:rPr>
        <w:t xml:space="preserve">” (2:8). </w:t>
      </w:r>
      <w:r w:rsidR="0026544F">
        <w:rPr>
          <w:rFonts w:asciiTheme="minorBidi" w:hAnsiTheme="minorBidi"/>
          <w:sz w:val="24"/>
          <w:szCs w:val="24"/>
        </w:rPr>
        <w:t xml:space="preserve">However, we encounter </w:t>
      </w:r>
      <w:r w:rsidR="0026544F" w:rsidRPr="0026544F">
        <w:rPr>
          <w:rFonts w:asciiTheme="minorBidi" w:hAnsiTheme="minorBidi"/>
          <w:b/>
          <w:bCs/>
          <w:sz w:val="24"/>
          <w:szCs w:val="24"/>
        </w:rPr>
        <w:t>the</w:t>
      </w:r>
      <w:r w:rsidR="0026544F">
        <w:rPr>
          <w:rFonts w:asciiTheme="minorBidi" w:hAnsiTheme="minorBidi"/>
          <w:sz w:val="24"/>
          <w:szCs w:val="24"/>
        </w:rPr>
        <w:t xml:space="preserve"> </w:t>
      </w:r>
      <w:r w:rsidR="0026544F" w:rsidRPr="0026544F">
        <w:rPr>
          <w:rFonts w:asciiTheme="minorBidi" w:hAnsiTheme="minorBidi"/>
          <w:b/>
          <w:bCs/>
          <w:sz w:val="24"/>
          <w:szCs w:val="24"/>
        </w:rPr>
        <w:t>Arabah</w:t>
      </w:r>
      <w:r w:rsidR="0026544F">
        <w:rPr>
          <w:rFonts w:asciiTheme="minorBidi" w:hAnsiTheme="minorBidi"/>
          <w:sz w:val="24"/>
          <w:szCs w:val="24"/>
        </w:rPr>
        <w:t xml:space="preserve"> in the northern part of the land of Israel as well. King Jabin of Hazor calls to arms “the other kings in the north – in the hill country, in the Arabah</w:t>
      </w:r>
      <w:r w:rsidR="00E610D5">
        <w:rPr>
          <w:rFonts w:asciiTheme="minorBidi" w:hAnsiTheme="minorBidi"/>
          <w:sz w:val="24"/>
          <w:szCs w:val="24"/>
        </w:rPr>
        <w:t>,</w:t>
      </w:r>
      <w:r w:rsidR="0026544F">
        <w:rPr>
          <w:rFonts w:asciiTheme="minorBidi" w:hAnsiTheme="minorBidi"/>
          <w:sz w:val="24"/>
          <w:szCs w:val="24"/>
        </w:rPr>
        <w:t xml:space="preserve"> south of Chinnereth, in the lowlands and in the district of Dor on the west” (Joshua 11:2), meaning that there is a region called “</w:t>
      </w:r>
      <w:r w:rsidR="0026544F" w:rsidRPr="0026544F">
        <w:rPr>
          <w:rFonts w:asciiTheme="minorBidi" w:hAnsiTheme="minorBidi"/>
          <w:b/>
          <w:bCs/>
          <w:sz w:val="24"/>
          <w:szCs w:val="24"/>
        </w:rPr>
        <w:t>the Arabah</w:t>
      </w:r>
      <w:r w:rsidR="0026544F">
        <w:rPr>
          <w:rFonts w:asciiTheme="minorBidi" w:hAnsiTheme="minorBidi"/>
          <w:sz w:val="24"/>
          <w:szCs w:val="24"/>
        </w:rPr>
        <w:t xml:space="preserve">” in the north – a green, fertile region – as well. What can all these regions that the </w:t>
      </w:r>
      <w:r w:rsidR="0026544F">
        <w:rPr>
          <w:rFonts w:asciiTheme="minorBidi" w:hAnsiTheme="minorBidi"/>
          <w:i/>
          <w:iCs/>
          <w:sz w:val="24"/>
          <w:szCs w:val="24"/>
        </w:rPr>
        <w:t>Tanakh</w:t>
      </w:r>
      <w:r w:rsidR="0026544F">
        <w:rPr>
          <w:rFonts w:asciiTheme="minorBidi" w:hAnsiTheme="minorBidi"/>
          <w:sz w:val="24"/>
          <w:szCs w:val="24"/>
        </w:rPr>
        <w:t xml:space="preserve"> calls “</w:t>
      </w:r>
      <w:r w:rsidR="0026544F" w:rsidRPr="0026544F">
        <w:rPr>
          <w:rFonts w:asciiTheme="minorBidi" w:hAnsiTheme="minorBidi"/>
          <w:b/>
          <w:bCs/>
          <w:sz w:val="24"/>
          <w:szCs w:val="24"/>
        </w:rPr>
        <w:t>the Arabah</w:t>
      </w:r>
      <w:r w:rsidR="0026544F">
        <w:rPr>
          <w:rFonts w:asciiTheme="minorBidi" w:hAnsiTheme="minorBidi"/>
          <w:sz w:val="24"/>
          <w:szCs w:val="24"/>
        </w:rPr>
        <w:t>” possibly have in common?</w:t>
      </w:r>
    </w:p>
    <w:p w:rsidR="007B6E6E" w:rsidRDefault="007B6E6E" w:rsidP="00DF3A10">
      <w:pPr>
        <w:spacing w:after="0" w:line="240" w:lineRule="auto"/>
        <w:jc w:val="both"/>
        <w:rPr>
          <w:rFonts w:asciiTheme="minorBidi" w:hAnsiTheme="minorBidi"/>
          <w:sz w:val="24"/>
          <w:szCs w:val="24"/>
        </w:rPr>
      </w:pPr>
    </w:p>
    <w:p w:rsidR="007B6E6E" w:rsidRDefault="007B6E6E" w:rsidP="00DF3A10">
      <w:pPr>
        <w:keepNext/>
        <w:spacing w:after="0" w:line="240" w:lineRule="auto"/>
        <w:jc w:val="center"/>
      </w:pPr>
      <w:r w:rsidRPr="00DF3A10">
        <w:rPr>
          <w:rFonts w:asciiTheme="minorBidi" w:hAnsiTheme="minorBidi"/>
          <w:noProof/>
          <w:sz w:val="24"/>
          <w:szCs w:val="24"/>
        </w:rPr>
        <w:drawing>
          <wp:inline distT="0" distB="0" distL="0" distR="0" wp14:anchorId="46E7D723" wp14:editId="4735386D">
            <wp:extent cx="5276215" cy="3515995"/>
            <wp:effectExtent l="19050" t="0" r="635" b="0"/>
            <wp:docPr id="1" name="Picture 0" descr="מקורות הירדן רוטקו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קורות הירדן רוטקוף.jpg"/>
                    <pic:cNvPicPr/>
                  </pic:nvPicPr>
                  <pic:blipFill>
                    <a:blip r:embed="rId12" cstate="screen"/>
                    <a:stretch>
                      <a:fillRect/>
                    </a:stretch>
                  </pic:blipFill>
                  <pic:spPr>
                    <a:xfrm>
                      <a:off x="0" y="0"/>
                      <a:ext cx="5276215" cy="3515995"/>
                    </a:xfrm>
                    <a:prstGeom prst="rect">
                      <a:avLst/>
                    </a:prstGeom>
                  </pic:spPr>
                </pic:pic>
              </a:graphicData>
            </a:graphic>
          </wp:inline>
        </w:drawing>
      </w:r>
    </w:p>
    <w:p w:rsidR="0058617C" w:rsidRPr="00DF3A10" w:rsidRDefault="007B6E6E" w:rsidP="00DF3A10">
      <w:pPr>
        <w:pStyle w:val="Caption"/>
        <w:spacing w:after="0"/>
        <w:jc w:val="center"/>
        <w:rPr>
          <w:rFonts w:asciiTheme="minorBidi" w:hAnsiTheme="minorBidi"/>
          <w:sz w:val="20"/>
          <w:szCs w:val="20"/>
        </w:rPr>
      </w:pPr>
      <w:r>
        <w:rPr>
          <w:rFonts w:asciiTheme="minorBidi" w:hAnsiTheme="minorBidi"/>
          <w:b w:val="0"/>
          <w:bCs w:val="0"/>
          <w:color w:val="auto"/>
          <w:sz w:val="20"/>
          <w:szCs w:val="20"/>
        </w:rPr>
        <w:t>The region of the sources of the Jordan River (view from Mt. Hermon) – the northern part of the Biblical Arabah (Courtesy of Dr. Zev Rothkoff)</w:t>
      </w:r>
    </w:p>
    <w:p w:rsidR="0026544F" w:rsidRDefault="0026544F" w:rsidP="00DF3A10">
      <w:pPr>
        <w:spacing w:after="0" w:line="240" w:lineRule="auto"/>
        <w:ind w:firstLine="720"/>
        <w:jc w:val="both"/>
        <w:rPr>
          <w:rFonts w:asciiTheme="minorBidi" w:hAnsiTheme="minorBidi"/>
          <w:sz w:val="24"/>
          <w:szCs w:val="24"/>
        </w:rPr>
      </w:pPr>
    </w:p>
    <w:p w:rsidR="0026544F" w:rsidRDefault="0026544F" w:rsidP="00DF3A10">
      <w:pPr>
        <w:spacing w:after="0" w:line="240" w:lineRule="auto"/>
        <w:ind w:firstLine="720"/>
        <w:jc w:val="both"/>
        <w:rPr>
          <w:rFonts w:asciiTheme="minorBidi" w:hAnsiTheme="minorBidi"/>
          <w:sz w:val="24"/>
          <w:szCs w:val="24"/>
        </w:rPr>
      </w:pPr>
      <w:r>
        <w:rPr>
          <w:rFonts w:asciiTheme="minorBidi" w:hAnsiTheme="minorBidi"/>
          <w:sz w:val="24"/>
          <w:szCs w:val="24"/>
        </w:rPr>
        <w:t>Apparently, all of these regions ar</w:t>
      </w:r>
      <w:r w:rsidR="007F4284">
        <w:rPr>
          <w:rFonts w:asciiTheme="minorBidi" w:hAnsiTheme="minorBidi"/>
          <w:sz w:val="24"/>
          <w:szCs w:val="24"/>
        </w:rPr>
        <w:t>e fou</w:t>
      </w:r>
      <w:r>
        <w:rPr>
          <w:rFonts w:asciiTheme="minorBidi" w:hAnsiTheme="minorBidi"/>
          <w:sz w:val="24"/>
          <w:szCs w:val="24"/>
        </w:rPr>
        <w:t>nd within what is known today as the Great Rift Valley</w:t>
      </w:r>
      <w:r w:rsidR="007F4284">
        <w:rPr>
          <w:rFonts w:asciiTheme="minorBidi" w:hAnsiTheme="minorBidi"/>
          <w:sz w:val="24"/>
          <w:szCs w:val="24"/>
        </w:rPr>
        <w:t xml:space="preserve">, and </w:t>
      </w:r>
      <w:r w:rsidR="007F4284">
        <w:rPr>
          <w:rFonts w:asciiTheme="minorBidi" w:hAnsiTheme="minorBidi"/>
          <w:b/>
          <w:bCs/>
          <w:sz w:val="24"/>
          <w:szCs w:val="24"/>
        </w:rPr>
        <w:t>the Arabah</w:t>
      </w:r>
      <w:r w:rsidR="007F4284">
        <w:rPr>
          <w:rFonts w:asciiTheme="minorBidi" w:hAnsiTheme="minorBidi"/>
          <w:sz w:val="24"/>
          <w:szCs w:val="24"/>
        </w:rPr>
        <w:t xml:space="preserve"> is the name of the long valley </w:t>
      </w:r>
      <w:r w:rsidR="00EF0CC7">
        <w:rPr>
          <w:rFonts w:asciiTheme="minorBidi" w:hAnsiTheme="minorBidi"/>
          <w:sz w:val="24"/>
          <w:szCs w:val="24"/>
        </w:rPr>
        <w:t>between the Transjordan and</w:t>
      </w:r>
      <w:r w:rsidR="007F4284">
        <w:rPr>
          <w:rFonts w:asciiTheme="minorBidi" w:hAnsiTheme="minorBidi"/>
          <w:sz w:val="24"/>
          <w:szCs w:val="24"/>
        </w:rPr>
        <w:t xml:space="preserve"> the Cisjordan, running from the sources of the Jordan all the way to Eilat. Several Biblical expressions containing the term </w:t>
      </w:r>
      <w:r w:rsidR="007F4284">
        <w:rPr>
          <w:rFonts w:asciiTheme="minorBidi" w:hAnsiTheme="minorBidi"/>
          <w:i/>
          <w:iCs/>
          <w:sz w:val="24"/>
          <w:szCs w:val="24"/>
        </w:rPr>
        <w:t>arava</w:t>
      </w:r>
      <w:r w:rsidR="007F4284">
        <w:rPr>
          <w:rFonts w:asciiTheme="minorBidi" w:hAnsiTheme="minorBidi"/>
          <w:sz w:val="24"/>
          <w:szCs w:val="24"/>
        </w:rPr>
        <w:t xml:space="preserve"> or </w:t>
      </w:r>
      <w:r w:rsidR="007F4284">
        <w:rPr>
          <w:rFonts w:asciiTheme="minorBidi" w:hAnsiTheme="minorBidi"/>
          <w:i/>
          <w:iCs/>
          <w:sz w:val="24"/>
          <w:szCs w:val="24"/>
        </w:rPr>
        <w:t>aravot</w:t>
      </w:r>
      <w:r w:rsidR="007F4284">
        <w:rPr>
          <w:rFonts w:asciiTheme="minorBidi" w:hAnsiTheme="minorBidi"/>
          <w:sz w:val="24"/>
          <w:szCs w:val="24"/>
        </w:rPr>
        <w:t xml:space="preserve"> also refer to locations within that same rift, including </w:t>
      </w:r>
      <w:r w:rsidR="007F4284" w:rsidRPr="007F4284">
        <w:rPr>
          <w:rFonts w:asciiTheme="minorBidi" w:hAnsiTheme="minorBidi"/>
          <w:b/>
          <w:bCs/>
          <w:i/>
          <w:iCs/>
          <w:sz w:val="24"/>
          <w:szCs w:val="24"/>
        </w:rPr>
        <w:t>Arvot Mo</w:t>
      </w:r>
      <w:r w:rsidR="007F4284">
        <w:rPr>
          <w:rFonts w:asciiTheme="minorBidi" w:hAnsiTheme="minorBidi"/>
          <w:b/>
          <w:bCs/>
          <w:i/>
          <w:iCs/>
          <w:sz w:val="24"/>
          <w:szCs w:val="24"/>
        </w:rPr>
        <w:t>’</w:t>
      </w:r>
      <w:r w:rsidR="007F4284" w:rsidRPr="007F4284">
        <w:rPr>
          <w:rFonts w:asciiTheme="minorBidi" w:hAnsiTheme="minorBidi"/>
          <w:b/>
          <w:bCs/>
          <w:i/>
          <w:iCs/>
          <w:sz w:val="24"/>
          <w:szCs w:val="24"/>
        </w:rPr>
        <w:t>av</w:t>
      </w:r>
      <w:r w:rsidR="002F6C91">
        <w:rPr>
          <w:rFonts w:asciiTheme="minorBidi" w:hAnsiTheme="minorBidi"/>
          <w:sz w:val="24"/>
          <w:szCs w:val="24"/>
        </w:rPr>
        <w:t>;</w:t>
      </w:r>
      <w:r w:rsidR="007F4284">
        <w:rPr>
          <w:rFonts w:asciiTheme="minorBidi" w:hAnsiTheme="minorBidi"/>
          <w:sz w:val="24"/>
          <w:szCs w:val="24"/>
        </w:rPr>
        <w:t xml:space="preserve"> </w:t>
      </w:r>
      <w:r w:rsidR="007F4284" w:rsidRPr="007F4284">
        <w:rPr>
          <w:rFonts w:asciiTheme="minorBidi" w:hAnsiTheme="minorBidi"/>
          <w:b/>
          <w:bCs/>
          <w:i/>
          <w:iCs/>
          <w:sz w:val="24"/>
          <w:szCs w:val="24"/>
        </w:rPr>
        <w:t>Arvot Yericho</w:t>
      </w:r>
      <w:r w:rsidR="002F6C91">
        <w:rPr>
          <w:rFonts w:asciiTheme="minorBidi" w:hAnsiTheme="minorBidi"/>
          <w:sz w:val="24"/>
          <w:szCs w:val="24"/>
        </w:rPr>
        <w:t>;</w:t>
      </w:r>
      <w:r w:rsidR="007F4284">
        <w:rPr>
          <w:rFonts w:asciiTheme="minorBidi" w:hAnsiTheme="minorBidi"/>
          <w:sz w:val="24"/>
          <w:szCs w:val="24"/>
        </w:rPr>
        <w:t xml:space="preserve"> </w:t>
      </w:r>
      <w:r w:rsidR="007F4284" w:rsidRPr="007F4284">
        <w:rPr>
          <w:rFonts w:asciiTheme="minorBidi" w:hAnsiTheme="minorBidi"/>
          <w:b/>
          <w:bCs/>
          <w:i/>
          <w:iCs/>
          <w:sz w:val="24"/>
          <w:szCs w:val="24"/>
        </w:rPr>
        <w:t>Arvot Ha-Yarden</w:t>
      </w:r>
      <w:r w:rsidR="007F4284">
        <w:rPr>
          <w:rFonts w:asciiTheme="minorBidi" w:hAnsiTheme="minorBidi"/>
          <w:sz w:val="24"/>
          <w:szCs w:val="24"/>
        </w:rPr>
        <w:t xml:space="preserve"> and</w:t>
      </w:r>
      <w:r w:rsidR="002F6C91">
        <w:rPr>
          <w:rFonts w:asciiTheme="minorBidi" w:hAnsiTheme="minorBidi"/>
          <w:sz w:val="24"/>
          <w:szCs w:val="24"/>
        </w:rPr>
        <w:t>,</w:t>
      </w:r>
      <w:r w:rsidR="007F4284">
        <w:rPr>
          <w:rFonts w:asciiTheme="minorBidi" w:hAnsiTheme="minorBidi"/>
          <w:sz w:val="24"/>
          <w:szCs w:val="24"/>
        </w:rPr>
        <w:t xml:space="preserve"> of course, </w:t>
      </w:r>
      <w:r w:rsidR="007F4284" w:rsidRPr="007F4284">
        <w:rPr>
          <w:rFonts w:asciiTheme="minorBidi" w:hAnsiTheme="minorBidi"/>
          <w:b/>
          <w:bCs/>
          <w:i/>
          <w:iCs/>
          <w:sz w:val="24"/>
          <w:szCs w:val="24"/>
        </w:rPr>
        <w:t>Yam Ha-Arava</w:t>
      </w:r>
      <w:r w:rsidR="007F4284">
        <w:rPr>
          <w:rFonts w:asciiTheme="minorBidi" w:hAnsiTheme="minorBidi"/>
          <w:sz w:val="24"/>
          <w:szCs w:val="24"/>
        </w:rPr>
        <w:t xml:space="preserve"> (the sea of the Arabah, i</w:t>
      </w:r>
      <w:r w:rsidR="002F6C91">
        <w:rPr>
          <w:rFonts w:asciiTheme="minorBidi" w:hAnsiTheme="minorBidi"/>
          <w:sz w:val="24"/>
          <w:szCs w:val="24"/>
        </w:rPr>
        <w:t xml:space="preserve">.e., the Dead Sea); and the old/new settlement </w:t>
      </w:r>
      <w:r w:rsidR="002F6C91">
        <w:rPr>
          <w:rFonts w:asciiTheme="minorBidi" w:hAnsiTheme="minorBidi"/>
          <w:b/>
          <w:bCs/>
          <w:i/>
          <w:iCs/>
          <w:sz w:val="24"/>
          <w:szCs w:val="24"/>
        </w:rPr>
        <w:t>Beit Ha-Arava</w:t>
      </w:r>
      <w:r w:rsidR="002F6C91">
        <w:rPr>
          <w:rFonts w:asciiTheme="minorBidi" w:hAnsiTheme="minorBidi"/>
          <w:sz w:val="24"/>
          <w:szCs w:val="24"/>
        </w:rPr>
        <w:t xml:space="preserve"> to </w:t>
      </w:r>
      <w:r w:rsidR="00EF0CC7">
        <w:rPr>
          <w:rFonts w:asciiTheme="minorBidi" w:hAnsiTheme="minorBidi"/>
          <w:sz w:val="24"/>
          <w:szCs w:val="24"/>
        </w:rPr>
        <w:t xml:space="preserve">its </w:t>
      </w:r>
      <w:r w:rsidR="002F6C91">
        <w:rPr>
          <w:rFonts w:asciiTheme="minorBidi" w:hAnsiTheme="minorBidi"/>
          <w:sz w:val="24"/>
          <w:szCs w:val="24"/>
        </w:rPr>
        <w:t xml:space="preserve">north. The instances of these place names in the </w:t>
      </w:r>
      <w:r w:rsidR="002F6C91">
        <w:rPr>
          <w:rFonts w:asciiTheme="minorBidi" w:hAnsiTheme="minorBidi"/>
          <w:i/>
          <w:iCs/>
          <w:sz w:val="24"/>
          <w:szCs w:val="24"/>
        </w:rPr>
        <w:t>Tanakh</w:t>
      </w:r>
      <w:r w:rsidR="002F6C91">
        <w:rPr>
          <w:rFonts w:asciiTheme="minorBidi" w:hAnsiTheme="minorBidi"/>
          <w:sz w:val="24"/>
          <w:szCs w:val="24"/>
        </w:rPr>
        <w:t xml:space="preserve"> are all found in section of Biblical prose, and they all </w:t>
      </w:r>
      <w:r w:rsidR="00E610D5">
        <w:rPr>
          <w:rFonts w:asciiTheme="minorBidi" w:hAnsiTheme="minorBidi"/>
          <w:sz w:val="24"/>
          <w:szCs w:val="24"/>
        </w:rPr>
        <w:t xml:space="preserve">are </w:t>
      </w:r>
      <w:r w:rsidR="002F6C91">
        <w:rPr>
          <w:rFonts w:asciiTheme="minorBidi" w:hAnsiTheme="minorBidi"/>
          <w:sz w:val="24"/>
          <w:szCs w:val="24"/>
        </w:rPr>
        <w:t>definite as well.</w:t>
      </w:r>
      <w:r w:rsidR="002F6C91">
        <w:rPr>
          <w:rStyle w:val="FootnoteReference"/>
          <w:rFonts w:asciiTheme="minorBidi" w:hAnsiTheme="minorBidi"/>
          <w:sz w:val="24"/>
          <w:szCs w:val="24"/>
        </w:rPr>
        <w:footnoteReference w:id="2"/>
      </w:r>
      <w:r w:rsidR="00501BB9">
        <w:rPr>
          <w:rStyle w:val="FootnoteReference"/>
          <w:rFonts w:asciiTheme="minorBidi" w:hAnsiTheme="minorBidi"/>
          <w:sz w:val="24"/>
          <w:szCs w:val="24"/>
        </w:rPr>
        <w:footnoteReference w:id="3"/>
      </w:r>
    </w:p>
    <w:p w:rsidR="002F6C91" w:rsidRDefault="002F6C91" w:rsidP="00DF3A10">
      <w:pPr>
        <w:spacing w:after="0" w:line="240" w:lineRule="auto"/>
        <w:ind w:firstLine="720"/>
        <w:jc w:val="both"/>
        <w:rPr>
          <w:rFonts w:asciiTheme="minorBidi" w:hAnsiTheme="minorBidi"/>
          <w:sz w:val="24"/>
          <w:szCs w:val="24"/>
        </w:rPr>
      </w:pPr>
    </w:p>
    <w:p w:rsidR="00DF3A10" w:rsidRDefault="00DF3A10" w:rsidP="00DF3A10">
      <w:pPr>
        <w:spacing w:after="0" w:line="240" w:lineRule="auto"/>
        <w:ind w:firstLine="720"/>
        <w:jc w:val="both"/>
        <w:rPr>
          <w:rFonts w:asciiTheme="minorBidi" w:hAnsiTheme="minorBidi"/>
          <w:sz w:val="24"/>
          <w:szCs w:val="24"/>
        </w:rPr>
      </w:pPr>
      <w:r>
        <w:rPr>
          <w:rFonts w:asciiTheme="minorBidi" w:hAnsiTheme="minorBidi"/>
          <w:noProof/>
          <w:sz w:val="24"/>
          <w:szCs w:val="24"/>
        </w:rPr>
        <w:lastRenderedPageBreak/>
        <w:drawing>
          <wp:inline distT="0" distB="0" distL="0" distR="0" wp14:anchorId="5FC277DA" wp14:editId="427CC042">
            <wp:extent cx="5200650" cy="731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sukkot-map52.JPG"/>
                    <pic:cNvPicPr/>
                  </pic:nvPicPr>
                  <pic:blipFill>
                    <a:blip r:embed="rId13">
                      <a:extLst>
                        <a:ext uri="{28A0092B-C50C-407E-A947-70E740481C1C}">
                          <a14:useLocalDpi xmlns:a14="http://schemas.microsoft.com/office/drawing/2010/main" val="0"/>
                        </a:ext>
                      </a:extLst>
                    </a:blip>
                    <a:stretch>
                      <a:fillRect/>
                    </a:stretch>
                  </pic:blipFill>
                  <pic:spPr>
                    <a:xfrm>
                      <a:off x="0" y="0"/>
                      <a:ext cx="5200650" cy="7315200"/>
                    </a:xfrm>
                    <a:prstGeom prst="rect">
                      <a:avLst/>
                    </a:prstGeom>
                  </pic:spPr>
                </pic:pic>
              </a:graphicData>
            </a:graphic>
          </wp:inline>
        </w:drawing>
      </w:r>
    </w:p>
    <w:p w:rsidR="00DF3A10" w:rsidRDefault="00DF3A10" w:rsidP="00DF3A10">
      <w:pPr>
        <w:spacing w:after="0" w:line="240" w:lineRule="auto"/>
        <w:ind w:firstLine="720"/>
        <w:jc w:val="both"/>
        <w:rPr>
          <w:rFonts w:asciiTheme="minorBidi" w:hAnsiTheme="minorBidi"/>
          <w:sz w:val="24"/>
          <w:szCs w:val="24"/>
        </w:rPr>
      </w:pPr>
    </w:p>
    <w:p w:rsidR="002F6C91" w:rsidRDefault="002F6C91" w:rsidP="00DF3A10">
      <w:pPr>
        <w:spacing w:after="0" w:line="240" w:lineRule="auto"/>
        <w:ind w:firstLine="720"/>
        <w:jc w:val="both"/>
        <w:rPr>
          <w:rFonts w:asciiTheme="minorBidi" w:hAnsiTheme="minorBidi"/>
          <w:sz w:val="24"/>
          <w:szCs w:val="24"/>
        </w:rPr>
      </w:pPr>
      <w:r>
        <w:rPr>
          <w:rFonts w:asciiTheme="minorBidi" w:hAnsiTheme="minorBidi"/>
          <w:sz w:val="24"/>
          <w:szCs w:val="24"/>
        </w:rPr>
        <w:t xml:space="preserve">The region known today as </w:t>
      </w:r>
      <w:r w:rsidRPr="002F6C91">
        <w:rPr>
          <w:rFonts w:asciiTheme="minorBidi" w:hAnsiTheme="minorBidi"/>
          <w:b/>
          <w:bCs/>
          <w:sz w:val="24"/>
          <w:szCs w:val="24"/>
        </w:rPr>
        <w:t>the Arava</w:t>
      </w:r>
      <w:r>
        <w:rPr>
          <w:rFonts w:asciiTheme="minorBidi" w:hAnsiTheme="minorBidi"/>
          <w:b/>
          <w:bCs/>
          <w:sz w:val="24"/>
          <w:szCs w:val="24"/>
        </w:rPr>
        <w:t xml:space="preserve"> </w:t>
      </w:r>
      <w:r>
        <w:rPr>
          <w:rFonts w:asciiTheme="minorBidi" w:hAnsiTheme="minorBidi"/>
          <w:sz w:val="24"/>
          <w:szCs w:val="24"/>
        </w:rPr>
        <w:t>(preserved</w:t>
      </w:r>
      <w:r w:rsidR="00EF0CC7">
        <w:rPr>
          <w:rFonts w:asciiTheme="minorBidi" w:hAnsiTheme="minorBidi"/>
          <w:sz w:val="24"/>
          <w:szCs w:val="24"/>
        </w:rPr>
        <w:t xml:space="preserve"> also</w:t>
      </w:r>
      <w:r>
        <w:rPr>
          <w:rFonts w:asciiTheme="minorBidi" w:hAnsiTheme="minorBidi"/>
          <w:sz w:val="24"/>
          <w:szCs w:val="24"/>
        </w:rPr>
        <w:t xml:space="preserve"> in Arabic as </w:t>
      </w:r>
      <w:r w:rsidRPr="002F6C91">
        <w:rPr>
          <w:rFonts w:asciiTheme="minorBidi" w:hAnsiTheme="minorBidi"/>
          <w:sz w:val="24"/>
          <w:szCs w:val="24"/>
        </w:rPr>
        <w:t>Wadi ‘Araba</w:t>
      </w:r>
      <w:r>
        <w:rPr>
          <w:rFonts w:asciiTheme="minorBidi" w:hAnsiTheme="minorBidi"/>
          <w:sz w:val="24"/>
          <w:szCs w:val="24"/>
        </w:rPr>
        <w:t xml:space="preserve">) is </w:t>
      </w:r>
      <w:r w:rsidR="00EF0CC7">
        <w:rPr>
          <w:rFonts w:asciiTheme="minorBidi" w:hAnsiTheme="minorBidi"/>
          <w:sz w:val="24"/>
          <w:szCs w:val="24"/>
        </w:rPr>
        <w:t xml:space="preserve">in fact one </w:t>
      </w:r>
      <w:r>
        <w:rPr>
          <w:rFonts w:asciiTheme="minorBidi" w:hAnsiTheme="minorBidi"/>
          <w:sz w:val="24"/>
          <w:szCs w:val="24"/>
        </w:rPr>
        <w:t xml:space="preserve">part of the Biblical region called </w:t>
      </w:r>
      <w:r>
        <w:rPr>
          <w:rFonts w:asciiTheme="minorBidi" w:hAnsiTheme="minorBidi"/>
          <w:b/>
          <w:bCs/>
          <w:sz w:val="24"/>
          <w:szCs w:val="24"/>
        </w:rPr>
        <w:t>the</w:t>
      </w:r>
      <w:r>
        <w:rPr>
          <w:rFonts w:asciiTheme="minorBidi" w:hAnsiTheme="minorBidi"/>
          <w:sz w:val="24"/>
          <w:szCs w:val="24"/>
        </w:rPr>
        <w:t xml:space="preserve"> </w:t>
      </w:r>
      <w:r>
        <w:rPr>
          <w:rFonts w:asciiTheme="minorBidi" w:hAnsiTheme="minorBidi"/>
          <w:b/>
          <w:bCs/>
          <w:sz w:val="24"/>
          <w:szCs w:val="24"/>
        </w:rPr>
        <w:t>Arabah</w:t>
      </w:r>
      <w:r>
        <w:rPr>
          <w:rFonts w:asciiTheme="minorBidi" w:hAnsiTheme="minorBidi"/>
          <w:sz w:val="24"/>
          <w:szCs w:val="24"/>
        </w:rPr>
        <w:t>.</w:t>
      </w:r>
    </w:p>
    <w:p w:rsidR="002F6C91" w:rsidRDefault="002F6C91" w:rsidP="00DF3A10">
      <w:pPr>
        <w:spacing w:after="0" w:line="240" w:lineRule="auto"/>
        <w:ind w:firstLine="720"/>
        <w:jc w:val="both"/>
        <w:rPr>
          <w:rFonts w:asciiTheme="minorBidi" w:hAnsiTheme="minorBidi"/>
          <w:sz w:val="24"/>
          <w:szCs w:val="24"/>
        </w:rPr>
      </w:pPr>
    </w:p>
    <w:p w:rsidR="002F6C91" w:rsidRDefault="002F6C91" w:rsidP="00DF3A10">
      <w:pPr>
        <w:spacing w:after="0" w:line="240" w:lineRule="auto"/>
        <w:ind w:firstLine="720"/>
        <w:jc w:val="both"/>
        <w:rPr>
          <w:rFonts w:asciiTheme="minorBidi" w:hAnsiTheme="minorBidi"/>
          <w:sz w:val="24"/>
          <w:szCs w:val="24"/>
        </w:rPr>
      </w:pPr>
      <w:r>
        <w:rPr>
          <w:rFonts w:asciiTheme="minorBidi" w:hAnsiTheme="minorBidi"/>
          <w:sz w:val="24"/>
          <w:szCs w:val="24"/>
        </w:rPr>
        <w:t xml:space="preserve">How did two different meanings for the same concept develop in Biblical Hebrew? </w:t>
      </w:r>
      <w:r w:rsidR="0044397F">
        <w:rPr>
          <w:rFonts w:asciiTheme="minorBidi" w:hAnsiTheme="minorBidi"/>
          <w:sz w:val="24"/>
          <w:szCs w:val="24"/>
        </w:rPr>
        <w:t xml:space="preserve">It is doubtful if we will ever have the ability to answer this question, which relates to a very ancient period in the history of the Hebrew language. It may be that at first, the name referred to any region resembling </w:t>
      </w:r>
      <w:r w:rsidR="0044397F">
        <w:rPr>
          <w:rFonts w:asciiTheme="minorBidi" w:hAnsiTheme="minorBidi"/>
          <w:sz w:val="24"/>
          <w:szCs w:val="24"/>
        </w:rPr>
        <w:lastRenderedPageBreak/>
        <w:t>the southern Dead Sea region – a region that was both very arid and very flat</w:t>
      </w:r>
      <w:r w:rsidR="0044397F">
        <w:rPr>
          <w:rStyle w:val="FootnoteReference"/>
          <w:rFonts w:asciiTheme="minorBidi" w:hAnsiTheme="minorBidi"/>
          <w:sz w:val="24"/>
          <w:szCs w:val="24"/>
        </w:rPr>
        <w:footnoteReference w:id="4"/>
      </w:r>
      <w:r w:rsidR="0044397F">
        <w:rPr>
          <w:rFonts w:asciiTheme="minorBidi" w:hAnsiTheme="minorBidi"/>
          <w:sz w:val="24"/>
          <w:szCs w:val="24"/>
        </w:rPr>
        <w:t xml:space="preserve"> – and then each of these two features became the defining characteristic of </w:t>
      </w:r>
      <w:r w:rsidR="0044397F">
        <w:rPr>
          <w:rFonts w:asciiTheme="minorBidi" w:hAnsiTheme="minorBidi"/>
          <w:i/>
          <w:iCs/>
          <w:sz w:val="24"/>
          <w:szCs w:val="24"/>
        </w:rPr>
        <w:t>arava</w:t>
      </w:r>
      <w:r w:rsidR="0044397F">
        <w:rPr>
          <w:rFonts w:asciiTheme="minorBidi" w:hAnsiTheme="minorBidi"/>
          <w:sz w:val="24"/>
          <w:szCs w:val="24"/>
        </w:rPr>
        <w:t xml:space="preserve"> in different linguistic contexts.</w:t>
      </w:r>
    </w:p>
    <w:p w:rsidR="00C12DA4" w:rsidRDefault="00C12DA4" w:rsidP="00DF3A10">
      <w:pPr>
        <w:spacing w:after="0" w:line="240" w:lineRule="auto"/>
        <w:jc w:val="both"/>
        <w:rPr>
          <w:rFonts w:asciiTheme="minorBidi" w:hAnsiTheme="minorBidi"/>
          <w:sz w:val="24"/>
          <w:szCs w:val="24"/>
        </w:rPr>
      </w:pPr>
    </w:p>
    <w:p w:rsidR="00C12DA4" w:rsidRDefault="00C12DA4" w:rsidP="00DF3A10">
      <w:pPr>
        <w:keepNext/>
        <w:spacing w:after="0" w:line="240" w:lineRule="auto"/>
        <w:jc w:val="center"/>
      </w:pPr>
      <w:r w:rsidRPr="00DF3A10">
        <w:rPr>
          <w:rFonts w:asciiTheme="minorBidi" w:hAnsiTheme="minorBidi"/>
          <w:noProof/>
          <w:sz w:val="24"/>
          <w:szCs w:val="24"/>
        </w:rPr>
        <w:drawing>
          <wp:inline distT="0" distB="0" distL="0" distR="0" wp14:anchorId="46E88A8E" wp14:editId="6218369C">
            <wp:extent cx="4104518" cy="6153567"/>
            <wp:effectExtent l="19050" t="0" r="0" b="0"/>
            <wp:docPr id="3" name="Picture 2" descr="רוטקוף הערבה - איל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רוטקוף הערבה - אילת.jpg"/>
                    <pic:cNvPicPr/>
                  </pic:nvPicPr>
                  <pic:blipFill>
                    <a:blip r:embed="rId14" cstate="screen"/>
                    <a:stretch>
                      <a:fillRect/>
                    </a:stretch>
                  </pic:blipFill>
                  <pic:spPr>
                    <a:xfrm>
                      <a:off x="0" y="0"/>
                      <a:ext cx="4104308" cy="6153252"/>
                    </a:xfrm>
                    <a:prstGeom prst="rect">
                      <a:avLst/>
                    </a:prstGeom>
                  </pic:spPr>
                </pic:pic>
              </a:graphicData>
            </a:graphic>
          </wp:inline>
        </w:drawing>
      </w:r>
    </w:p>
    <w:p w:rsidR="00C12DA4" w:rsidRPr="00DF3A10" w:rsidRDefault="00C12DA4" w:rsidP="00DF3A10">
      <w:pPr>
        <w:pStyle w:val="Caption"/>
        <w:spacing w:after="0"/>
        <w:jc w:val="center"/>
        <w:rPr>
          <w:rFonts w:asciiTheme="minorBidi" w:hAnsiTheme="minorBidi"/>
          <w:sz w:val="20"/>
          <w:szCs w:val="20"/>
          <w:rtl/>
        </w:rPr>
      </w:pPr>
      <w:r>
        <w:rPr>
          <w:rFonts w:asciiTheme="minorBidi" w:hAnsiTheme="minorBidi"/>
          <w:b w:val="0"/>
          <w:bCs w:val="0"/>
          <w:color w:val="auto"/>
          <w:sz w:val="20"/>
          <w:szCs w:val="20"/>
        </w:rPr>
        <w:t>The southern Arabah, near Eilat (Courtesy of Dr. Zev Rothkoff)</w:t>
      </w:r>
    </w:p>
    <w:p w:rsidR="008B32C0" w:rsidRDefault="008B32C0" w:rsidP="00DF3A10">
      <w:pPr>
        <w:spacing w:after="0" w:line="240" w:lineRule="auto"/>
        <w:jc w:val="both"/>
        <w:rPr>
          <w:rFonts w:asciiTheme="minorBidi" w:hAnsiTheme="minorBidi"/>
          <w:b/>
          <w:bCs/>
          <w:sz w:val="24"/>
          <w:szCs w:val="24"/>
        </w:rPr>
      </w:pPr>
    </w:p>
    <w:p w:rsidR="008B32C0" w:rsidRDefault="00635C8C" w:rsidP="00DF3A10">
      <w:pPr>
        <w:spacing w:after="0" w:line="240" w:lineRule="auto"/>
        <w:jc w:val="both"/>
        <w:rPr>
          <w:rFonts w:asciiTheme="minorBidi" w:hAnsiTheme="minorBidi"/>
          <w:b/>
          <w:bCs/>
          <w:sz w:val="24"/>
          <w:szCs w:val="24"/>
        </w:rPr>
      </w:pPr>
      <w:r>
        <w:rPr>
          <w:rFonts w:asciiTheme="minorBidi" w:hAnsiTheme="minorBidi"/>
          <w:b/>
          <w:bCs/>
          <w:sz w:val="24"/>
          <w:szCs w:val="24"/>
        </w:rPr>
        <w:t>Returning to the Verse in Zechariah</w:t>
      </w:r>
    </w:p>
    <w:p w:rsidR="0044397F" w:rsidRDefault="0044397F" w:rsidP="00DF3A10">
      <w:pPr>
        <w:spacing w:after="0" w:line="240" w:lineRule="auto"/>
        <w:jc w:val="both"/>
        <w:rPr>
          <w:rFonts w:asciiTheme="minorBidi" w:hAnsiTheme="minorBidi"/>
          <w:b/>
          <w:bCs/>
          <w:sz w:val="24"/>
          <w:szCs w:val="24"/>
        </w:rPr>
      </w:pPr>
    </w:p>
    <w:p w:rsidR="0044397F" w:rsidRDefault="0044397F" w:rsidP="00DF3A10">
      <w:pPr>
        <w:spacing w:after="0" w:line="240" w:lineRule="auto"/>
        <w:jc w:val="both"/>
        <w:rPr>
          <w:rFonts w:asciiTheme="minorBidi" w:hAnsiTheme="minorBidi"/>
          <w:sz w:val="24"/>
          <w:szCs w:val="24"/>
        </w:rPr>
      </w:pPr>
      <w:r>
        <w:rPr>
          <w:rFonts w:asciiTheme="minorBidi" w:hAnsiTheme="minorBidi"/>
          <w:sz w:val="24"/>
          <w:szCs w:val="24"/>
        </w:rPr>
        <w:tab/>
        <w:t xml:space="preserve">If the word </w:t>
      </w:r>
      <w:r>
        <w:rPr>
          <w:rFonts w:asciiTheme="minorBidi" w:hAnsiTheme="minorBidi"/>
          <w:i/>
          <w:iCs/>
          <w:sz w:val="24"/>
          <w:szCs w:val="24"/>
        </w:rPr>
        <w:t>ka-arava</w:t>
      </w:r>
      <w:r>
        <w:rPr>
          <w:rFonts w:asciiTheme="minorBidi" w:hAnsiTheme="minorBidi"/>
          <w:sz w:val="24"/>
          <w:szCs w:val="24"/>
        </w:rPr>
        <w:t xml:space="preserve"> were vowelized with a </w:t>
      </w:r>
      <w:r>
        <w:rPr>
          <w:rFonts w:asciiTheme="minorBidi" w:hAnsiTheme="minorBidi"/>
          <w:i/>
          <w:iCs/>
          <w:sz w:val="24"/>
          <w:szCs w:val="24"/>
        </w:rPr>
        <w:t>patach</w:t>
      </w:r>
      <w:r>
        <w:rPr>
          <w:rFonts w:asciiTheme="minorBidi" w:hAnsiTheme="minorBidi"/>
          <w:sz w:val="24"/>
          <w:szCs w:val="24"/>
        </w:rPr>
        <w:t xml:space="preserve"> (</w:t>
      </w:r>
      <w:r w:rsidRPr="0044397F">
        <w:rPr>
          <w:rFonts w:asciiTheme="minorBidi" w:hAnsiTheme="minorBidi"/>
          <w:sz w:val="24"/>
          <w:szCs w:val="24"/>
          <w:rtl/>
        </w:rPr>
        <w:t>כַּערבה</w:t>
      </w:r>
      <w:r>
        <w:rPr>
          <w:rFonts w:asciiTheme="minorBidi" w:hAnsiTheme="minorBidi"/>
          <w:sz w:val="24"/>
          <w:szCs w:val="24"/>
        </w:rPr>
        <w:t>)</w:t>
      </w:r>
      <w:r w:rsidR="00B06530">
        <w:rPr>
          <w:rFonts w:asciiTheme="minorBidi" w:hAnsiTheme="minorBidi"/>
          <w:sz w:val="24"/>
          <w:szCs w:val="24"/>
        </w:rPr>
        <w:t xml:space="preserve">, the meaning of the verse would be that the entire land would become </w:t>
      </w:r>
      <w:r w:rsidR="00B06530" w:rsidRPr="00B06530">
        <w:rPr>
          <w:rFonts w:asciiTheme="minorBidi" w:hAnsiTheme="minorBidi"/>
          <w:b/>
          <w:bCs/>
          <w:sz w:val="24"/>
          <w:szCs w:val="24"/>
        </w:rPr>
        <w:t>like a</w:t>
      </w:r>
      <w:r w:rsidR="00B06530">
        <w:rPr>
          <w:rFonts w:asciiTheme="minorBidi" w:hAnsiTheme="minorBidi"/>
          <w:b/>
          <w:bCs/>
          <w:sz w:val="24"/>
          <w:szCs w:val="24"/>
        </w:rPr>
        <w:t xml:space="preserve">n </w:t>
      </w:r>
      <w:r w:rsidR="00B06530">
        <w:rPr>
          <w:rFonts w:asciiTheme="minorBidi" w:hAnsiTheme="minorBidi"/>
          <w:b/>
          <w:bCs/>
          <w:i/>
          <w:iCs/>
          <w:sz w:val="24"/>
          <w:szCs w:val="24"/>
        </w:rPr>
        <w:t>arava</w:t>
      </w:r>
      <w:r w:rsidR="00B06530">
        <w:rPr>
          <w:rFonts w:asciiTheme="minorBidi" w:hAnsiTheme="minorBidi"/>
          <w:b/>
          <w:bCs/>
          <w:sz w:val="24"/>
          <w:szCs w:val="24"/>
        </w:rPr>
        <w:t xml:space="preserve"> </w:t>
      </w:r>
      <w:r w:rsidR="00B06530">
        <w:rPr>
          <w:rFonts w:asciiTheme="minorBidi" w:hAnsiTheme="minorBidi"/>
          <w:sz w:val="24"/>
          <w:szCs w:val="24"/>
        </w:rPr>
        <w:t xml:space="preserve">– like a desolate wilderness. If that were the case, the verse would completely negate the message of the rest of the chapter, a prophecy of </w:t>
      </w:r>
      <w:r w:rsidR="00B06530">
        <w:rPr>
          <w:rFonts w:asciiTheme="minorBidi" w:hAnsiTheme="minorBidi"/>
          <w:sz w:val="24"/>
          <w:szCs w:val="24"/>
        </w:rPr>
        <w:lastRenderedPageBreak/>
        <w:t>consolation promising that “fresh water shall flow from Jerusalem, part of it to the Eastern Sea and part to the Western Sea, throughout the summer and winter” (Zechariah 10:8).</w:t>
      </w:r>
    </w:p>
    <w:p w:rsidR="00B06530" w:rsidRDefault="00B06530" w:rsidP="00DF3A10">
      <w:pPr>
        <w:spacing w:after="0" w:line="240" w:lineRule="auto"/>
        <w:jc w:val="both"/>
        <w:rPr>
          <w:rFonts w:asciiTheme="minorBidi" w:hAnsiTheme="minorBidi"/>
          <w:sz w:val="24"/>
          <w:szCs w:val="24"/>
        </w:rPr>
      </w:pPr>
    </w:p>
    <w:p w:rsidR="00B06530" w:rsidRDefault="00B06530" w:rsidP="00DF3A10">
      <w:pPr>
        <w:spacing w:after="0" w:line="240" w:lineRule="auto"/>
        <w:jc w:val="both"/>
        <w:rPr>
          <w:rFonts w:asciiTheme="minorBidi" w:hAnsiTheme="minorBidi"/>
          <w:sz w:val="24"/>
          <w:szCs w:val="24"/>
        </w:rPr>
      </w:pPr>
      <w:r>
        <w:rPr>
          <w:rFonts w:asciiTheme="minorBidi" w:hAnsiTheme="minorBidi"/>
          <w:sz w:val="24"/>
          <w:szCs w:val="24"/>
        </w:rPr>
        <w:tab/>
        <w:t xml:space="preserve">But the proper vowelization is with a </w:t>
      </w:r>
      <w:r>
        <w:rPr>
          <w:rFonts w:asciiTheme="minorBidi" w:hAnsiTheme="minorBidi"/>
          <w:i/>
          <w:iCs/>
          <w:sz w:val="24"/>
          <w:szCs w:val="24"/>
        </w:rPr>
        <w:t>kamatz</w:t>
      </w:r>
      <w:r>
        <w:rPr>
          <w:rFonts w:asciiTheme="minorBidi" w:hAnsiTheme="minorBidi"/>
          <w:sz w:val="24"/>
          <w:szCs w:val="24"/>
        </w:rPr>
        <w:t xml:space="preserve"> (</w:t>
      </w:r>
      <w:r w:rsidRPr="00B06530">
        <w:rPr>
          <w:rFonts w:asciiTheme="minorBidi" w:hAnsiTheme="minorBidi"/>
          <w:sz w:val="24"/>
          <w:szCs w:val="24"/>
          <w:rtl/>
        </w:rPr>
        <w:t>כָּעֲרָבָה</w:t>
      </w:r>
      <w:r>
        <w:rPr>
          <w:rFonts w:asciiTheme="minorBidi" w:hAnsiTheme="minorBidi"/>
          <w:sz w:val="24"/>
          <w:szCs w:val="24"/>
        </w:rPr>
        <w:t>) – meaning “</w:t>
      </w:r>
      <w:r w:rsidRPr="00B06530">
        <w:rPr>
          <w:rFonts w:asciiTheme="minorBidi" w:hAnsiTheme="minorBidi"/>
          <w:b/>
          <w:bCs/>
          <w:sz w:val="24"/>
          <w:szCs w:val="24"/>
        </w:rPr>
        <w:t>like</w:t>
      </w:r>
      <w:r>
        <w:rPr>
          <w:rFonts w:asciiTheme="minorBidi" w:hAnsiTheme="minorBidi"/>
          <w:sz w:val="24"/>
          <w:szCs w:val="24"/>
        </w:rPr>
        <w:t xml:space="preserve"> </w:t>
      </w:r>
      <w:r w:rsidRPr="00B06530">
        <w:rPr>
          <w:rFonts w:asciiTheme="minorBidi" w:hAnsiTheme="minorBidi"/>
          <w:b/>
          <w:bCs/>
          <w:sz w:val="24"/>
          <w:szCs w:val="24"/>
        </w:rPr>
        <w:t>the Arabah</w:t>
      </w:r>
      <w:r>
        <w:rPr>
          <w:rFonts w:asciiTheme="minorBidi" w:hAnsiTheme="minorBidi"/>
          <w:sz w:val="24"/>
          <w:szCs w:val="24"/>
        </w:rPr>
        <w:t>.” In other words, the entire region surrounding Jerusalem will become completely flat, like the Arabah, and Jerusalem will perch high above it all. Thus, what we have here is a prophecy similar in its message to that of</w:t>
      </w:r>
      <w:r w:rsidR="00EF0CC7">
        <w:rPr>
          <w:rFonts w:asciiTheme="minorBidi" w:hAnsiTheme="minorBidi"/>
          <w:sz w:val="24"/>
          <w:szCs w:val="24"/>
        </w:rPr>
        <w:t xml:space="preserve"> the </w:t>
      </w:r>
      <w:r w:rsidR="00310B31">
        <w:rPr>
          <w:rFonts w:asciiTheme="minorBidi" w:hAnsiTheme="minorBidi"/>
          <w:sz w:val="24"/>
          <w:szCs w:val="24"/>
        </w:rPr>
        <w:t>b</w:t>
      </w:r>
      <w:r w:rsidR="00EF0CC7">
        <w:rPr>
          <w:rFonts w:asciiTheme="minorBidi" w:hAnsiTheme="minorBidi"/>
          <w:sz w:val="24"/>
          <w:szCs w:val="24"/>
        </w:rPr>
        <w:t>ook of</w:t>
      </w:r>
      <w:r>
        <w:rPr>
          <w:rFonts w:asciiTheme="minorBidi" w:hAnsiTheme="minorBidi"/>
          <w:sz w:val="24"/>
          <w:szCs w:val="24"/>
        </w:rPr>
        <w:t xml:space="preserve"> Isaiah: “Let the rugged ground become level and the ridges become a plain. The Presence of the Lord shall appear” (Isaiah 40:4). I am not sure if the prophet was describing an actual geological phenomenon in this verse. Azaria Alon</w:t>
      </w:r>
      <w:r w:rsidR="00EF0CC7">
        <w:rPr>
          <w:rFonts w:asciiTheme="minorBidi" w:hAnsiTheme="minorBidi"/>
          <w:sz w:val="24"/>
          <w:szCs w:val="24"/>
        </w:rPr>
        <w:t xml:space="preserve"> </w:t>
      </w:r>
      <w:r w:rsidR="00EF0CC7" w:rsidRPr="00DF3A10">
        <w:rPr>
          <w:rFonts w:asciiTheme="minorBidi" w:hAnsiTheme="minorBidi"/>
          <w:i/>
          <w:iCs/>
          <w:sz w:val="24"/>
          <w:szCs w:val="24"/>
        </w:rPr>
        <w:t>z</w:t>
      </w:r>
      <w:r w:rsidR="00310B31">
        <w:rPr>
          <w:rFonts w:asciiTheme="minorBidi" w:hAnsiTheme="minorBidi"/>
          <w:i/>
          <w:iCs/>
          <w:sz w:val="24"/>
          <w:szCs w:val="24"/>
        </w:rPr>
        <w:t>”</w:t>
      </w:r>
      <w:r w:rsidR="00EF0CC7" w:rsidRPr="00DF3A10">
        <w:rPr>
          <w:rFonts w:asciiTheme="minorBidi" w:hAnsiTheme="minorBidi"/>
          <w:i/>
          <w:iCs/>
          <w:sz w:val="24"/>
          <w:szCs w:val="24"/>
        </w:rPr>
        <w:t>l</w:t>
      </w:r>
      <w:r>
        <w:rPr>
          <w:rFonts w:asciiTheme="minorBidi" w:hAnsiTheme="minorBidi"/>
          <w:sz w:val="24"/>
          <w:szCs w:val="24"/>
        </w:rPr>
        <w:t>, one of the founders of the Society for the Protection of Nature in Israel</w:t>
      </w:r>
      <w:r w:rsidR="00C12B54">
        <w:rPr>
          <w:rFonts w:asciiTheme="minorBidi" w:hAnsiTheme="minorBidi"/>
          <w:sz w:val="24"/>
          <w:szCs w:val="24"/>
        </w:rPr>
        <w:t xml:space="preserve">, once quipped in a radio interview that he hopes that the prophets who predicted that the deserts will transform into habitable land only meant this theoretically and symbolically – because if not, the Society would no longer be able to conduct their desert tours. In the same vein, we are permitted to hope that our prophets did not intend </w:t>
      </w:r>
      <w:r w:rsidR="00134E8F">
        <w:rPr>
          <w:rFonts w:asciiTheme="minorBidi" w:hAnsiTheme="minorBidi"/>
          <w:sz w:val="24"/>
          <w:szCs w:val="24"/>
        </w:rPr>
        <w:t>for Israel to transform in to the Netherlands, famous for its low and flat geography. In any case, what is clear from the verse in Zechariah is that Jerusalem will be lifted up as a model for all to see, a symbol of redemption for the people of Israel and for the world as a whole.</w:t>
      </w:r>
    </w:p>
    <w:p w:rsidR="00C12DA4" w:rsidRDefault="00C12DA4" w:rsidP="00DF3A10">
      <w:pPr>
        <w:spacing w:after="0" w:line="240" w:lineRule="auto"/>
        <w:jc w:val="both"/>
        <w:rPr>
          <w:rFonts w:asciiTheme="minorBidi" w:hAnsiTheme="minorBidi"/>
          <w:sz w:val="24"/>
          <w:szCs w:val="24"/>
        </w:rPr>
      </w:pPr>
    </w:p>
    <w:p w:rsidR="00C12DA4" w:rsidRDefault="00C12DA4" w:rsidP="00DF3A10">
      <w:pPr>
        <w:keepNext/>
        <w:spacing w:after="0" w:line="240" w:lineRule="auto"/>
        <w:jc w:val="center"/>
      </w:pPr>
      <w:r w:rsidRPr="00DF3A10">
        <w:rPr>
          <w:rFonts w:asciiTheme="minorBidi" w:hAnsiTheme="minorBidi"/>
          <w:noProof/>
          <w:sz w:val="24"/>
          <w:szCs w:val="24"/>
        </w:rPr>
        <w:drawing>
          <wp:inline distT="0" distB="0" distL="0" distR="0" wp14:anchorId="55F3F462" wp14:editId="0AF33B28">
            <wp:extent cx="5276215" cy="2963545"/>
            <wp:effectExtent l="19050" t="0" r="635" b="0"/>
            <wp:docPr id="4" name="Picture 3" descr="JORDAN VALLEY 2014-11-7 רוטקוף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DAN VALLEY 2014-11-7 רוטקוף (114).jpg"/>
                    <pic:cNvPicPr/>
                  </pic:nvPicPr>
                  <pic:blipFill>
                    <a:blip r:embed="rId15" cstate="screen"/>
                    <a:stretch>
                      <a:fillRect/>
                    </a:stretch>
                  </pic:blipFill>
                  <pic:spPr>
                    <a:xfrm>
                      <a:off x="0" y="0"/>
                      <a:ext cx="5276215" cy="2963545"/>
                    </a:xfrm>
                    <a:prstGeom prst="rect">
                      <a:avLst/>
                    </a:prstGeom>
                  </pic:spPr>
                </pic:pic>
              </a:graphicData>
            </a:graphic>
          </wp:inline>
        </w:drawing>
      </w:r>
    </w:p>
    <w:p w:rsidR="00C12DA4" w:rsidRPr="00DF3A10" w:rsidRDefault="00C12DA4" w:rsidP="00DF3A10">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A typical view of the Jordan Rift Valley between the Sea of Galilee and the Dead Sea </w:t>
      </w:r>
      <w:r w:rsidR="00E610D5">
        <w:rPr>
          <w:rFonts w:asciiTheme="minorBidi" w:hAnsiTheme="minorBidi"/>
          <w:b w:val="0"/>
          <w:bCs w:val="0"/>
          <w:color w:val="auto"/>
          <w:sz w:val="20"/>
          <w:szCs w:val="20"/>
        </w:rPr>
        <w:t xml:space="preserve">in its middle and southern parts </w:t>
      </w:r>
      <w:r>
        <w:rPr>
          <w:rFonts w:asciiTheme="minorBidi" w:hAnsiTheme="minorBidi"/>
          <w:b w:val="0"/>
          <w:bCs w:val="0"/>
          <w:color w:val="auto"/>
          <w:sz w:val="20"/>
          <w:szCs w:val="20"/>
        </w:rPr>
        <w:t xml:space="preserve">– the Biblical </w:t>
      </w:r>
      <w:r>
        <w:rPr>
          <w:rFonts w:asciiTheme="minorBidi" w:hAnsiTheme="minorBidi"/>
          <w:b w:val="0"/>
          <w:bCs w:val="0"/>
          <w:i/>
          <w:iCs/>
          <w:color w:val="auto"/>
          <w:sz w:val="20"/>
          <w:szCs w:val="20"/>
        </w:rPr>
        <w:t xml:space="preserve">Arvot Ha-Yarden </w:t>
      </w:r>
      <w:r>
        <w:rPr>
          <w:rFonts w:asciiTheme="minorBidi" w:hAnsiTheme="minorBidi"/>
          <w:b w:val="0"/>
          <w:bCs w:val="0"/>
          <w:color w:val="auto"/>
          <w:sz w:val="20"/>
          <w:szCs w:val="20"/>
        </w:rPr>
        <w:t>(Courtesy of Dr. Zev Rothkoff)</w:t>
      </w:r>
    </w:p>
    <w:p w:rsidR="00795DD5" w:rsidRDefault="00795DD5" w:rsidP="00DF3A10">
      <w:pPr>
        <w:spacing w:after="0" w:line="240" w:lineRule="auto"/>
        <w:jc w:val="both"/>
        <w:rPr>
          <w:rFonts w:asciiTheme="minorBidi" w:hAnsiTheme="minorBidi"/>
          <w:b/>
          <w:bCs/>
          <w:sz w:val="24"/>
          <w:szCs w:val="24"/>
        </w:rPr>
      </w:pPr>
    </w:p>
    <w:p w:rsidR="004F7C45" w:rsidRPr="00760B06" w:rsidRDefault="004F7C45" w:rsidP="00DF3A10">
      <w:pPr>
        <w:spacing w:after="0" w:line="240" w:lineRule="auto"/>
        <w:jc w:val="both"/>
        <w:rPr>
          <w:rFonts w:asciiTheme="minorBidi" w:hAnsiTheme="minorBidi"/>
          <w:sz w:val="24"/>
          <w:szCs w:val="24"/>
        </w:rPr>
      </w:pPr>
    </w:p>
    <w:p w:rsidR="002E5FA5" w:rsidRPr="000C1970" w:rsidRDefault="002E5FA5" w:rsidP="00DF3A10">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DF3A10">
      <w:pPr>
        <w:autoSpaceDE w:val="0"/>
        <w:autoSpaceDN w:val="0"/>
        <w:adjustRightInd w:val="0"/>
        <w:spacing w:after="0" w:line="240" w:lineRule="auto"/>
        <w:ind w:left="720" w:hanging="720"/>
        <w:jc w:val="both"/>
        <w:rPr>
          <w:rFonts w:asciiTheme="minorBidi" w:hAnsiTheme="minorBidi"/>
          <w:sz w:val="24"/>
          <w:szCs w:val="24"/>
        </w:rPr>
      </w:pPr>
    </w:p>
    <w:p w:rsidR="00635C8C" w:rsidRDefault="00635C8C" w:rsidP="00DF3A10">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Yehuda Elitzur and Y. Keel, </w:t>
      </w:r>
      <w:r>
        <w:rPr>
          <w:rFonts w:asciiTheme="minorBidi" w:hAnsiTheme="minorBidi"/>
          <w:i/>
          <w:iCs/>
          <w:sz w:val="24"/>
          <w:szCs w:val="24"/>
        </w:rPr>
        <w:t xml:space="preserve">Daat Mikra Bible Atlas </w:t>
      </w:r>
      <w:r>
        <w:rPr>
          <w:rFonts w:asciiTheme="minorBidi" w:hAnsiTheme="minorBidi"/>
          <w:sz w:val="24"/>
          <w:szCs w:val="24"/>
        </w:rPr>
        <w:t xml:space="preserve">(trans. L. J. Schramm), Jerusalem 2011, </w:t>
      </w:r>
      <w:r w:rsidR="00E0239C">
        <w:rPr>
          <w:rFonts w:asciiTheme="minorBidi" w:hAnsiTheme="minorBidi"/>
          <w:sz w:val="24"/>
          <w:szCs w:val="24"/>
        </w:rPr>
        <w:t>5</w:t>
      </w:r>
      <w:r>
        <w:rPr>
          <w:rFonts w:asciiTheme="minorBidi" w:hAnsiTheme="minorBidi"/>
          <w:sz w:val="24"/>
          <w:szCs w:val="24"/>
        </w:rPr>
        <w:t>.</w:t>
      </w:r>
    </w:p>
    <w:p w:rsidR="006C7142" w:rsidRDefault="00635C8C" w:rsidP="00DF3A10">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I. Press, </w:t>
      </w:r>
      <w:r w:rsidR="007570D3" w:rsidRPr="007570D3">
        <w:rPr>
          <w:rFonts w:asciiTheme="minorBidi" w:hAnsiTheme="minorBidi"/>
          <w:i/>
          <w:iCs/>
          <w:sz w:val="24"/>
          <w:szCs w:val="24"/>
        </w:rPr>
        <w:t>Me</w:t>
      </w:r>
      <w:r w:rsidR="00310B31">
        <w:rPr>
          <w:rFonts w:asciiTheme="minorBidi" w:hAnsiTheme="minorBidi"/>
          <w:i/>
          <w:iCs/>
          <w:sz w:val="24"/>
          <w:szCs w:val="24"/>
        </w:rPr>
        <w:t>chk</w:t>
      </w:r>
      <w:r w:rsidR="007570D3" w:rsidRPr="007570D3">
        <w:rPr>
          <w:rFonts w:asciiTheme="minorBidi" w:hAnsiTheme="minorBidi"/>
          <w:i/>
          <w:iCs/>
          <w:sz w:val="24"/>
          <w:szCs w:val="24"/>
        </w:rPr>
        <w:t xml:space="preserve">arim </w:t>
      </w:r>
      <w:r w:rsidR="00310B31">
        <w:rPr>
          <w:rFonts w:asciiTheme="minorBidi" w:hAnsiTheme="minorBidi"/>
          <w:i/>
          <w:iCs/>
          <w:sz w:val="24"/>
          <w:szCs w:val="24"/>
        </w:rPr>
        <w:t>Bi-y</w:t>
      </w:r>
      <w:r w:rsidR="002871F6">
        <w:rPr>
          <w:rFonts w:asciiTheme="minorBidi" w:hAnsiTheme="minorBidi"/>
          <w:i/>
          <w:iCs/>
          <w:sz w:val="24"/>
          <w:szCs w:val="24"/>
        </w:rPr>
        <w:t>e</w:t>
      </w:r>
      <w:r w:rsidR="007570D3" w:rsidRPr="007570D3">
        <w:rPr>
          <w:rFonts w:asciiTheme="minorBidi" w:hAnsiTheme="minorBidi"/>
          <w:i/>
          <w:iCs/>
          <w:sz w:val="24"/>
          <w:szCs w:val="24"/>
        </w:rPr>
        <w:t>di</w:t>
      </w:r>
      <w:r w:rsidR="00310B31">
        <w:rPr>
          <w:rFonts w:asciiTheme="minorBidi" w:hAnsiTheme="minorBidi"/>
          <w:i/>
          <w:iCs/>
          <w:sz w:val="24"/>
          <w:szCs w:val="24"/>
        </w:rPr>
        <w:t>’</w:t>
      </w:r>
      <w:r w:rsidR="001005F9" w:rsidRPr="00DF3A10">
        <w:rPr>
          <w:rFonts w:ascii="Arial" w:hAnsi="Arial" w:cs="Arial"/>
          <w:i/>
          <w:iCs/>
          <w:sz w:val="24"/>
          <w:szCs w:val="24"/>
        </w:rPr>
        <w:t xml:space="preserve">at </w:t>
      </w:r>
      <w:r w:rsidR="00310B31">
        <w:rPr>
          <w:rFonts w:ascii="Arial" w:hAnsi="Arial" w:cs="Arial"/>
          <w:i/>
          <w:iCs/>
          <w:sz w:val="24"/>
          <w:szCs w:val="24"/>
        </w:rPr>
        <w:t>H</w:t>
      </w:r>
      <w:r w:rsidR="001005F9" w:rsidRPr="00DF3A10">
        <w:rPr>
          <w:rFonts w:ascii="Arial" w:hAnsi="Arial" w:cs="Arial"/>
          <w:i/>
          <w:iCs/>
          <w:sz w:val="24"/>
          <w:szCs w:val="24"/>
        </w:rPr>
        <w:t>a-</w:t>
      </w:r>
      <w:r w:rsidR="00310B31">
        <w:rPr>
          <w:rFonts w:ascii="Arial" w:hAnsi="Arial" w:cs="Arial"/>
          <w:i/>
          <w:iCs/>
          <w:sz w:val="24"/>
          <w:szCs w:val="24"/>
        </w:rPr>
        <w:t>a</w:t>
      </w:r>
      <w:r w:rsidR="001005F9" w:rsidRPr="00DF3A10">
        <w:rPr>
          <w:rFonts w:ascii="Arial" w:hAnsi="Arial" w:cs="Arial"/>
          <w:i/>
          <w:iCs/>
          <w:sz w:val="24"/>
          <w:szCs w:val="24"/>
        </w:rPr>
        <w:t xml:space="preserve">retz </w:t>
      </w:r>
      <w:r w:rsidR="00310B31">
        <w:rPr>
          <w:rFonts w:ascii="Arial" w:hAnsi="Arial" w:cs="Arial"/>
          <w:i/>
          <w:iCs/>
          <w:sz w:val="24"/>
          <w:szCs w:val="24"/>
        </w:rPr>
        <w:t>V</w:t>
      </w:r>
      <w:r w:rsidR="001005F9" w:rsidRPr="00DF3A10">
        <w:rPr>
          <w:rFonts w:ascii="Arial" w:hAnsi="Arial" w:cs="Arial"/>
          <w:i/>
          <w:iCs/>
          <w:sz w:val="24"/>
          <w:szCs w:val="24"/>
        </w:rPr>
        <w:t>e-</w:t>
      </w:r>
      <w:r w:rsidR="00310B31">
        <w:rPr>
          <w:rFonts w:ascii="Arial" w:hAnsi="Arial" w:cs="Arial"/>
          <w:i/>
          <w:iCs/>
          <w:sz w:val="24"/>
          <w:szCs w:val="24"/>
        </w:rPr>
        <w:t>t</w:t>
      </w:r>
      <w:r w:rsidR="001005F9" w:rsidRPr="00DF3A10">
        <w:rPr>
          <w:rFonts w:ascii="Arial" w:hAnsi="Arial" w:cs="Arial"/>
          <w:i/>
          <w:iCs/>
          <w:sz w:val="24"/>
          <w:szCs w:val="24"/>
        </w:rPr>
        <w:t>opogra</w:t>
      </w:r>
      <w:r w:rsidR="007570D3">
        <w:rPr>
          <w:rFonts w:ascii="Arial" w:hAnsi="Arial" w:cs="Arial"/>
          <w:i/>
          <w:iCs/>
          <w:sz w:val="24"/>
          <w:szCs w:val="24"/>
        </w:rPr>
        <w:t>f</w:t>
      </w:r>
      <w:r w:rsidR="001005F9" w:rsidRPr="00DF3A10">
        <w:rPr>
          <w:rFonts w:ascii="Arial" w:hAnsi="Arial" w:cs="Arial"/>
          <w:i/>
          <w:iCs/>
          <w:sz w:val="24"/>
          <w:szCs w:val="24"/>
        </w:rPr>
        <w:t>i</w:t>
      </w:r>
      <w:r w:rsidR="00310B31">
        <w:rPr>
          <w:rFonts w:ascii="Arial" w:hAnsi="Arial" w:cs="Arial"/>
          <w:i/>
          <w:iCs/>
          <w:sz w:val="24"/>
          <w:szCs w:val="24"/>
        </w:rPr>
        <w:t>y</w:t>
      </w:r>
      <w:r w:rsidR="001005F9" w:rsidRPr="00DF3A10">
        <w:rPr>
          <w:rFonts w:ascii="Arial" w:hAnsi="Arial" w:cs="Arial"/>
          <w:i/>
          <w:iCs/>
          <w:sz w:val="24"/>
          <w:szCs w:val="24"/>
        </w:rPr>
        <w:t>a Mi</w:t>
      </w:r>
      <w:r w:rsidR="00310B31">
        <w:rPr>
          <w:rFonts w:ascii="Arial" w:hAnsi="Arial" w:cs="Arial"/>
          <w:i/>
          <w:iCs/>
          <w:sz w:val="24"/>
          <w:szCs w:val="24"/>
        </w:rPr>
        <w:t>k</w:t>
      </w:r>
      <w:r w:rsidR="001005F9" w:rsidRPr="00DF3A10">
        <w:rPr>
          <w:rFonts w:ascii="Arial" w:hAnsi="Arial" w:cs="Arial"/>
          <w:i/>
          <w:iCs/>
          <w:sz w:val="24"/>
          <w:szCs w:val="24"/>
        </w:rPr>
        <w:t>ra</w:t>
      </w:r>
      <w:r w:rsidR="00310B31">
        <w:rPr>
          <w:rFonts w:ascii="Arial" w:hAnsi="Arial" w:cs="Arial"/>
          <w:i/>
          <w:iCs/>
          <w:sz w:val="24"/>
          <w:szCs w:val="24"/>
        </w:rPr>
        <w:t>’</w:t>
      </w:r>
      <w:r w:rsidR="001005F9" w:rsidRPr="00DF3A10">
        <w:rPr>
          <w:rFonts w:ascii="Arial" w:hAnsi="Arial" w:cs="Arial"/>
          <w:i/>
          <w:iCs/>
          <w:sz w:val="24"/>
          <w:szCs w:val="24"/>
        </w:rPr>
        <w:t>it</w:t>
      </w:r>
      <w:r>
        <w:rPr>
          <w:rFonts w:asciiTheme="minorBidi" w:hAnsiTheme="minorBidi"/>
          <w:sz w:val="24"/>
          <w:szCs w:val="24"/>
        </w:rPr>
        <w:t>, Jerusalem 1961, 223-224 [Hebrew].</w:t>
      </w:r>
    </w:p>
    <w:p w:rsidR="000439B2" w:rsidRPr="000439B2" w:rsidRDefault="000439B2" w:rsidP="00DF3A10">
      <w:pPr>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 xml:space="preserve">J. Simons, </w:t>
      </w:r>
      <w:r>
        <w:rPr>
          <w:rFonts w:asciiTheme="minorBidi" w:hAnsiTheme="minorBidi"/>
          <w:i/>
          <w:iCs/>
          <w:sz w:val="24"/>
          <w:szCs w:val="24"/>
        </w:rPr>
        <w:t>The Geographical and Topographical Texts of the Old Testament</w:t>
      </w:r>
      <w:r>
        <w:rPr>
          <w:rFonts w:asciiTheme="minorBidi" w:hAnsiTheme="minorBidi"/>
          <w:sz w:val="24"/>
          <w:szCs w:val="24"/>
        </w:rPr>
        <w:t>, Leiden 1959,</w:t>
      </w:r>
      <w:r w:rsidR="00E610D5">
        <w:rPr>
          <w:rFonts w:asciiTheme="minorBidi" w:hAnsiTheme="minorBidi"/>
          <w:sz w:val="24"/>
          <w:szCs w:val="24"/>
        </w:rPr>
        <w:t xml:space="preserve"> 49-50.</w:t>
      </w:r>
    </w:p>
    <w:p w:rsidR="00635C8C" w:rsidRDefault="00635C8C" w:rsidP="00DF3A10">
      <w:pPr>
        <w:spacing w:after="0" w:line="240" w:lineRule="auto"/>
        <w:ind w:left="720" w:hanging="720"/>
        <w:jc w:val="both"/>
        <w:rPr>
          <w:rFonts w:asciiTheme="minorBidi" w:hAnsiTheme="minorBidi"/>
          <w:sz w:val="24"/>
          <w:szCs w:val="24"/>
        </w:rPr>
      </w:pPr>
      <w:r>
        <w:rPr>
          <w:rFonts w:asciiTheme="minorBidi" w:hAnsiTheme="minorBidi"/>
          <w:sz w:val="24"/>
          <w:szCs w:val="24"/>
        </w:rPr>
        <w:t>Targumim and commentators on Zechariah 14:10.</w:t>
      </w:r>
    </w:p>
    <w:p w:rsidR="00635C8C" w:rsidRDefault="00635C8C" w:rsidP="00DF3A10">
      <w:pPr>
        <w:spacing w:after="0" w:line="240" w:lineRule="auto"/>
        <w:ind w:left="720" w:hanging="720"/>
        <w:jc w:val="both"/>
        <w:rPr>
          <w:rFonts w:asciiTheme="minorBidi" w:hAnsiTheme="minorBidi"/>
          <w:sz w:val="24"/>
          <w:szCs w:val="24"/>
        </w:rPr>
      </w:pPr>
      <w:r>
        <w:rPr>
          <w:rFonts w:asciiTheme="minorBidi" w:hAnsiTheme="minorBidi"/>
          <w:i/>
          <w:iCs/>
          <w:sz w:val="24"/>
          <w:szCs w:val="24"/>
        </w:rPr>
        <w:t>Tosefta Sota</w:t>
      </w:r>
      <w:r>
        <w:rPr>
          <w:rFonts w:asciiTheme="minorBidi" w:hAnsiTheme="minorBidi"/>
          <w:sz w:val="24"/>
          <w:szCs w:val="24"/>
        </w:rPr>
        <w:t xml:space="preserve"> 11:14 (Lieberman ed. 222-223).</w:t>
      </w:r>
    </w:p>
    <w:p w:rsidR="00243CEE" w:rsidRPr="00635C8C" w:rsidRDefault="00243CEE" w:rsidP="00DF3A10">
      <w:pPr>
        <w:spacing w:after="0" w:line="240" w:lineRule="auto"/>
        <w:ind w:left="720" w:hanging="720"/>
        <w:jc w:val="both"/>
        <w:rPr>
          <w:rFonts w:asciiTheme="minorBidi" w:hAnsiTheme="minorBidi"/>
          <w:sz w:val="24"/>
          <w:szCs w:val="24"/>
        </w:rPr>
      </w:pPr>
    </w:p>
    <w:p w:rsidR="000C4BE2" w:rsidRDefault="00243CEE" w:rsidP="00DF3A10">
      <w:pPr>
        <w:spacing w:after="0" w:line="240" w:lineRule="auto"/>
        <w:jc w:val="both"/>
        <w:rPr>
          <w:rFonts w:asciiTheme="minorBidi" w:hAnsiTheme="minorBidi"/>
          <w:sz w:val="24"/>
          <w:szCs w:val="24"/>
        </w:rPr>
      </w:pPr>
      <w:r>
        <w:rPr>
          <w:rFonts w:asciiTheme="minorBidi" w:hAnsiTheme="minorBidi"/>
          <w:sz w:val="24"/>
          <w:szCs w:val="24"/>
        </w:rPr>
        <w:t>********************************</w:t>
      </w:r>
    </w:p>
    <w:p w:rsidR="00243CEE" w:rsidRPr="00243CEE" w:rsidRDefault="00243CEE" w:rsidP="00DF3A10">
      <w:pPr>
        <w:spacing w:after="0" w:line="240" w:lineRule="auto"/>
        <w:jc w:val="both"/>
        <w:rPr>
          <w:rFonts w:asciiTheme="minorBidi" w:hAnsiTheme="minorBidi"/>
          <w:sz w:val="20"/>
          <w:szCs w:val="20"/>
        </w:rPr>
      </w:pPr>
    </w:p>
    <w:p w:rsidR="00243CEE" w:rsidRPr="00243CEE" w:rsidRDefault="00243CEE" w:rsidP="00DF3A10">
      <w:pPr>
        <w:spacing w:after="0" w:line="240" w:lineRule="auto"/>
        <w:jc w:val="both"/>
        <w:rPr>
          <w:rFonts w:asciiTheme="minorBidi" w:hAnsiTheme="minorBidi"/>
          <w:sz w:val="20"/>
          <w:szCs w:val="20"/>
        </w:rPr>
      </w:pPr>
      <w:r w:rsidRPr="00243CEE">
        <w:rPr>
          <w:rFonts w:asciiTheme="minorBidi" w:hAnsiTheme="minorBidi"/>
          <w:sz w:val="20"/>
          <w:szCs w:val="20"/>
        </w:rPr>
        <w:t>Translation of map:</w:t>
      </w:r>
    </w:p>
    <w:p w:rsidR="00243CEE" w:rsidRPr="00243CEE" w:rsidRDefault="00243CEE" w:rsidP="00DF3A10">
      <w:pPr>
        <w:spacing w:after="0" w:line="240" w:lineRule="auto"/>
        <w:jc w:val="both"/>
        <w:rPr>
          <w:rFonts w:asciiTheme="minorBidi" w:hAnsiTheme="minorBidi"/>
          <w:sz w:val="20"/>
          <w:szCs w:val="20"/>
        </w:rPr>
      </w:pPr>
    </w:p>
    <w:tbl>
      <w:tblPr>
        <w:tblStyle w:val="TableGrid"/>
        <w:tblW w:w="0" w:type="auto"/>
        <w:tblLook w:val="04A0" w:firstRow="1" w:lastRow="0" w:firstColumn="1" w:lastColumn="0" w:noHBand="0" w:noVBand="1"/>
      </w:tblPr>
      <w:tblGrid>
        <w:gridCol w:w="4229"/>
        <w:gridCol w:w="4296"/>
      </w:tblGrid>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"ובערבה" (יהושע יא ב)</w:t>
            </w:r>
          </w:p>
        </w:tc>
        <w:tc>
          <w:tcPr>
            <w:tcW w:w="4788" w:type="dxa"/>
          </w:tcPr>
          <w:p w:rsidR="00243CEE" w:rsidRPr="00243CEE" w:rsidRDefault="00243CEE" w:rsidP="007752C4">
            <w:pPr>
              <w:rPr>
                <w:sz w:val="20"/>
                <w:szCs w:val="20"/>
              </w:rPr>
            </w:pPr>
            <w:r w:rsidRPr="00243CEE">
              <w:rPr>
                <w:sz w:val="20"/>
                <w:szCs w:val="20"/>
              </w:rPr>
              <w:t>“In the Arabah” (Joshua 11:2)</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"ערבות המדבר"</w:t>
            </w:r>
          </w:p>
        </w:tc>
        <w:tc>
          <w:tcPr>
            <w:tcW w:w="4788" w:type="dxa"/>
          </w:tcPr>
          <w:p w:rsidR="00243CEE" w:rsidRPr="00243CEE" w:rsidRDefault="00243CEE" w:rsidP="007752C4">
            <w:pPr>
              <w:rPr>
                <w:sz w:val="20"/>
                <w:szCs w:val="20"/>
              </w:rPr>
            </w:pPr>
            <w:r w:rsidRPr="00243CEE">
              <w:rPr>
                <w:sz w:val="20"/>
                <w:szCs w:val="20"/>
              </w:rPr>
              <w:t>“</w:t>
            </w:r>
            <w:r w:rsidRPr="00243CEE">
              <w:rPr>
                <w:i/>
                <w:iCs/>
                <w:sz w:val="20"/>
                <w:szCs w:val="20"/>
              </w:rPr>
              <w:t>Arvot Ha-</w:t>
            </w:r>
            <w:proofErr w:type="spellStart"/>
            <w:r w:rsidRPr="00243CEE">
              <w:rPr>
                <w:i/>
                <w:iCs/>
                <w:sz w:val="20"/>
                <w:szCs w:val="20"/>
              </w:rPr>
              <w:t>midbar</w:t>
            </w:r>
            <w:proofErr w:type="spellEnd"/>
            <w:r w:rsidRPr="00243CEE">
              <w:rPr>
                <w:sz w:val="20"/>
                <w:szCs w:val="20"/>
              </w:rPr>
              <w:t>”</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ערבות יריחו</w:t>
            </w:r>
          </w:p>
        </w:tc>
        <w:tc>
          <w:tcPr>
            <w:tcW w:w="4788" w:type="dxa"/>
          </w:tcPr>
          <w:p w:rsidR="00243CEE" w:rsidRPr="00243CEE" w:rsidRDefault="00243CEE" w:rsidP="007752C4">
            <w:pPr>
              <w:rPr>
                <w:sz w:val="20"/>
                <w:szCs w:val="20"/>
              </w:rPr>
            </w:pPr>
            <w:r w:rsidRPr="00243CEE">
              <w:rPr>
                <w:sz w:val="20"/>
                <w:szCs w:val="20"/>
              </w:rPr>
              <w:t>“</w:t>
            </w:r>
            <w:r w:rsidRPr="00243CEE">
              <w:rPr>
                <w:i/>
                <w:iCs/>
                <w:sz w:val="20"/>
                <w:szCs w:val="20"/>
              </w:rPr>
              <w:t>Arvot Yericho</w:t>
            </w:r>
            <w:r w:rsidRPr="00243CEE">
              <w:rPr>
                <w:sz w:val="20"/>
                <w:szCs w:val="20"/>
              </w:rPr>
              <w:t>”</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בית הערבה</w:t>
            </w:r>
          </w:p>
        </w:tc>
        <w:tc>
          <w:tcPr>
            <w:tcW w:w="4788" w:type="dxa"/>
          </w:tcPr>
          <w:p w:rsidR="00243CEE" w:rsidRPr="00243CEE" w:rsidRDefault="00243CEE" w:rsidP="007752C4">
            <w:pPr>
              <w:rPr>
                <w:sz w:val="20"/>
                <w:szCs w:val="20"/>
              </w:rPr>
            </w:pPr>
            <w:r w:rsidRPr="00243CEE">
              <w:rPr>
                <w:sz w:val="20"/>
                <w:szCs w:val="20"/>
              </w:rPr>
              <w:t>Beit Ha-Arava</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 xml:space="preserve">"והערבה והירדן וגבל מכנרת ועד ים הערבה ים המלח" </w:t>
            </w:r>
          </w:p>
        </w:tc>
        <w:tc>
          <w:tcPr>
            <w:tcW w:w="4788" w:type="dxa"/>
          </w:tcPr>
          <w:p w:rsidR="00243CEE" w:rsidRPr="00243CEE" w:rsidRDefault="00243CEE" w:rsidP="007752C4">
            <w:pPr>
              <w:rPr>
                <w:sz w:val="20"/>
                <w:szCs w:val="20"/>
              </w:rPr>
            </w:pPr>
            <w:r w:rsidRPr="00243CEE">
              <w:rPr>
                <w:sz w:val="20"/>
                <w:szCs w:val="20"/>
              </w:rPr>
              <w:t>“The Arabah, to the edge of the Jordan, and from Chinnereth down to the sea of the Arabah, the Dead Sea” (Deuteronomy 3:17)</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ואדי אל-ערבה</w:t>
            </w:r>
          </w:p>
        </w:tc>
        <w:tc>
          <w:tcPr>
            <w:tcW w:w="4788" w:type="dxa"/>
          </w:tcPr>
          <w:p w:rsidR="00243CEE" w:rsidRPr="00243CEE" w:rsidRDefault="00243CEE" w:rsidP="007752C4">
            <w:pPr>
              <w:rPr>
                <w:i/>
                <w:iCs/>
                <w:color w:val="0070C0"/>
                <w:sz w:val="20"/>
                <w:szCs w:val="20"/>
              </w:rPr>
            </w:pPr>
            <w:r w:rsidRPr="00243CEE">
              <w:rPr>
                <w:i/>
                <w:iCs/>
                <w:color w:val="0070C0"/>
                <w:sz w:val="20"/>
                <w:szCs w:val="20"/>
              </w:rPr>
              <w:t>Wadi ‘Araba</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הערבה</w:t>
            </w:r>
          </w:p>
        </w:tc>
        <w:tc>
          <w:tcPr>
            <w:tcW w:w="4788" w:type="dxa"/>
          </w:tcPr>
          <w:p w:rsidR="00243CEE" w:rsidRPr="00243CEE" w:rsidRDefault="00243CEE" w:rsidP="007752C4">
            <w:pPr>
              <w:rPr>
                <w:rFonts w:cstheme="minorHAnsi"/>
                <w:sz w:val="20"/>
                <w:szCs w:val="20"/>
              </w:rPr>
            </w:pPr>
            <w:r w:rsidRPr="00243CEE">
              <w:rPr>
                <w:rFonts w:cstheme="minorHAnsi"/>
                <w:sz w:val="20"/>
                <w:szCs w:val="20"/>
              </w:rPr>
              <w:t>Arabah</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ים הערבה</w:t>
            </w:r>
          </w:p>
        </w:tc>
        <w:tc>
          <w:tcPr>
            <w:tcW w:w="4788" w:type="dxa"/>
          </w:tcPr>
          <w:p w:rsidR="00243CEE" w:rsidRPr="00243CEE" w:rsidRDefault="00243CEE" w:rsidP="007752C4">
            <w:pPr>
              <w:rPr>
                <w:rFonts w:cstheme="minorHAnsi"/>
                <w:i/>
                <w:iCs/>
                <w:color w:val="0070C0"/>
                <w:sz w:val="20"/>
                <w:szCs w:val="20"/>
              </w:rPr>
            </w:pPr>
            <w:r w:rsidRPr="00243CEE">
              <w:rPr>
                <w:rFonts w:cstheme="minorHAnsi"/>
                <w:i/>
                <w:iCs/>
                <w:color w:val="0070C0"/>
                <w:sz w:val="20"/>
                <w:szCs w:val="20"/>
              </w:rPr>
              <w:t>Sea of the Arabah</w:t>
            </w:r>
          </w:p>
        </w:tc>
      </w:tr>
      <w:tr w:rsidR="00243CEE" w:rsidRPr="00243CEE" w:rsidTr="007752C4">
        <w:tc>
          <w:tcPr>
            <w:tcW w:w="4788" w:type="dxa"/>
          </w:tcPr>
          <w:p w:rsidR="00243CEE" w:rsidRPr="00243CEE" w:rsidRDefault="00243CEE" w:rsidP="007752C4">
            <w:pPr>
              <w:bidi/>
              <w:rPr>
                <w:sz w:val="20"/>
                <w:szCs w:val="20"/>
                <w:rtl/>
              </w:rPr>
            </w:pPr>
            <w:r w:rsidRPr="00243CEE">
              <w:rPr>
                <w:rFonts w:hint="cs"/>
                <w:sz w:val="20"/>
                <w:szCs w:val="20"/>
                <w:rtl/>
              </w:rPr>
              <w:t>"מדרך הערבה מאילת ומעציון גבר"</w:t>
            </w:r>
          </w:p>
        </w:tc>
        <w:tc>
          <w:tcPr>
            <w:tcW w:w="4788" w:type="dxa"/>
          </w:tcPr>
          <w:p w:rsidR="00243CEE" w:rsidRPr="00243CEE" w:rsidRDefault="00243CEE" w:rsidP="007752C4">
            <w:pPr>
              <w:rPr>
                <w:rFonts w:cstheme="minorHAnsi"/>
                <w:sz w:val="20"/>
                <w:szCs w:val="20"/>
              </w:rPr>
            </w:pPr>
            <w:r w:rsidRPr="00243CEE">
              <w:rPr>
                <w:rFonts w:cstheme="minorHAnsi"/>
                <w:sz w:val="20"/>
                <w:szCs w:val="20"/>
              </w:rPr>
              <w:t>“Away from the road of the Arabah, away from Elath and Ezion-geber” (Deuteronomy 2:8)</w:t>
            </w:r>
          </w:p>
        </w:tc>
      </w:tr>
    </w:tbl>
    <w:p w:rsidR="002E39A7" w:rsidRPr="008517BE" w:rsidRDefault="002E39A7" w:rsidP="00DF3A10">
      <w:pPr>
        <w:spacing w:after="0" w:line="240" w:lineRule="auto"/>
        <w:jc w:val="both"/>
        <w:rPr>
          <w:rFonts w:asciiTheme="minorBidi" w:hAnsiTheme="minorBidi"/>
          <w:sz w:val="24"/>
          <w:szCs w:val="24"/>
        </w:rPr>
      </w:pPr>
      <w:bookmarkStart w:id="0" w:name="_GoBack"/>
      <w:bookmarkEnd w:id="0"/>
    </w:p>
    <w:p w:rsidR="00654B5B" w:rsidRDefault="00C53D8E" w:rsidP="00DF3A10">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p w:rsidR="00C53D8E" w:rsidRPr="00654B5B" w:rsidRDefault="00C53D8E" w:rsidP="00DF3A10">
      <w:pPr>
        <w:spacing w:after="0" w:line="240" w:lineRule="auto"/>
        <w:rPr>
          <w:rFonts w:asciiTheme="minorBidi" w:hAnsiTheme="minorBidi"/>
          <w:sz w:val="24"/>
          <w:szCs w:val="24"/>
          <w:rtl/>
        </w:rPr>
      </w:pP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EA" w:rsidRDefault="006270EA" w:rsidP="00F94FA1">
      <w:pPr>
        <w:spacing w:after="0" w:line="240" w:lineRule="auto"/>
      </w:pPr>
      <w:r>
        <w:separator/>
      </w:r>
    </w:p>
  </w:endnote>
  <w:endnote w:type="continuationSeparator" w:id="0">
    <w:p w:rsidR="006270EA" w:rsidRDefault="006270E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EA" w:rsidRDefault="006270EA" w:rsidP="00F94FA1">
      <w:pPr>
        <w:spacing w:after="0" w:line="240" w:lineRule="auto"/>
      </w:pPr>
      <w:r>
        <w:separator/>
      </w:r>
    </w:p>
  </w:footnote>
  <w:footnote w:type="continuationSeparator" w:id="0">
    <w:p w:rsidR="006270EA" w:rsidRDefault="006270EA" w:rsidP="00F94FA1">
      <w:pPr>
        <w:spacing w:after="0" w:line="240" w:lineRule="auto"/>
      </w:pPr>
      <w:r>
        <w:continuationSeparator/>
      </w:r>
    </w:p>
  </w:footnote>
  <w:footnote w:id="1">
    <w:p w:rsidR="00F121CE" w:rsidRPr="00501BB9" w:rsidRDefault="00F121CE" w:rsidP="00DF3A10">
      <w:pPr>
        <w:pStyle w:val="FootnoteText"/>
        <w:jc w:val="both"/>
        <w:rPr>
          <w:rFonts w:asciiTheme="minorBidi" w:hAnsiTheme="minorBidi"/>
        </w:rPr>
      </w:pPr>
      <w:r w:rsidRPr="00501BB9">
        <w:rPr>
          <w:rStyle w:val="FootnoteReference"/>
          <w:rFonts w:asciiTheme="minorBidi" w:hAnsiTheme="minorBidi"/>
        </w:rPr>
        <w:footnoteRef/>
      </w:r>
      <w:r w:rsidRPr="00501BB9">
        <w:rPr>
          <w:rFonts w:asciiTheme="minorBidi" w:hAnsiTheme="minorBidi"/>
        </w:rPr>
        <w:t xml:space="preserve"> This follows the Hebrew principle that names of regions in the land of Israel always use the definite article, as in “</w:t>
      </w:r>
      <w:r w:rsidRPr="00501BB9">
        <w:rPr>
          <w:rFonts w:asciiTheme="minorBidi" w:hAnsiTheme="minorBidi"/>
          <w:b/>
          <w:bCs/>
        </w:rPr>
        <w:t>the</w:t>
      </w:r>
      <w:r w:rsidRPr="00501BB9">
        <w:rPr>
          <w:rFonts w:asciiTheme="minorBidi" w:hAnsiTheme="minorBidi"/>
        </w:rPr>
        <w:t xml:space="preserve"> Negeb”; “</w:t>
      </w:r>
      <w:r w:rsidRPr="00501BB9">
        <w:rPr>
          <w:rFonts w:asciiTheme="minorBidi" w:hAnsiTheme="minorBidi"/>
          <w:b/>
          <w:bCs/>
        </w:rPr>
        <w:t>the</w:t>
      </w:r>
      <w:r w:rsidRPr="00501BB9">
        <w:rPr>
          <w:rFonts w:asciiTheme="minorBidi" w:hAnsiTheme="minorBidi"/>
        </w:rPr>
        <w:t xml:space="preserve"> Shephelah”; “</w:t>
      </w:r>
      <w:r w:rsidRPr="00501BB9">
        <w:rPr>
          <w:rFonts w:asciiTheme="minorBidi" w:hAnsiTheme="minorBidi"/>
          <w:b/>
          <w:bCs/>
        </w:rPr>
        <w:t>the</w:t>
      </w:r>
      <w:r w:rsidRPr="00501BB9">
        <w:rPr>
          <w:rFonts w:asciiTheme="minorBidi" w:hAnsiTheme="minorBidi"/>
        </w:rPr>
        <w:t xml:space="preserve"> Sharon”; “</w:t>
      </w:r>
      <w:r w:rsidRPr="00501BB9">
        <w:rPr>
          <w:rFonts w:asciiTheme="minorBidi" w:hAnsiTheme="minorBidi"/>
          <w:b/>
          <w:bCs/>
        </w:rPr>
        <w:t>the</w:t>
      </w:r>
      <w:r w:rsidRPr="00501BB9">
        <w:rPr>
          <w:rFonts w:asciiTheme="minorBidi" w:hAnsiTheme="minorBidi"/>
        </w:rPr>
        <w:t xml:space="preserve"> Galilee”; “</w:t>
      </w:r>
      <w:r w:rsidRPr="00501BB9">
        <w:rPr>
          <w:rFonts w:asciiTheme="minorBidi" w:hAnsiTheme="minorBidi"/>
          <w:b/>
          <w:bCs/>
        </w:rPr>
        <w:t>the</w:t>
      </w:r>
      <w:r w:rsidRPr="00501BB9">
        <w:rPr>
          <w:rFonts w:asciiTheme="minorBidi" w:hAnsiTheme="minorBidi"/>
        </w:rPr>
        <w:t xml:space="preserve"> Lebanon”; “</w:t>
      </w:r>
      <w:r w:rsidRPr="00501BB9">
        <w:rPr>
          <w:rFonts w:asciiTheme="minorBidi" w:hAnsiTheme="minorBidi"/>
          <w:b/>
          <w:bCs/>
        </w:rPr>
        <w:t>the</w:t>
      </w:r>
      <w:r w:rsidRPr="00501BB9">
        <w:rPr>
          <w:rFonts w:asciiTheme="minorBidi" w:hAnsiTheme="minorBidi"/>
        </w:rPr>
        <w:t xml:space="preserve"> Bashan.”</w:t>
      </w:r>
    </w:p>
  </w:footnote>
  <w:footnote w:id="2">
    <w:p w:rsidR="002F6C91" w:rsidRPr="00501BB9" w:rsidRDefault="002F6C91" w:rsidP="00DF3A10">
      <w:pPr>
        <w:pStyle w:val="FootnoteText"/>
        <w:jc w:val="both"/>
        <w:rPr>
          <w:rFonts w:asciiTheme="minorBidi" w:hAnsiTheme="minorBidi"/>
        </w:rPr>
      </w:pPr>
      <w:r w:rsidRPr="00501BB9">
        <w:rPr>
          <w:rStyle w:val="FootnoteReference"/>
          <w:rFonts w:asciiTheme="minorBidi" w:hAnsiTheme="minorBidi"/>
        </w:rPr>
        <w:footnoteRef/>
      </w:r>
      <w:r w:rsidRPr="00501BB9">
        <w:rPr>
          <w:rFonts w:asciiTheme="minorBidi" w:hAnsiTheme="minorBidi"/>
        </w:rPr>
        <w:t xml:space="preserve"> </w:t>
      </w:r>
      <w:r w:rsidR="00E610D5">
        <w:rPr>
          <w:rFonts w:asciiTheme="minorBidi" w:hAnsiTheme="minorBidi"/>
        </w:rPr>
        <w:t xml:space="preserve">A construct state is definite whenever the compositional morpheme is definite (such as </w:t>
      </w:r>
      <w:r w:rsidR="00E610D5">
        <w:rPr>
          <w:rFonts w:asciiTheme="minorBidi" w:hAnsiTheme="minorBidi"/>
          <w:i/>
          <w:iCs/>
        </w:rPr>
        <w:t xml:space="preserve">beit yosef </w:t>
      </w:r>
      <w:r w:rsidR="00E610D5">
        <w:rPr>
          <w:rFonts w:asciiTheme="minorBidi" w:hAnsiTheme="minorBidi"/>
        </w:rPr>
        <w:t xml:space="preserve">or </w:t>
      </w:r>
      <w:r w:rsidR="00E610D5">
        <w:rPr>
          <w:rFonts w:asciiTheme="minorBidi" w:hAnsiTheme="minorBidi"/>
          <w:i/>
          <w:iCs/>
        </w:rPr>
        <w:t>beit ha-melekh</w:t>
      </w:r>
      <w:r w:rsidR="00E610D5">
        <w:rPr>
          <w:rFonts w:asciiTheme="minorBidi" w:hAnsiTheme="minorBidi"/>
        </w:rPr>
        <w:t>).</w:t>
      </w:r>
    </w:p>
  </w:footnote>
  <w:footnote w:id="3">
    <w:p w:rsidR="00501BB9" w:rsidRPr="00501BB9" w:rsidRDefault="00501BB9" w:rsidP="00DF3A10">
      <w:pPr>
        <w:pStyle w:val="FootnoteText"/>
        <w:jc w:val="both"/>
        <w:rPr>
          <w:rFonts w:asciiTheme="minorBidi" w:hAnsiTheme="minorBidi"/>
        </w:rPr>
      </w:pPr>
      <w:r w:rsidRPr="00501BB9">
        <w:rPr>
          <w:rStyle w:val="FootnoteReference"/>
          <w:rFonts w:asciiTheme="minorBidi" w:hAnsiTheme="minorBidi"/>
        </w:rPr>
        <w:footnoteRef/>
      </w:r>
      <w:r w:rsidRPr="00501BB9">
        <w:rPr>
          <w:rFonts w:asciiTheme="minorBidi" w:hAnsiTheme="minorBidi"/>
        </w:rPr>
        <w:t xml:space="preserve"> </w:t>
      </w:r>
      <w:r w:rsidRPr="00DF3A10">
        <w:rPr>
          <w:rFonts w:asciiTheme="minorBidi" w:hAnsiTheme="minorBidi"/>
        </w:rPr>
        <w:t>Map 52</w:t>
      </w:r>
      <w:r w:rsidR="00DF3A10">
        <w:rPr>
          <w:rFonts w:asciiTheme="minorBidi" w:hAnsiTheme="minorBidi"/>
        </w:rPr>
        <w:t xml:space="preserve"> (translation of map is at the end of this shiur).</w:t>
      </w:r>
    </w:p>
  </w:footnote>
  <w:footnote w:id="4">
    <w:p w:rsidR="0044397F" w:rsidRPr="00501BB9" w:rsidRDefault="0044397F" w:rsidP="00DF3A10">
      <w:pPr>
        <w:pStyle w:val="FootnoteText"/>
        <w:jc w:val="both"/>
        <w:rPr>
          <w:rFonts w:asciiTheme="minorBidi" w:hAnsiTheme="minorBidi"/>
        </w:rPr>
      </w:pPr>
      <w:r w:rsidRPr="00501BB9">
        <w:rPr>
          <w:rStyle w:val="FootnoteReference"/>
          <w:rFonts w:asciiTheme="minorBidi" w:hAnsiTheme="minorBidi"/>
        </w:rPr>
        <w:footnoteRef/>
      </w:r>
      <w:r w:rsidRPr="00501BB9">
        <w:rPr>
          <w:rFonts w:asciiTheme="minorBidi" w:hAnsiTheme="minorBidi"/>
        </w:rPr>
        <w:t xml:space="preserve"> Such a usage can perhaps be found in Job 39:6: “Whose home I have made the wilderness (</w:t>
      </w:r>
      <w:r w:rsidRPr="00501BB9">
        <w:rPr>
          <w:rFonts w:asciiTheme="minorBidi" w:hAnsiTheme="minorBidi"/>
          <w:i/>
          <w:iCs/>
        </w:rPr>
        <w:t>arava</w:t>
      </w:r>
      <w:r w:rsidRPr="00501BB9">
        <w:rPr>
          <w:rFonts w:asciiTheme="minorBidi" w:hAnsiTheme="minorBidi"/>
        </w:rPr>
        <w:t>), the salt land his dwelling-place</w:t>
      </w:r>
      <w:r w:rsidR="00EF0CC7">
        <w:rPr>
          <w:rFonts w:asciiTheme="minorBidi" w:hAnsiTheme="minorBidi"/>
        </w:rPr>
        <w:t>.</w:t>
      </w:r>
      <w:r w:rsidRPr="00501BB9">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4"/>
  </w:num>
  <w:num w:numId="5">
    <w:abstractNumId w:val="2"/>
  </w:num>
  <w:num w:numId="6">
    <w:abstractNumId w:val="18"/>
  </w:num>
  <w:num w:numId="7">
    <w:abstractNumId w:val="12"/>
  </w:num>
  <w:num w:numId="8">
    <w:abstractNumId w:val="13"/>
  </w:num>
  <w:num w:numId="9">
    <w:abstractNumId w:val="9"/>
  </w:num>
  <w:num w:numId="10">
    <w:abstractNumId w:val="7"/>
  </w:num>
  <w:num w:numId="11">
    <w:abstractNumId w:val="11"/>
  </w:num>
  <w:num w:numId="12">
    <w:abstractNumId w:val="15"/>
  </w:num>
  <w:num w:numId="13">
    <w:abstractNumId w:val="8"/>
  </w:num>
  <w:num w:numId="14">
    <w:abstractNumId w:val="1"/>
  </w:num>
  <w:num w:numId="15">
    <w:abstractNumId w:val="10"/>
  </w:num>
  <w:num w:numId="16">
    <w:abstractNumId w:val="6"/>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2331"/>
    <w:rsid w:val="000439B2"/>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1C74"/>
    <w:rsid w:val="00082125"/>
    <w:rsid w:val="00083370"/>
    <w:rsid w:val="00084FA8"/>
    <w:rsid w:val="00086C79"/>
    <w:rsid w:val="00090BF6"/>
    <w:rsid w:val="00096619"/>
    <w:rsid w:val="00097725"/>
    <w:rsid w:val="00097E55"/>
    <w:rsid w:val="000A1E50"/>
    <w:rsid w:val="000A609B"/>
    <w:rsid w:val="000A6D28"/>
    <w:rsid w:val="000A773A"/>
    <w:rsid w:val="000B1549"/>
    <w:rsid w:val="000B1819"/>
    <w:rsid w:val="000B489A"/>
    <w:rsid w:val="000B551A"/>
    <w:rsid w:val="000B61EA"/>
    <w:rsid w:val="000C1970"/>
    <w:rsid w:val="000C4BE2"/>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05F9"/>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D3C3F"/>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4F"/>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3CEE"/>
    <w:rsid w:val="00244B14"/>
    <w:rsid w:val="00245299"/>
    <w:rsid w:val="002460AB"/>
    <w:rsid w:val="00246638"/>
    <w:rsid w:val="00247F60"/>
    <w:rsid w:val="0025010A"/>
    <w:rsid w:val="00251631"/>
    <w:rsid w:val="002528C9"/>
    <w:rsid w:val="00252C4F"/>
    <w:rsid w:val="0025322D"/>
    <w:rsid w:val="00253DBE"/>
    <w:rsid w:val="0025458F"/>
    <w:rsid w:val="002545CE"/>
    <w:rsid w:val="0025659F"/>
    <w:rsid w:val="0026226A"/>
    <w:rsid w:val="002622B9"/>
    <w:rsid w:val="0026544F"/>
    <w:rsid w:val="00267CE1"/>
    <w:rsid w:val="00270509"/>
    <w:rsid w:val="00270A17"/>
    <w:rsid w:val="00270E72"/>
    <w:rsid w:val="002724A3"/>
    <w:rsid w:val="002724A9"/>
    <w:rsid w:val="0027357C"/>
    <w:rsid w:val="00275665"/>
    <w:rsid w:val="00277FE4"/>
    <w:rsid w:val="002803A1"/>
    <w:rsid w:val="002841E0"/>
    <w:rsid w:val="002871F6"/>
    <w:rsid w:val="00287FB5"/>
    <w:rsid w:val="0029028C"/>
    <w:rsid w:val="002911EB"/>
    <w:rsid w:val="00291289"/>
    <w:rsid w:val="0029214A"/>
    <w:rsid w:val="00293294"/>
    <w:rsid w:val="002939C7"/>
    <w:rsid w:val="00295F0E"/>
    <w:rsid w:val="00295FBB"/>
    <w:rsid w:val="0029776D"/>
    <w:rsid w:val="00297EFE"/>
    <w:rsid w:val="002A12C0"/>
    <w:rsid w:val="002A645D"/>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2F6C91"/>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D61"/>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01D"/>
    <w:rsid w:val="003945AB"/>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BDD"/>
    <w:rsid w:val="004525CE"/>
    <w:rsid w:val="004540BD"/>
    <w:rsid w:val="00457393"/>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EA1"/>
    <w:rsid w:val="004C21BF"/>
    <w:rsid w:val="004C5784"/>
    <w:rsid w:val="004C7A27"/>
    <w:rsid w:val="004D020A"/>
    <w:rsid w:val="004D4335"/>
    <w:rsid w:val="004D764E"/>
    <w:rsid w:val="004D774E"/>
    <w:rsid w:val="004D7C2A"/>
    <w:rsid w:val="004E0B97"/>
    <w:rsid w:val="004E38C4"/>
    <w:rsid w:val="004E47C8"/>
    <w:rsid w:val="004E5CC1"/>
    <w:rsid w:val="004E7BFB"/>
    <w:rsid w:val="004F0F02"/>
    <w:rsid w:val="004F1154"/>
    <w:rsid w:val="004F2099"/>
    <w:rsid w:val="004F36C0"/>
    <w:rsid w:val="004F3D0A"/>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270EA"/>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703A"/>
    <w:rsid w:val="006A7334"/>
    <w:rsid w:val="006B3EB8"/>
    <w:rsid w:val="006B4943"/>
    <w:rsid w:val="006B4B8C"/>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6202"/>
    <w:rsid w:val="006E192B"/>
    <w:rsid w:val="006E2455"/>
    <w:rsid w:val="006E28E9"/>
    <w:rsid w:val="006E3860"/>
    <w:rsid w:val="006E3A89"/>
    <w:rsid w:val="006E5367"/>
    <w:rsid w:val="006E7851"/>
    <w:rsid w:val="006F15D1"/>
    <w:rsid w:val="006F1DDC"/>
    <w:rsid w:val="006F32D9"/>
    <w:rsid w:val="006F53FF"/>
    <w:rsid w:val="006F57D0"/>
    <w:rsid w:val="006F635D"/>
    <w:rsid w:val="006F7833"/>
    <w:rsid w:val="007016BB"/>
    <w:rsid w:val="00701C64"/>
    <w:rsid w:val="00703703"/>
    <w:rsid w:val="00711778"/>
    <w:rsid w:val="007120B9"/>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0D3"/>
    <w:rsid w:val="0075729A"/>
    <w:rsid w:val="00760232"/>
    <w:rsid w:val="00760B06"/>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6E6E"/>
    <w:rsid w:val="007B71E9"/>
    <w:rsid w:val="007C310B"/>
    <w:rsid w:val="007D027C"/>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284"/>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3542"/>
    <w:rsid w:val="00826C53"/>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4D8C"/>
    <w:rsid w:val="008C69B6"/>
    <w:rsid w:val="008D0BEE"/>
    <w:rsid w:val="008D0CFA"/>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3244"/>
    <w:rsid w:val="009321AB"/>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224F"/>
    <w:rsid w:val="00972740"/>
    <w:rsid w:val="00974115"/>
    <w:rsid w:val="00976868"/>
    <w:rsid w:val="00977EF3"/>
    <w:rsid w:val="00980571"/>
    <w:rsid w:val="00980618"/>
    <w:rsid w:val="00981F5C"/>
    <w:rsid w:val="00982390"/>
    <w:rsid w:val="00982F90"/>
    <w:rsid w:val="009839E6"/>
    <w:rsid w:val="00984554"/>
    <w:rsid w:val="009845FC"/>
    <w:rsid w:val="00985229"/>
    <w:rsid w:val="00985A74"/>
    <w:rsid w:val="00990621"/>
    <w:rsid w:val="00991183"/>
    <w:rsid w:val="00991310"/>
    <w:rsid w:val="00992DF7"/>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AB7"/>
    <w:rsid w:val="009D08B5"/>
    <w:rsid w:val="009D2E78"/>
    <w:rsid w:val="009D394F"/>
    <w:rsid w:val="009D4471"/>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7A7A"/>
    <w:rsid w:val="00A13CEC"/>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3AC3"/>
    <w:rsid w:val="00A6599A"/>
    <w:rsid w:val="00A67C5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20FB"/>
    <w:rsid w:val="00AA3CA3"/>
    <w:rsid w:val="00AA501C"/>
    <w:rsid w:val="00AA562B"/>
    <w:rsid w:val="00AB10B2"/>
    <w:rsid w:val="00AB25E9"/>
    <w:rsid w:val="00AB4C2D"/>
    <w:rsid w:val="00AC148D"/>
    <w:rsid w:val="00AC419F"/>
    <w:rsid w:val="00AC537B"/>
    <w:rsid w:val="00AC5C74"/>
    <w:rsid w:val="00AC5D91"/>
    <w:rsid w:val="00AD2D82"/>
    <w:rsid w:val="00AD2D98"/>
    <w:rsid w:val="00AD4A7A"/>
    <w:rsid w:val="00AD549C"/>
    <w:rsid w:val="00AE0F50"/>
    <w:rsid w:val="00AE14A2"/>
    <w:rsid w:val="00AE1BCE"/>
    <w:rsid w:val="00AE273F"/>
    <w:rsid w:val="00AE295C"/>
    <w:rsid w:val="00AE3D64"/>
    <w:rsid w:val="00AE7E6B"/>
    <w:rsid w:val="00AF2EC8"/>
    <w:rsid w:val="00AF3A10"/>
    <w:rsid w:val="00AF4258"/>
    <w:rsid w:val="00AF512C"/>
    <w:rsid w:val="00AF5E06"/>
    <w:rsid w:val="00B03507"/>
    <w:rsid w:val="00B053CC"/>
    <w:rsid w:val="00B06530"/>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82D4D"/>
    <w:rsid w:val="00B8351F"/>
    <w:rsid w:val="00B84F87"/>
    <w:rsid w:val="00B86460"/>
    <w:rsid w:val="00B86E3F"/>
    <w:rsid w:val="00B9109E"/>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43CF"/>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25B"/>
    <w:rsid w:val="00CB5704"/>
    <w:rsid w:val="00CB5C9C"/>
    <w:rsid w:val="00CC031B"/>
    <w:rsid w:val="00CC0427"/>
    <w:rsid w:val="00CC105B"/>
    <w:rsid w:val="00CC1431"/>
    <w:rsid w:val="00CC3441"/>
    <w:rsid w:val="00CC3B7E"/>
    <w:rsid w:val="00CC464D"/>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E6FF8"/>
    <w:rsid w:val="00CF109A"/>
    <w:rsid w:val="00CF29A8"/>
    <w:rsid w:val="00CF3707"/>
    <w:rsid w:val="00CF393B"/>
    <w:rsid w:val="00CF5A09"/>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505D"/>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5260"/>
    <w:rsid w:val="00DE6122"/>
    <w:rsid w:val="00DE68A7"/>
    <w:rsid w:val="00DF0491"/>
    <w:rsid w:val="00DF1BD0"/>
    <w:rsid w:val="00DF21F7"/>
    <w:rsid w:val="00DF39DC"/>
    <w:rsid w:val="00DF3A10"/>
    <w:rsid w:val="00DF529B"/>
    <w:rsid w:val="00DF7B3D"/>
    <w:rsid w:val="00E0239C"/>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4888"/>
    <w:rsid w:val="00E45CE9"/>
    <w:rsid w:val="00E46765"/>
    <w:rsid w:val="00E47F01"/>
    <w:rsid w:val="00E528B0"/>
    <w:rsid w:val="00E55A1A"/>
    <w:rsid w:val="00E56AC5"/>
    <w:rsid w:val="00E610D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56BE"/>
    <w:rsid w:val="00EA64AE"/>
    <w:rsid w:val="00EA74C9"/>
    <w:rsid w:val="00EB083C"/>
    <w:rsid w:val="00EB1228"/>
    <w:rsid w:val="00EB1C35"/>
    <w:rsid w:val="00EB4E05"/>
    <w:rsid w:val="00EC06D1"/>
    <w:rsid w:val="00EC0E86"/>
    <w:rsid w:val="00EC2087"/>
    <w:rsid w:val="00EC6291"/>
    <w:rsid w:val="00EC702A"/>
    <w:rsid w:val="00EC77C2"/>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CC7"/>
    <w:rsid w:val="00EF2048"/>
    <w:rsid w:val="00EF300A"/>
    <w:rsid w:val="00EF3A51"/>
    <w:rsid w:val="00EF3CB7"/>
    <w:rsid w:val="00EF77B6"/>
    <w:rsid w:val="00F00DF2"/>
    <w:rsid w:val="00F037EF"/>
    <w:rsid w:val="00F03B49"/>
    <w:rsid w:val="00F03E70"/>
    <w:rsid w:val="00F07A61"/>
    <w:rsid w:val="00F07ADA"/>
    <w:rsid w:val="00F07BD1"/>
    <w:rsid w:val="00F121CE"/>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C68"/>
    <w:rsid w:val="00F33C2C"/>
    <w:rsid w:val="00F36167"/>
    <w:rsid w:val="00F36E14"/>
    <w:rsid w:val="00F3786A"/>
    <w:rsid w:val="00F37EC5"/>
    <w:rsid w:val="00F417A2"/>
    <w:rsid w:val="00F426CC"/>
    <w:rsid w:val="00F42C22"/>
    <w:rsid w:val="00F43441"/>
    <w:rsid w:val="00F43FA7"/>
    <w:rsid w:val="00F45D76"/>
    <w:rsid w:val="00F50325"/>
    <w:rsid w:val="00F53683"/>
    <w:rsid w:val="00F54231"/>
    <w:rsid w:val="00F54393"/>
    <w:rsid w:val="00F5711C"/>
    <w:rsid w:val="00F61340"/>
    <w:rsid w:val="00F62EDE"/>
    <w:rsid w:val="00F63C04"/>
    <w:rsid w:val="00F653DB"/>
    <w:rsid w:val="00F67A80"/>
    <w:rsid w:val="00F67CF6"/>
    <w:rsid w:val="00F72EB3"/>
    <w:rsid w:val="00F747F3"/>
    <w:rsid w:val="00F74EA1"/>
    <w:rsid w:val="00F752FE"/>
    <w:rsid w:val="00F7770D"/>
    <w:rsid w:val="00F77FE3"/>
    <w:rsid w:val="00F80DD2"/>
    <w:rsid w:val="00F80FD8"/>
    <w:rsid w:val="00F83812"/>
    <w:rsid w:val="00F83E2B"/>
    <w:rsid w:val="00F84032"/>
    <w:rsid w:val="00F85A0F"/>
    <w:rsid w:val="00F86D7E"/>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50A7"/>
    <w:rsid w:val="00FB5B5D"/>
    <w:rsid w:val="00FC2717"/>
    <w:rsid w:val="00FC284A"/>
    <w:rsid w:val="00FC4FB5"/>
    <w:rsid w:val="00FC7C5F"/>
    <w:rsid w:val="00FD081F"/>
    <w:rsid w:val="00FD0F7A"/>
    <w:rsid w:val="00FD1DC6"/>
    <w:rsid w:val="00FD4D5A"/>
    <w:rsid w:val="00FD5227"/>
    <w:rsid w:val="00FD7B79"/>
    <w:rsid w:val="00FE0393"/>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wikipedia.org/wiki/Kamatz"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802C8-F7A3-4EF7-A8AA-CE272AEF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1941</Words>
  <Characters>11067</Characters>
  <Application>Microsoft Office Word</Application>
  <DocSecurity>0</DocSecurity>
  <Lines>92</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2015-09-24T07:46:00Z</dcterms:created>
  <dcterms:modified xsi:type="dcterms:W3CDTF">2015-09-24T07:47:00Z</dcterms:modified>
</cp:coreProperties>
</file>