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59" w:rsidRDefault="00402459" w:rsidP="009752F2">
      <w:pPr>
        <w:spacing w:before="240" w:after="120" w:line="360" w:lineRule="auto"/>
        <w:ind w:left="227"/>
        <w:jc w:val="center"/>
        <w:outlineLvl w:val="0"/>
        <w:rPr>
          <w:b/>
          <w:bCs/>
          <w:sz w:val="36"/>
          <w:szCs w:val="36"/>
          <w:rtl/>
        </w:rPr>
      </w:pPr>
      <w:bookmarkStart w:id="0" w:name="_GoBack"/>
      <w:bookmarkEnd w:id="0"/>
    </w:p>
    <w:p w:rsidR="009752F2" w:rsidRPr="000304D2" w:rsidRDefault="009752F2" w:rsidP="009752F2">
      <w:pPr>
        <w:spacing w:before="240" w:after="120" w:line="360" w:lineRule="auto"/>
        <w:ind w:left="227"/>
        <w:jc w:val="center"/>
        <w:outlineLvl w:val="0"/>
        <w:rPr>
          <w:b/>
          <w:bCs/>
          <w:sz w:val="36"/>
          <w:szCs w:val="36"/>
          <w:rtl/>
        </w:rPr>
      </w:pPr>
      <w:r w:rsidRPr="000304D2">
        <w:rPr>
          <w:rFonts w:hint="cs"/>
          <w:b/>
          <w:bCs/>
          <w:sz w:val="36"/>
          <w:szCs w:val="36"/>
          <w:rtl/>
        </w:rPr>
        <w:t>מלחמת רמות גלעד ומות אחאב בה כדבר ה' (כ"ב, א</w:t>
      </w:r>
      <w:r w:rsidRPr="000304D2">
        <w:rPr>
          <w:rFonts w:eastAsia="Times New Roman" w:hint="cs"/>
          <w:b/>
          <w:bCs/>
          <w:sz w:val="24"/>
          <w:szCs w:val="24"/>
          <w:rtl/>
        </w:rPr>
        <w:t xml:space="preserve"> –</w:t>
      </w:r>
      <w:r w:rsidRPr="000304D2">
        <w:rPr>
          <w:rFonts w:hint="cs"/>
          <w:b/>
          <w:bCs/>
          <w:sz w:val="36"/>
          <w:szCs w:val="36"/>
          <w:rtl/>
        </w:rPr>
        <w:t>לח)</w:t>
      </w:r>
    </w:p>
    <w:p w:rsidR="001A6A3D" w:rsidRDefault="000A30D9" w:rsidP="009752F2">
      <w:pPr>
        <w:pStyle w:val="Heading2"/>
        <w:rPr>
          <w:rtl/>
        </w:rPr>
      </w:pPr>
      <w:r>
        <w:rPr>
          <w:rFonts w:hint="cs"/>
          <w:rtl/>
        </w:rPr>
        <w:t>י</w:t>
      </w:r>
      <w:r w:rsidR="008D37B3">
        <w:rPr>
          <w:rFonts w:hint="cs"/>
          <w:rtl/>
        </w:rPr>
        <w:t>ב</w:t>
      </w:r>
      <w:r>
        <w:rPr>
          <w:rFonts w:hint="cs"/>
          <w:rtl/>
        </w:rPr>
        <w:t>. סיום העימות בין מיכיהו לאחאב</w:t>
      </w:r>
    </w:p>
    <w:p w:rsidR="00D70555" w:rsidRPr="00D70555" w:rsidRDefault="00D70555" w:rsidP="00D70555">
      <w:pPr>
        <w:rPr>
          <w:rtl/>
        </w:rPr>
      </w:pPr>
    </w:p>
    <w:p w:rsidR="00A85269" w:rsidRDefault="00026C22" w:rsidP="00B47739">
      <w:pPr>
        <w:spacing w:after="0"/>
        <w:rPr>
          <w:rtl/>
        </w:rPr>
      </w:pPr>
      <w:r>
        <w:rPr>
          <w:rtl/>
        </w:rPr>
        <w:tab/>
      </w:r>
      <w:r>
        <w:rPr>
          <w:rFonts w:hint="cs"/>
          <w:rtl/>
        </w:rPr>
        <w:t>כו</w:t>
      </w:r>
      <w:r>
        <w:rPr>
          <w:rFonts w:hint="cs"/>
          <w:rtl/>
        </w:rPr>
        <w:tab/>
      </w:r>
      <w:r w:rsidR="00A85269" w:rsidRPr="00A85269">
        <w:rPr>
          <w:rFonts w:hint="cs"/>
          <w:rtl/>
        </w:rPr>
        <w:t>וַיֹּאמֶר מֶלֶךְ יִשְׂרָאֵל</w:t>
      </w:r>
      <w:r w:rsidR="00A85269">
        <w:rPr>
          <w:rFonts w:hint="cs"/>
          <w:rtl/>
        </w:rPr>
        <w:t>:</w:t>
      </w:r>
      <w:r w:rsidR="00A85269" w:rsidRPr="00A85269">
        <w:rPr>
          <w:rFonts w:hint="cs"/>
          <w:rtl/>
        </w:rPr>
        <w:t xml:space="preserve"> קַח אֶת מִיכָיְהוּ </w:t>
      </w:r>
    </w:p>
    <w:p w:rsidR="000A30D9" w:rsidRDefault="00A85269" w:rsidP="00B47739">
      <w:pPr>
        <w:spacing w:after="0"/>
        <w:ind w:left="720" w:firstLine="720"/>
        <w:rPr>
          <w:rtl/>
        </w:rPr>
      </w:pPr>
      <w:r w:rsidRPr="00A85269">
        <w:rPr>
          <w:rFonts w:hint="cs"/>
          <w:rtl/>
        </w:rPr>
        <w:t>וַהֲשִׁיבֵהוּ אֶל אָמֹן שַׂר הָעִיר וְאֶל יוֹאָשׁ בֶּן הַמֶּלֶךְ</w:t>
      </w:r>
      <w:r w:rsidR="00B47739">
        <w:rPr>
          <w:rFonts w:hint="cs"/>
          <w:rtl/>
        </w:rPr>
        <w:t>.</w:t>
      </w:r>
    </w:p>
    <w:p w:rsidR="00A85269" w:rsidRDefault="00A85269" w:rsidP="00B47739">
      <w:pPr>
        <w:spacing w:after="0"/>
        <w:rPr>
          <w:rtl/>
        </w:rPr>
      </w:pPr>
      <w:r>
        <w:rPr>
          <w:rtl/>
        </w:rPr>
        <w:tab/>
      </w:r>
      <w:r>
        <w:rPr>
          <w:rFonts w:hint="cs"/>
          <w:rtl/>
        </w:rPr>
        <w:t>כז</w:t>
      </w:r>
      <w:r>
        <w:rPr>
          <w:rFonts w:hint="cs"/>
          <w:rtl/>
        </w:rPr>
        <w:tab/>
      </w:r>
      <w:r w:rsidRPr="00A85269">
        <w:rPr>
          <w:rFonts w:hint="cs"/>
          <w:rtl/>
        </w:rPr>
        <w:t>וְאָמַרְתָּ</w:t>
      </w:r>
      <w:r>
        <w:rPr>
          <w:rFonts w:hint="cs"/>
          <w:rtl/>
        </w:rPr>
        <w:t>,</w:t>
      </w:r>
      <w:r w:rsidRPr="00A85269">
        <w:rPr>
          <w:rFonts w:hint="cs"/>
          <w:rtl/>
        </w:rPr>
        <w:t xml:space="preserve"> כֹּה אָמַר הַמֶּלֶךְ</w:t>
      </w:r>
      <w:r>
        <w:rPr>
          <w:rFonts w:hint="cs"/>
          <w:rtl/>
        </w:rPr>
        <w:t>:</w:t>
      </w:r>
      <w:r w:rsidRPr="00A85269">
        <w:rPr>
          <w:rFonts w:hint="cs"/>
          <w:rtl/>
        </w:rPr>
        <w:t xml:space="preserve"> שִׂימוּ אֶת זֶה בֵּית הַכֶּלֶא </w:t>
      </w:r>
    </w:p>
    <w:p w:rsidR="00A85269" w:rsidRDefault="00A85269" w:rsidP="00B47739">
      <w:pPr>
        <w:spacing w:after="0"/>
        <w:ind w:left="720" w:firstLine="720"/>
        <w:rPr>
          <w:rtl/>
        </w:rPr>
      </w:pPr>
      <w:r w:rsidRPr="00A85269">
        <w:rPr>
          <w:rFonts w:hint="cs"/>
          <w:rtl/>
        </w:rPr>
        <w:t>וְהַאֲכִילֻהוּ לֶחֶם לַחַץ וּמַיִם לַחַץ עַד בֹּאִי בְשָׁלוֹם</w:t>
      </w:r>
      <w:r w:rsidR="00B47739">
        <w:rPr>
          <w:rFonts w:hint="cs"/>
          <w:rtl/>
        </w:rPr>
        <w:t>.</w:t>
      </w:r>
    </w:p>
    <w:p w:rsidR="00A85269" w:rsidRDefault="00A85269" w:rsidP="00B47739">
      <w:pPr>
        <w:spacing w:after="0"/>
        <w:rPr>
          <w:rtl/>
        </w:rPr>
      </w:pPr>
      <w:r>
        <w:rPr>
          <w:rtl/>
        </w:rPr>
        <w:tab/>
      </w:r>
      <w:r>
        <w:rPr>
          <w:rFonts w:hint="cs"/>
          <w:rtl/>
        </w:rPr>
        <w:t>כח</w:t>
      </w:r>
      <w:r>
        <w:rPr>
          <w:rFonts w:hint="cs"/>
          <w:rtl/>
        </w:rPr>
        <w:tab/>
      </w:r>
      <w:r w:rsidRPr="00A85269">
        <w:rPr>
          <w:rFonts w:hint="cs"/>
          <w:rtl/>
        </w:rPr>
        <w:t>וַיֹּאמֶר מִיכָיְהוּ</w:t>
      </w:r>
      <w:r>
        <w:rPr>
          <w:rFonts w:hint="cs"/>
          <w:rtl/>
        </w:rPr>
        <w:t>:</w:t>
      </w:r>
      <w:r w:rsidRPr="00A85269">
        <w:rPr>
          <w:rFonts w:hint="cs"/>
          <w:rtl/>
        </w:rPr>
        <w:t xml:space="preserve"> אִם שׁוֹב תָּשׁוּב בְּשָׁלוֹם</w:t>
      </w:r>
      <w:r>
        <w:rPr>
          <w:rFonts w:hint="cs"/>
          <w:rtl/>
        </w:rPr>
        <w:t>,</w:t>
      </w:r>
      <w:r w:rsidRPr="00A85269">
        <w:rPr>
          <w:rFonts w:hint="cs"/>
          <w:rtl/>
        </w:rPr>
        <w:t xml:space="preserve"> לֹא דִבֶּר </w:t>
      </w:r>
      <w:r>
        <w:rPr>
          <w:rFonts w:hint="cs"/>
          <w:rtl/>
        </w:rPr>
        <w:t xml:space="preserve">ה' </w:t>
      </w:r>
      <w:r w:rsidRPr="00A85269">
        <w:rPr>
          <w:rFonts w:hint="cs"/>
          <w:rtl/>
        </w:rPr>
        <w:t xml:space="preserve">בִּי </w:t>
      </w:r>
    </w:p>
    <w:p w:rsidR="00A85269" w:rsidRDefault="00A85269" w:rsidP="00A85269">
      <w:pPr>
        <w:ind w:left="720" w:firstLine="720"/>
        <w:rPr>
          <w:rtl/>
        </w:rPr>
      </w:pPr>
      <w:r w:rsidRPr="00A85269">
        <w:rPr>
          <w:rFonts w:hint="cs"/>
          <w:rtl/>
        </w:rPr>
        <w:t>וַיֹּאמֶר</w:t>
      </w:r>
      <w:r>
        <w:rPr>
          <w:rFonts w:hint="cs"/>
          <w:rtl/>
        </w:rPr>
        <w:t>:</w:t>
      </w:r>
      <w:r w:rsidRPr="00A85269">
        <w:rPr>
          <w:rFonts w:hint="cs"/>
          <w:rtl/>
        </w:rPr>
        <w:t xml:space="preserve"> שִׁמְעוּ עַמִּים כֻּלָּם</w:t>
      </w:r>
      <w:r>
        <w:rPr>
          <w:rFonts w:hint="cs"/>
          <w:rtl/>
        </w:rPr>
        <w:t>!</w:t>
      </w:r>
    </w:p>
    <w:p w:rsidR="00A85269" w:rsidRDefault="00A85269" w:rsidP="00A85269">
      <w:pPr>
        <w:rPr>
          <w:rtl/>
        </w:rPr>
      </w:pPr>
    </w:p>
    <w:p w:rsidR="00A85269" w:rsidRDefault="00C259E9" w:rsidP="005D628B">
      <w:pPr>
        <w:pStyle w:val="Heading3"/>
        <w:numPr>
          <w:ilvl w:val="0"/>
          <w:numId w:val="8"/>
        </w:numPr>
        <w:rPr>
          <w:rtl/>
        </w:rPr>
      </w:pPr>
      <w:r>
        <w:rPr>
          <w:rFonts w:hint="cs"/>
          <w:rtl/>
        </w:rPr>
        <w:t xml:space="preserve">מיכיהו נאמן לשליחותו אל מול כל </w:t>
      </w:r>
      <w:r w:rsidR="00651159">
        <w:rPr>
          <w:rFonts w:hint="cs"/>
          <w:rtl/>
        </w:rPr>
        <w:t>אלימות</w:t>
      </w:r>
      <w:r>
        <w:rPr>
          <w:rFonts w:hint="cs"/>
          <w:rtl/>
        </w:rPr>
        <w:t xml:space="preserve"> </w:t>
      </w:r>
    </w:p>
    <w:p w:rsidR="007F52DE" w:rsidRDefault="00135818" w:rsidP="00C259E9">
      <w:pPr>
        <w:rPr>
          <w:rtl/>
        </w:rPr>
      </w:pPr>
      <w:r>
        <w:rPr>
          <w:rFonts w:hint="cs"/>
          <w:rtl/>
        </w:rPr>
        <w:t>יש לתת את הדעת על מנת הסבל שזומנה ל</w:t>
      </w:r>
      <w:r w:rsidR="004F12F2">
        <w:rPr>
          <w:rFonts w:hint="cs"/>
          <w:rtl/>
        </w:rPr>
        <w:t xml:space="preserve">מיכיהו בן ימלה </w:t>
      </w:r>
      <w:r>
        <w:rPr>
          <w:rFonts w:hint="cs"/>
          <w:rtl/>
        </w:rPr>
        <w:t>ב</w:t>
      </w:r>
      <w:r w:rsidR="00C259E9">
        <w:rPr>
          <w:rFonts w:hint="cs"/>
          <w:rtl/>
        </w:rPr>
        <w:t xml:space="preserve">מסגרת </w:t>
      </w:r>
      <w:r w:rsidR="00772026">
        <w:rPr>
          <w:rFonts w:hint="cs"/>
          <w:rtl/>
        </w:rPr>
        <w:t>מי</w:t>
      </w:r>
      <w:r>
        <w:rPr>
          <w:rFonts w:hint="cs"/>
          <w:rtl/>
        </w:rPr>
        <w:t>לוי תפקידו. פעמיים מצאנוהו מוכה: בסוף הסיפור הכלול בפרק כ' הוא מְצ</w:t>
      </w:r>
      <w:r w:rsidR="00772026">
        <w:rPr>
          <w:rFonts w:hint="cs"/>
          <w:rtl/>
        </w:rPr>
        <w:t>ו</w:t>
      </w:r>
      <w:r>
        <w:rPr>
          <w:rFonts w:hint="cs"/>
          <w:rtl/>
        </w:rPr>
        <w:t>וה על רעהו להכותו</w:t>
      </w:r>
      <w:r w:rsidR="00772026" w:rsidRPr="00772026">
        <w:rPr>
          <w:rFonts w:hint="cs"/>
          <w:rtl/>
        </w:rPr>
        <w:t xml:space="preserve"> </w:t>
      </w:r>
      <w:r w:rsidR="00772026">
        <w:rPr>
          <w:rFonts w:hint="cs"/>
          <w:rtl/>
        </w:rPr>
        <w:t>בדבר ה'</w:t>
      </w:r>
      <w:r>
        <w:rPr>
          <w:rFonts w:hint="cs"/>
          <w:rtl/>
        </w:rPr>
        <w:t>, ולבסוף "</w:t>
      </w:r>
      <w:r w:rsidRPr="00135818">
        <w:rPr>
          <w:rFonts w:hint="cs"/>
          <w:rtl/>
        </w:rPr>
        <w:t>וַיַּכֵּהוּ הָאִישׁ הַכֵּה וּפָצֹעַ</w:t>
      </w:r>
      <w:r>
        <w:rPr>
          <w:rFonts w:hint="cs"/>
          <w:rtl/>
        </w:rPr>
        <w:t>"</w:t>
      </w:r>
      <w:r w:rsidR="00772026">
        <w:rPr>
          <w:rFonts w:hint="cs"/>
          <w:rtl/>
        </w:rPr>
        <w:t xml:space="preserve"> (לז)</w:t>
      </w:r>
      <w:r w:rsidR="00C259E9" w:rsidRPr="00C259E9">
        <w:rPr>
          <w:rStyle w:val="FootnoteReference"/>
          <w:rtl/>
        </w:rPr>
        <w:t xml:space="preserve"> </w:t>
      </w:r>
      <w:r w:rsidR="00C259E9">
        <w:rPr>
          <w:rStyle w:val="FootnoteReference"/>
          <w:rtl/>
        </w:rPr>
        <w:footnoteReference w:id="1"/>
      </w:r>
      <w:r w:rsidR="009A550D">
        <w:rPr>
          <w:rFonts w:hint="cs"/>
          <w:rtl/>
        </w:rPr>
        <w:t>; ובסיפורנו "</w:t>
      </w:r>
      <w:r w:rsidR="009A550D" w:rsidRPr="009A550D">
        <w:rPr>
          <w:rFonts w:hint="cs"/>
          <w:rtl/>
        </w:rPr>
        <w:t>וַיִּגַּשׁ צִדְקִיָּהוּ בֶן כְּנַעֲנָה וַיַּכֶּה אֶת מִיכָיְהוּ עַל הַלֶּחִי</w:t>
      </w:r>
      <w:r w:rsidR="009A550D">
        <w:rPr>
          <w:rFonts w:hint="cs"/>
          <w:rtl/>
        </w:rPr>
        <w:t xml:space="preserve">". הכאתו </w:t>
      </w:r>
      <w:r w:rsidR="00772026">
        <w:rPr>
          <w:rFonts w:hint="cs"/>
          <w:rtl/>
        </w:rPr>
        <w:t>של מיכיהו ב</w:t>
      </w:r>
      <w:r w:rsidR="009A550D">
        <w:rPr>
          <w:rFonts w:hint="cs"/>
          <w:rtl/>
        </w:rPr>
        <w:t>ראשונה</w:t>
      </w:r>
      <w:r w:rsidR="00772026">
        <w:rPr>
          <w:rFonts w:hint="cs"/>
          <w:rtl/>
        </w:rPr>
        <w:t xml:space="preserve"> (בפרק כ)</w:t>
      </w:r>
      <w:r w:rsidR="009A550D">
        <w:rPr>
          <w:rFonts w:hint="cs"/>
          <w:rtl/>
        </w:rPr>
        <w:t xml:space="preserve"> הייתה על פי דבר ה'</w:t>
      </w:r>
      <w:r w:rsidR="00D70555">
        <w:rPr>
          <w:rFonts w:hint="cs"/>
          <w:rtl/>
        </w:rPr>
        <w:t>,</w:t>
      </w:r>
      <w:r w:rsidR="009A550D">
        <w:rPr>
          <w:rFonts w:hint="cs"/>
          <w:rtl/>
        </w:rPr>
        <w:t xml:space="preserve"> אשר ציו</w:t>
      </w:r>
      <w:r w:rsidR="00772026">
        <w:rPr>
          <w:rFonts w:hint="cs"/>
          <w:rtl/>
        </w:rPr>
        <w:t>ו</w:t>
      </w:r>
      <w:r w:rsidR="009A550D">
        <w:rPr>
          <w:rFonts w:hint="cs"/>
          <w:rtl/>
        </w:rPr>
        <w:t>ה לעשות כן</w:t>
      </w:r>
      <w:r w:rsidR="00D70555">
        <w:rPr>
          <w:rFonts w:hint="cs"/>
          <w:rtl/>
        </w:rPr>
        <w:t xml:space="preserve"> </w:t>
      </w:r>
      <w:r w:rsidR="00EE225B">
        <w:rPr>
          <w:rFonts w:hint="cs"/>
          <w:rtl/>
        </w:rPr>
        <w:t>לשם קיומה של נבואת מיכיהו בהמשך ביחס לאחאב.</w:t>
      </w:r>
      <w:r w:rsidR="00EE225B">
        <w:rPr>
          <w:rStyle w:val="FootnoteReference"/>
          <w:rtl/>
        </w:rPr>
        <w:footnoteReference w:id="2"/>
      </w:r>
      <w:r w:rsidR="00EE225B">
        <w:rPr>
          <w:rFonts w:hint="cs"/>
          <w:rtl/>
        </w:rPr>
        <w:t xml:space="preserve"> המכה אותו עשה כן מפני שהאמין כי מיכיהו, המְצוה להכותו, נביא אמת הוא.</w:t>
      </w:r>
      <w:r w:rsidR="00EE225B">
        <w:rPr>
          <w:rStyle w:val="FootnoteReference"/>
          <w:rtl/>
        </w:rPr>
        <w:footnoteReference w:id="3"/>
      </w:r>
      <w:r w:rsidR="00EE225B">
        <w:rPr>
          <w:rFonts w:hint="cs"/>
          <w:rtl/>
        </w:rPr>
        <w:t xml:space="preserve"> בסיפורנו, מכה צדקיה את מיכיהו מטעם הפוך: </w:t>
      </w:r>
      <w:r w:rsidR="00C224AD">
        <w:rPr>
          <w:rFonts w:hint="cs"/>
          <w:rtl/>
        </w:rPr>
        <w:t>מחמת טענתו כי מיכיהו אינו נביא אמת, וכדי למנוע כל השפעה שלו על אחאב.</w:t>
      </w:r>
    </w:p>
    <w:p w:rsidR="00D70555" w:rsidRDefault="00C224AD" w:rsidP="00C259E9">
      <w:pPr>
        <w:rPr>
          <w:rtl/>
        </w:rPr>
      </w:pPr>
      <w:r>
        <w:rPr>
          <w:rFonts w:hint="cs"/>
          <w:rtl/>
        </w:rPr>
        <w:t xml:space="preserve">וכשם שהכאתו הראשונה שימשה אותו בתפקידו כנביא, כך אף הכאתו השנייה </w:t>
      </w:r>
      <w:r w:rsidR="004F12F2">
        <w:rPr>
          <w:rFonts w:hint="cs"/>
          <w:rtl/>
        </w:rPr>
        <w:t>גרמה לחיזוק</w:t>
      </w:r>
      <w:r w:rsidR="00AF5031">
        <w:rPr>
          <w:rFonts w:hint="cs"/>
          <w:rtl/>
        </w:rPr>
        <w:t xml:space="preserve"> נבואתו,</w:t>
      </w:r>
      <w:r>
        <w:rPr>
          <w:rFonts w:hint="cs"/>
          <w:rtl/>
        </w:rPr>
        <w:t xml:space="preserve"> כפי שהסברנו בעיון הקודם (סעיף 3).</w:t>
      </w:r>
      <w:r w:rsidR="00D70555">
        <w:rPr>
          <w:rFonts w:hint="cs"/>
          <w:rtl/>
        </w:rPr>
        <w:t xml:space="preserve"> </w:t>
      </w:r>
      <w:r w:rsidR="00B5086B">
        <w:rPr>
          <w:rFonts w:hint="cs"/>
          <w:rtl/>
        </w:rPr>
        <w:t>א</w:t>
      </w:r>
      <w:r w:rsidR="00C259E9">
        <w:rPr>
          <w:rFonts w:hint="cs"/>
          <w:rtl/>
        </w:rPr>
        <w:t>לא ש</w:t>
      </w:r>
      <w:r w:rsidR="00B5086B">
        <w:rPr>
          <w:rFonts w:hint="cs"/>
          <w:rtl/>
        </w:rPr>
        <w:t>מנת סבלו של מיכיהו לא תמה בזאת:</w:t>
      </w:r>
    </w:p>
    <w:p w:rsidR="00D70555" w:rsidRPr="00D70555" w:rsidRDefault="00B5086B" w:rsidP="00D70555">
      <w:pPr>
        <w:rPr>
          <w:rtl/>
        </w:rPr>
      </w:pPr>
      <w:r>
        <w:rPr>
          <w:rFonts w:hint="cs"/>
          <w:rtl/>
        </w:rPr>
        <w:t xml:space="preserve"> </w:t>
      </w:r>
      <w:r w:rsidR="00D70555" w:rsidRPr="00D70555">
        <w:rPr>
          <w:rFonts w:hint="cs"/>
          <w:rtl/>
        </w:rPr>
        <w:t xml:space="preserve">האלימות האישית הבוטה והירודה שהפגין צדקיה כלפי מיכיהו בהכותו </w:t>
      </w:r>
      <w:r w:rsidR="00C259E9">
        <w:rPr>
          <w:rFonts w:hint="cs"/>
          <w:rtl/>
        </w:rPr>
        <w:t xml:space="preserve">אותו </w:t>
      </w:r>
      <w:r w:rsidR="00D70555" w:rsidRPr="00D70555">
        <w:rPr>
          <w:rFonts w:hint="cs"/>
          <w:rtl/>
        </w:rPr>
        <w:t>על הלחי, מתגלגלת עתה לאלימות ממלכתית וממוסדת כלפי הנביא, הבאה מצדו של אחאב פטרונו של צדקיה:</w:t>
      </w:r>
    </w:p>
    <w:p w:rsidR="00D70555" w:rsidRPr="00D70555" w:rsidRDefault="00D70555" w:rsidP="00D70555">
      <w:pPr>
        <w:rPr>
          <w:rtl/>
        </w:rPr>
      </w:pPr>
      <w:r w:rsidRPr="00D70555">
        <w:rPr>
          <w:rtl/>
        </w:rPr>
        <w:tab/>
      </w:r>
      <w:r w:rsidRPr="00D70555">
        <w:rPr>
          <w:rtl/>
        </w:rPr>
        <w:tab/>
      </w:r>
      <w:r w:rsidRPr="00D70555">
        <w:rPr>
          <w:rFonts w:hint="cs"/>
          <w:rtl/>
        </w:rPr>
        <w:t>שִׂימוּ אֶת זֶה בֵּית הַכֶּלֶא,</w:t>
      </w:r>
      <w:r w:rsidRPr="00D70555">
        <w:rPr>
          <w:vertAlign w:val="superscript"/>
          <w:rtl/>
        </w:rPr>
        <w:footnoteReference w:id="4"/>
      </w:r>
      <w:r w:rsidRPr="00D70555">
        <w:rPr>
          <w:rFonts w:hint="cs"/>
          <w:rtl/>
        </w:rPr>
        <w:t xml:space="preserve"> וְהַאֲכִילֻהוּ לֶחֶם לַחַץ וּמַיִם לַחַץ</w:t>
      </w:r>
      <w:r w:rsidRPr="00D70555">
        <w:rPr>
          <w:vertAlign w:val="superscript"/>
          <w:rtl/>
        </w:rPr>
        <w:footnoteReference w:id="5"/>
      </w:r>
      <w:r w:rsidRPr="00D70555">
        <w:rPr>
          <w:rFonts w:hint="cs"/>
          <w:rtl/>
        </w:rPr>
        <w:t xml:space="preserve"> עַד בֹּאִי בְשָׁלוֹם</w:t>
      </w:r>
      <w:r>
        <w:rPr>
          <w:rFonts w:hint="cs"/>
          <w:rtl/>
        </w:rPr>
        <w:t>.</w:t>
      </w:r>
      <w:r w:rsidRPr="00D70555">
        <w:rPr>
          <w:vertAlign w:val="superscript"/>
          <w:rtl/>
        </w:rPr>
        <w:t xml:space="preserve"> </w:t>
      </w:r>
    </w:p>
    <w:p w:rsidR="00D70555" w:rsidRPr="00D70555" w:rsidRDefault="00D70555" w:rsidP="00C259E9">
      <w:pPr>
        <w:rPr>
          <w:rtl/>
        </w:rPr>
      </w:pPr>
      <w:r w:rsidRPr="00D70555">
        <w:rPr>
          <w:rFonts w:hint="cs"/>
          <w:rtl/>
        </w:rPr>
        <w:t xml:space="preserve">אחאב </w:t>
      </w:r>
      <w:r w:rsidR="00C259E9">
        <w:rPr>
          <w:rFonts w:hint="cs"/>
          <w:rtl/>
        </w:rPr>
        <w:t>מ</w:t>
      </w:r>
      <w:r w:rsidR="00C259E9" w:rsidRPr="00D70555">
        <w:rPr>
          <w:rFonts w:hint="cs"/>
          <w:rtl/>
        </w:rPr>
        <w:t xml:space="preserve">ודיע </w:t>
      </w:r>
      <w:r w:rsidRPr="00D70555">
        <w:rPr>
          <w:rFonts w:hint="cs"/>
          <w:rtl/>
        </w:rPr>
        <w:t xml:space="preserve">על </w:t>
      </w:r>
      <w:r>
        <w:rPr>
          <w:rFonts w:hint="cs"/>
          <w:rtl/>
        </w:rPr>
        <w:t>החלטתו לצאת</w:t>
      </w:r>
      <w:r w:rsidRPr="00D70555">
        <w:rPr>
          <w:rFonts w:hint="cs"/>
          <w:rtl/>
        </w:rPr>
        <w:t xml:space="preserve"> למלחמה בניגוד לדברי מיכיהו, </w:t>
      </w:r>
      <w:r>
        <w:rPr>
          <w:rFonts w:hint="cs"/>
          <w:rtl/>
        </w:rPr>
        <w:t>תוך שהוא כורך</w:t>
      </w:r>
      <w:r w:rsidRPr="00D70555">
        <w:rPr>
          <w:rFonts w:hint="cs"/>
          <w:rtl/>
        </w:rPr>
        <w:t xml:space="preserve"> דבריו בפקודה לכלוא את הנביא בתנאי קיום מינימליים.</w:t>
      </w:r>
      <w:r w:rsidR="00486924">
        <w:rPr>
          <w:rStyle w:val="FootnoteReference"/>
          <w:rtl/>
        </w:rPr>
        <w:footnoteReference w:id="6"/>
      </w:r>
      <w:r>
        <w:rPr>
          <w:rFonts w:hint="cs"/>
          <w:rtl/>
        </w:rPr>
        <w:t xml:space="preserve"> </w:t>
      </w:r>
      <w:r w:rsidRPr="00D70555">
        <w:rPr>
          <w:rFonts w:hint="cs"/>
          <w:rtl/>
        </w:rPr>
        <w:t>שני האישים הללו, המלך ונביא החצר שלו, הפעילו כלפי מיכיהו אלימות מחמת עלבון אישי שנעלבו מנבואתו,</w:t>
      </w:r>
      <w:r w:rsidRPr="00D70555">
        <w:rPr>
          <w:vertAlign w:val="superscript"/>
          <w:rtl/>
        </w:rPr>
        <w:footnoteReference w:id="7"/>
      </w:r>
      <w:r w:rsidRPr="00D70555">
        <w:rPr>
          <w:rFonts w:hint="cs"/>
          <w:rtl/>
        </w:rPr>
        <w:t xml:space="preserve"> ובתגובותיהם המילוליות הנלוות לאלימות הפגינו את חוסר האמון שלהם בו כנביא</w:t>
      </w:r>
      <w:r w:rsidR="00486924">
        <w:rPr>
          <w:rFonts w:hint="cs"/>
          <w:rtl/>
        </w:rPr>
        <w:t xml:space="preserve"> אמת</w:t>
      </w:r>
      <w:r w:rsidRPr="00D70555">
        <w:rPr>
          <w:rFonts w:hint="cs"/>
          <w:rtl/>
        </w:rPr>
        <w:t>.</w:t>
      </w:r>
      <w:r w:rsidRPr="00D70555">
        <w:rPr>
          <w:vertAlign w:val="superscript"/>
          <w:rtl/>
        </w:rPr>
        <w:footnoteReference w:id="8"/>
      </w:r>
    </w:p>
    <w:p w:rsidR="00AF5031" w:rsidRDefault="00486924" w:rsidP="00486924">
      <w:pPr>
        <w:rPr>
          <w:rtl/>
        </w:rPr>
      </w:pPr>
      <w:r w:rsidRPr="00486924">
        <w:rPr>
          <w:rFonts w:hint="cs"/>
          <w:rtl/>
        </w:rPr>
        <w:lastRenderedPageBreak/>
        <w:t xml:space="preserve"> </w:t>
      </w:r>
      <w:r w:rsidR="004F12F2">
        <w:rPr>
          <w:rFonts w:hint="cs"/>
          <w:rtl/>
        </w:rPr>
        <w:t xml:space="preserve">מתברר </w:t>
      </w:r>
      <w:r>
        <w:rPr>
          <w:rFonts w:hint="cs"/>
          <w:rtl/>
        </w:rPr>
        <w:t xml:space="preserve">אפוא </w:t>
      </w:r>
      <w:r w:rsidR="004F12F2">
        <w:rPr>
          <w:rFonts w:hint="cs"/>
          <w:rtl/>
        </w:rPr>
        <w:t>כי מיכיהו לא השיג את מטרתו</w:t>
      </w:r>
      <w:r w:rsidR="00D70555">
        <w:rPr>
          <w:rFonts w:hint="cs"/>
          <w:rtl/>
        </w:rPr>
        <w:t xml:space="preserve"> </w:t>
      </w:r>
      <w:r w:rsidR="00D70555">
        <w:rPr>
          <w:rtl/>
        </w:rPr>
        <w:t>–</w:t>
      </w:r>
      <w:r w:rsidR="00D70555">
        <w:rPr>
          <w:rFonts w:hint="cs"/>
          <w:rtl/>
        </w:rPr>
        <w:t xml:space="preserve"> </w:t>
      </w:r>
      <w:r w:rsidR="004F12F2">
        <w:rPr>
          <w:rFonts w:hint="cs"/>
          <w:rtl/>
        </w:rPr>
        <w:t xml:space="preserve"> </w:t>
      </w:r>
      <w:r w:rsidR="00D70555">
        <w:rPr>
          <w:rFonts w:hint="cs"/>
          <w:rtl/>
        </w:rPr>
        <w:t xml:space="preserve">הוא </w:t>
      </w:r>
      <w:r w:rsidR="004F12F2">
        <w:rPr>
          <w:rFonts w:hint="cs"/>
          <w:rtl/>
        </w:rPr>
        <w:t xml:space="preserve">לא הצליח לשכנע את אחאב להימנע מלצאת למלחמה. </w:t>
      </w:r>
    </w:p>
    <w:p w:rsidR="00C224AD" w:rsidRDefault="001C0323" w:rsidP="00486924">
      <w:pPr>
        <w:rPr>
          <w:rtl/>
        </w:rPr>
      </w:pPr>
      <w:r>
        <w:rPr>
          <w:rFonts w:hint="cs"/>
          <w:rtl/>
        </w:rPr>
        <w:t xml:space="preserve">האם </w:t>
      </w:r>
      <w:r w:rsidR="00486924">
        <w:rPr>
          <w:rFonts w:hint="cs"/>
          <w:rtl/>
        </w:rPr>
        <w:t>כישלון מאמציו ופקודת הכליאה שלו יהוו</w:t>
      </w:r>
      <w:r>
        <w:rPr>
          <w:rFonts w:hint="cs"/>
          <w:rtl/>
        </w:rPr>
        <w:t xml:space="preserve"> נקודת שבירה מוראלית לנביא?</w:t>
      </w:r>
      <w:r w:rsidR="004F12F2">
        <w:rPr>
          <w:rFonts w:hint="cs"/>
          <w:rtl/>
        </w:rPr>
        <w:t xml:space="preserve"> האם יתן לאחאב לומר את המילה האחרונה בעימות הממושך והדרמטי הזה?</w:t>
      </w:r>
      <w:r w:rsidR="004F12F2" w:rsidRPr="004F12F2">
        <w:rPr>
          <w:rFonts w:hint="cs"/>
          <w:rtl/>
        </w:rPr>
        <w:t xml:space="preserve"> </w:t>
      </w:r>
      <w:r w:rsidR="004F12F2">
        <w:rPr>
          <w:rFonts w:hint="cs"/>
          <w:rtl/>
        </w:rPr>
        <w:t xml:space="preserve">האם ילך לכלא </w:t>
      </w:r>
      <w:r w:rsidR="00AF5031">
        <w:rPr>
          <w:rFonts w:hint="cs"/>
          <w:rtl/>
        </w:rPr>
        <w:t>כמי שה</w:t>
      </w:r>
      <w:r w:rsidR="004F12F2">
        <w:rPr>
          <w:rFonts w:hint="cs"/>
          <w:rtl/>
        </w:rPr>
        <w:t>ובס?</w:t>
      </w:r>
      <w:r w:rsidR="00AF5031">
        <w:rPr>
          <w:rFonts w:hint="cs"/>
          <w:rtl/>
        </w:rPr>
        <w:t xml:space="preserve"> </w:t>
      </w:r>
      <w:r>
        <w:rPr>
          <w:rFonts w:hint="cs"/>
          <w:rtl/>
        </w:rPr>
        <w:t xml:space="preserve">לא כן הדבר: </w:t>
      </w:r>
      <w:r w:rsidR="00D70555" w:rsidRPr="00D70555">
        <w:rPr>
          <w:rFonts w:hint="cs"/>
          <w:rtl/>
        </w:rPr>
        <w:t>למרות</w:t>
      </w:r>
      <w:r w:rsidR="00D70555">
        <w:rPr>
          <w:rFonts w:hint="cs"/>
          <w:rtl/>
        </w:rPr>
        <w:t xml:space="preserve"> ה</w:t>
      </w:r>
      <w:r w:rsidR="00D70555" w:rsidRPr="00D70555">
        <w:rPr>
          <w:rFonts w:hint="cs"/>
          <w:rtl/>
        </w:rPr>
        <w:t>מכ</w:t>
      </w:r>
      <w:r w:rsidR="00D70555">
        <w:rPr>
          <w:rFonts w:hint="cs"/>
          <w:rtl/>
        </w:rPr>
        <w:t>ו</w:t>
      </w:r>
      <w:r w:rsidR="00D70555" w:rsidRPr="00D70555">
        <w:rPr>
          <w:rFonts w:hint="cs"/>
          <w:rtl/>
        </w:rPr>
        <w:t xml:space="preserve">ת </w:t>
      </w:r>
      <w:r w:rsidR="00D70555">
        <w:rPr>
          <w:rFonts w:hint="cs"/>
          <w:rtl/>
        </w:rPr>
        <w:t>שספג,</w:t>
      </w:r>
      <w:r w:rsidR="00D70555" w:rsidRPr="00D70555">
        <w:rPr>
          <w:rFonts w:hint="cs"/>
          <w:rtl/>
        </w:rPr>
        <w:t xml:space="preserve"> רוחו של מיכיהו לא נשברה, והוא המשיך למלא את תפקידו כנביא באמונה.</w:t>
      </w:r>
      <w:r w:rsidR="00D70555">
        <w:rPr>
          <w:rFonts w:hint="cs"/>
          <w:rtl/>
        </w:rPr>
        <w:t xml:space="preserve"> </w:t>
      </w:r>
      <w:r>
        <w:rPr>
          <w:rFonts w:hint="cs"/>
          <w:rtl/>
        </w:rPr>
        <w:t xml:space="preserve">בלא מורך ובלא מורא עונה מיכיהו </w:t>
      </w:r>
      <w:r w:rsidR="004F12F2">
        <w:rPr>
          <w:rFonts w:hint="cs"/>
          <w:rtl/>
        </w:rPr>
        <w:t xml:space="preserve">לאחאב </w:t>
      </w:r>
      <w:r>
        <w:rPr>
          <w:rFonts w:hint="cs"/>
          <w:rtl/>
        </w:rPr>
        <w:t>את דברו:</w:t>
      </w:r>
    </w:p>
    <w:p w:rsidR="001C0323" w:rsidRDefault="001C0323" w:rsidP="001C0323">
      <w:pPr>
        <w:rPr>
          <w:rtl/>
        </w:rPr>
      </w:pPr>
      <w:r>
        <w:rPr>
          <w:rtl/>
        </w:rPr>
        <w:tab/>
      </w:r>
      <w:r>
        <w:rPr>
          <w:rtl/>
        </w:rPr>
        <w:tab/>
      </w:r>
      <w:r w:rsidRPr="001C0323">
        <w:rPr>
          <w:rFonts w:hint="cs"/>
          <w:rtl/>
        </w:rPr>
        <w:t xml:space="preserve">אִם שׁוֹב תָּשׁוּב בְּשָׁלוֹם לֹא דִבֶּר </w:t>
      </w:r>
      <w:r w:rsidR="0042148F">
        <w:rPr>
          <w:rFonts w:hint="cs"/>
          <w:rtl/>
        </w:rPr>
        <w:t>ה</w:t>
      </w:r>
      <w:r w:rsidR="0042148F">
        <w:rPr>
          <w:rtl/>
        </w:rPr>
        <w:t>'</w:t>
      </w:r>
      <w:r w:rsidRPr="001C0323">
        <w:rPr>
          <w:rFonts w:hint="cs"/>
          <w:rtl/>
        </w:rPr>
        <w:t xml:space="preserve"> בִּי</w:t>
      </w:r>
      <w:r>
        <w:rPr>
          <w:rFonts w:hint="cs"/>
          <w:rtl/>
        </w:rPr>
        <w:t>!</w:t>
      </w:r>
    </w:p>
    <w:p w:rsidR="00D70555" w:rsidRDefault="004F12F2" w:rsidP="00486924">
      <w:pPr>
        <w:rPr>
          <w:rtl/>
        </w:rPr>
      </w:pPr>
      <w:r>
        <w:rPr>
          <w:rFonts w:hint="cs"/>
          <w:rtl/>
        </w:rPr>
        <w:t xml:space="preserve">בתנאים קשים אלו, </w:t>
      </w:r>
      <w:r w:rsidR="00486924">
        <w:rPr>
          <w:rFonts w:hint="cs"/>
          <w:rtl/>
        </w:rPr>
        <w:t>שבהם מצוי מיכיהו, הוא</w:t>
      </w:r>
      <w:r>
        <w:rPr>
          <w:rFonts w:hint="cs"/>
          <w:rtl/>
        </w:rPr>
        <w:t xml:space="preserve"> </w:t>
      </w:r>
      <w:r w:rsidR="002A1FD5">
        <w:rPr>
          <w:rFonts w:hint="cs"/>
          <w:rtl/>
        </w:rPr>
        <w:t xml:space="preserve">מטיל את כל מה שנותר לו על כף המאזניים כדי לאמת </w:t>
      </w:r>
      <w:r>
        <w:rPr>
          <w:rFonts w:hint="cs"/>
          <w:rtl/>
        </w:rPr>
        <w:t xml:space="preserve">ולחזק </w:t>
      </w:r>
      <w:r w:rsidR="002A1FD5">
        <w:rPr>
          <w:rFonts w:hint="cs"/>
          <w:rtl/>
        </w:rPr>
        <w:t xml:space="preserve">את דבריו: </w:t>
      </w:r>
      <w:r>
        <w:rPr>
          <w:rFonts w:hint="cs"/>
          <w:rtl/>
        </w:rPr>
        <w:t>הוא הופך את כל העימות כולו למבחן אישי</w:t>
      </w:r>
      <w:r w:rsidR="002A1FD5">
        <w:rPr>
          <w:rFonts w:hint="cs"/>
          <w:rtl/>
        </w:rPr>
        <w:t xml:space="preserve"> </w:t>
      </w:r>
      <w:r>
        <w:rPr>
          <w:rFonts w:hint="cs"/>
          <w:rtl/>
        </w:rPr>
        <w:t xml:space="preserve">שלו </w:t>
      </w:r>
      <w:r w:rsidR="002A1FD5">
        <w:rPr>
          <w:rFonts w:hint="cs"/>
          <w:rtl/>
        </w:rPr>
        <w:t>כנביא לה'</w:t>
      </w:r>
      <w:r w:rsidR="00D70555">
        <w:rPr>
          <w:rFonts w:hint="cs"/>
          <w:rtl/>
        </w:rPr>
        <w:t>, ו</w:t>
      </w:r>
      <w:r w:rsidR="002A1FD5">
        <w:rPr>
          <w:rFonts w:hint="cs"/>
          <w:rtl/>
        </w:rPr>
        <w:t>מתחייב באופן אישי לקיום דברי נבואתו הקודמים</w:t>
      </w:r>
      <w:r w:rsidR="00D70555">
        <w:rPr>
          <w:rFonts w:hint="cs"/>
          <w:rtl/>
        </w:rPr>
        <w:t>,</w:t>
      </w:r>
      <w:r>
        <w:rPr>
          <w:rFonts w:hint="cs"/>
          <w:rtl/>
        </w:rPr>
        <w:t xml:space="preserve"> שאם לא כן </w:t>
      </w:r>
      <w:r>
        <w:rPr>
          <w:rtl/>
        </w:rPr>
        <w:t>–</w:t>
      </w:r>
      <w:r>
        <w:rPr>
          <w:rFonts w:hint="cs"/>
          <w:rtl/>
        </w:rPr>
        <w:t xml:space="preserve"> </w:t>
      </w:r>
      <w:r w:rsidR="00D70555">
        <w:rPr>
          <w:rFonts w:hint="cs"/>
          <w:rtl/>
        </w:rPr>
        <w:t xml:space="preserve">הוא מצהיר </w:t>
      </w:r>
      <w:r w:rsidR="00D70555">
        <w:rPr>
          <w:rtl/>
        </w:rPr>
        <w:t>–</w:t>
      </w:r>
      <w:r w:rsidR="00D70555">
        <w:rPr>
          <w:rFonts w:hint="cs"/>
          <w:rtl/>
        </w:rPr>
        <w:t xml:space="preserve"> </w:t>
      </w:r>
      <w:r>
        <w:rPr>
          <w:rFonts w:hint="cs"/>
          <w:rtl/>
        </w:rPr>
        <w:t>אין הוא נביא כלל</w:t>
      </w:r>
      <w:r w:rsidR="002A1FD5">
        <w:rPr>
          <w:rFonts w:hint="cs"/>
          <w:rtl/>
        </w:rPr>
        <w:t xml:space="preserve">. </w:t>
      </w:r>
    </w:p>
    <w:p w:rsidR="001C0323" w:rsidRDefault="00847B15" w:rsidP="00D70555">
      <w:pPr>
        <w:rPr>
          <w:rtl/>
        </w:rPr>
      </w:pPr>
      <w:r>
        <w:rPr>
          <w:rFonts w:hint="cs"/>
          <w:rtl/>
        </w:rPr>
        <w:t>דבריו מזכירים את דברי משה שאמרם אף הוא בשעת מבחן לשליחותו:</w:t>
      </w:r>
    </w:p>
    <w:p w:rsidR="00847B15" w:rsidRDefault="00847B15" w:rsidP="004F12F2">
      <w:pPr>
        <w:spacing w:after="0"/>
        <w:rPr>
          <w:rtl/>
        </w:rPr>
      </w:pPr>
      <w:r>
        <w:rPr>
          <w:rtl/>
        </w:rPr>
        <w:tab/>
      </w:r>
      <w:r w:rsidR="00AF5031">
        <w:rPr>
          <w:rFonts w:hint="cs"/>
          <w:rtl/>
        </w:rPr>
        <w:tab/>
      </w:r>
      <w:r>
        <w:rPr>
          <w:rFonts w:hint="cs"/>
          <w:rtl/>
        </w:rPr>
        <w:t>במדבר ט"ז, כט</w:t>
      </w:r>
      <w:r>
        <w:rPr>
          <w:rFonts w:hint="cs"/>
          <w:rtl/>
        </w:rPr>
        <w:tab/>
      </w:r>
      <w:r w:rsidRPr="00847B15">
        <w:rPr>
          <w:rFonts w:hint="cs"/>
          <w:rtl/>
        </w:rPr>
        <w:t>אִם כְּמוֹת כָּל הָאָדָם יְמֻתוּן אֵלֶּה</w:t>
      </w:r>
      <w:r>
        <w:rPr>
          <w:rFonts w:hint="cs"/>
          <w:rtl/>
        </w:rPr>
        <w:t>...</w:t>
      </w:r>
      <w:r w:rsidR="004F12F2">
        <w:rPr>
          <w:rFonts w:hint="cs"/>
          <w:rtl/>
        </w:rPr>
        <w:t xml:space="preserve"> </w:t>
      </w:r>
      <w:r w:rsidRPr="00847B15">
        <w:rPr>
          <w:rFonts w:hint="cs"/>
          <w:rtl/>
        </w:rPr>
        <w:t xml:space="preserve">לֹא </w:t>
      </w:r>
      <w:r w:rsidR="0042148F">
        <w:rPr>
          <w:rFonts w:hint="cs"/>
          <w:rtl/>
        </w:rPr>
        <w:t>ה</w:t>
      </w:r>
      <w:r w:rsidR="0042148F">
        <w:rPr>
          <w:rtl/>
        </w:rPr>
        <w:t>'</w:t>
      </w:r>
      <w:r w:rsidRPr="00847B15">
        <w:rPr>
          <w:rFonts w:hint="cs"/>
          <w:rtl/>
        </w:rPr>
        <w:t xml:space="preserve"> שְׁלָחָנִי</w:t>
      </w:r>
      <w:r w:rsidR="00D757DB">
        <w:rPr>
          <w:rFonts w:hint="cs"/>
          <w:rtl/>
        </w:rPr>
        <w:t>!</w:t>
      </w:r>
      <w:r w:rsidR="00D757DB">
        <w:rPr>
          <w:rStyle w:val="FootnoteReference"/>
          <w:rtl/>
        </w:rPr>
        <w:footnoteReference w:id="9"/>
      </w:r>
    </w:p>
    <w:p w:rsidR="00D757DB" w:rsidRDefault="00D757DB" w:rsidP="00D757DB">
      <w:pPr>
        <w:rPr>
          <w:rtl/>
        </w:rPr>
      </w:pPr>
    </w:p>
    <w:p w:rsidR="00D757DB" w:rsidRDefault="00D757DB" w:rsidP="00AF5031">
      <w:pPr>
        <w:pStyle w:val="Heading3"/>
        <w:rPr>
          <w:rtl/>
        </w:rPr>
      </w:pPr>
      <w:r>
        <w:rPr>
          <w:rFonts w:hint="cs"/>
          <w:rtl/>
        </w:rPr>
        <w:t>2.</w:t>
      </w:r>
      <w:r w:rsidR="005D628B" w:rsidRPr="005D628B">
        <w:rPr>
          <w:rFonts w:hint="cs"/>
          <w:b w:val="0"/>
          <w:bCs w:val="0"/>
          <w:rtl/>
        </w:rPr>
        <w:t xml:space="preserve"> </w:t>
      </w:r>
      <w:r w:rsidR="005D628B">
        <w:rPr>
          <w:rFonts w:hint="cs"/>
          <w:b w:val="0"/>
          <w:bCs w:val="0"/>
          <w:rtl/>
        </w:rPr>
        <w:t>"</w:t>
      </w:r>
      <w:r w:rsidR="005D628B" w:rsidRPr="005D628B">
        <w:rPr>
          <w:rFonts w:hint="cs"/>
          <w:rtl/>
        </w:rPr>
        <w:t>אִם שׁוֹב תָּשׁוּב בְּשָׁלוֹם</w:t>
      </w:r>
      <w:r w:rsidR="005D628B">
        <w:rPr>
          <w:rFonts w:hint="cs"/>
          <w:rtl/>
        </w:rPr>
        <w:t>"</w:t>
      </w:r>
      <w:r w:rsidR="00AF5031">
        <w:rPr>
          <w:rFonts w:hint="cs"/>
          <w:rtl/>
        </w:rPr>
        <w:t xml:space="preserve"> </w:t>
      </w:r>
      <w:r w:rsidR="00AF5031">
        <w:rPr>
          <w:rtl/>
        </w:rPr>
        <w:t>–</w:t>
      </w:r>
      <w:r w:rsidR="000F57F5">
        <w:rPr>
          <w:rFonts w:hint="cs"/>
          <w:rtl/>
        </w:rPr>
        <w:t xml:space="preserve"> גז</w:t>
      </w:r>
      <w:r w:rsidR="00AF5031">
        <w:rPr>
          <w:rFonts w:hint="cs"/>
          <w:rtl/>
        </w:rPr>
        <w:t>י</w:t>
      </w:r>
      <w:r w:rsidR="000F57F5">
        <w:rPr>
          <w:rFonts w:hint="cs"/>
          <w:rtl/>
        </w:rPr>
        <w:t>רה שאין ממנה חזרה</w:t>
      </w:r>
    </w:p>
    <w:p w:rsidR="00D757DB" w:rsidRDefault="00361420" w:rsidP="00D757DB">
      <w:pPr>
        <w:rPr>
          <w:rtl/>
        </w:rPr>
      </w:pPr>
      <w:r>
        <w:rPr>
          <w:rFonts w:hint="cs"/>
          <w:rtl/>
        </w:rPr>
        <w:t>ראוי לתת את הד</w:t>
      </w:r>
      <w:r w:rsidR="00D757DB">
        <w:rPr>
          <w:rFonts w:hint="cs"/>
          <w:rtl/>
        </w:rPr>
        <w:t>עת על גלגולו של הצירוף 'לשוב בשלום' או 'לבוא בשלום' בעימות המתמשך בין מיכיהו לאחאב, שכן השימוש בצירוף זה בפי שניהם מבטא היטב את עיקרו של העימות ביניהם.</w:t>
      </w:r>
    </w:p>
    <w:p w:rsidR="00D757DB" w:rsidRDefault="00D757DB" w:rsidP="000F57F5">
      <w:pPr>
        <w:rPr>
          <w:rtl/>
        </w:rPr>
      </w:pPr>
      <w:r>
        <w:rPr>
          <w:rFonts w:hint="cs"/>
          <w:rtl/>
        </w:rPr>
        <w:t xml:space="preserve">את נבואתו הראשונה </w:t>
      </w:r>
      <w:r w:rsidR="001C7F8B">
        <w:rPr>
          <w:rFonts w:hint="cs"/>
          <w:rtl/>
        </w:rPr>
        <w:t xml:space="preserve">(בפסוק יז) </w:t>
      </w:r>
      <w:r w:rsidR="000F57F5">
        <w:rPr>
          <w:rFonts w:hint="cs"/>
          <w:rtl/>
        </w:rPr>
        <w:t xml:space="preserve">סיים מיכיהו </w:t>
      </w:r>
      <w:r w:rsidR="001C7F8B">
        <w:rPr>
          <w:rFonts w:hint="cs"/>
          <w:rtl/>
        </w:rPr>
        <w:t>בדברי ה' על ישראל:</w:t>
      </w:r>
    </w:p>
    <w:p w:rsidR="001C7F8B" w:rsidRDefault="001C7F8B" w:rsidP="000F57F5">
      <w:pPr>
        <w:rPr>
          <w:rtl/>
        </w:rPr>
      </w:pPr>
      <w:r>
        <w:rPr>
          <w:rtl/>
        </w:rPr>
        <w:tab/>
      </w:r>
      <w:r>
        <w:rPr>
          <w:rtl/>
        </w:rPr>
        <w:tab/>
      </w:r>
      <w:r w:rsidRPr="001C7F8B">
        <w:rPr>
          <w:rFonts w:hint="cs"/>
          <w:b/>
          <w:bCs/>
          <w:rtl/>
        </w:rPr>
        <w:t>יָשׁוּבוּ</w:t>
      </w:r>
      <w:r w:rsidRPr="001C7F8B">
        <w:rPr>
          <w:rFonts w:hint="cs"/>
          <w:rtl/>
        </w:rPr>
        <w:t xml:space="preserve"> אִישׁ לְבֵיתוֹ </w:t>
      </w:r>
      <w:r w:rsidRPr="001C7F8B">
        <w:rPr>
          <w:rFonts w:hint="cs"/>
          <w:b/>
          <w:bCs/>
          <w:rtl/>
        </w:rPr>
        <w:t>בְּשָׁלוֹם</w:t>
      </w:r>
      <w:r w:rsidR="000F57F5" w:rsidRPr="000F57F5">
        <w:rPr>
          <w:rFonts w:hint="cs"/>
          <w:rtl/>
        </w:rPr>
        <w:t>.</w:t>
      </w:r>
    </w:p>
    <w:p w:rsidR="001C7F8B" w:rsidRDefault="001C7F8B" w:rsidP="00722D7C">
      <w:pPr>
        <w:rPr>
          <w:rtl/>
        </w:rPr>
      </w:pPr>
      <w:r>
        <w:rPr>
          <w:rFonts w:hint="cs"/>
          <w:rtl/>
        </w:rPr>
        <w:t>את פקודת הכליאה של</w:t>
      </w:r>
      <w:r w:rsidR="00722D7C">
        <w:rPr>
          <w:rFonts w:hint="cs"/>
          <w:rtl/>
        </w:rPr>
        <w:t>ו</w:t>
      </w:r>
      <w:r>
        <w:rPr>
          <w:rFonts w:hint="cs"/>
          <w:rtl/>
        </w:rPr>
        <w:t xml:space="preserve"> ביחס למיכיהו </w:t>
      </w:r>
      <w:r w:rsidR="000F57F5">
        <w:rPr>
          <w:rFonts w:hint="cs"/>
          <w:rtl/>
        </w:rPr>
        <w:t>מסיים</w:t>
      </w:r>
      <w:r w:rsidR="00722D7C">
        <w:rPr>
          <w:rFonts w:hint="cs"/>
          <w:rtl/>
        </w:rPr>
        <w:t xml:space="preserve"> אחאב</w:t>
      </w:r>
      <w:r w:rsidR="000F57F5">
        <w:rPr>
          <w:rFonts w:hint="cs"/>
          <w:rtl/>
        </w:rPr>
        <w:t xml:space="preserve"> </w:t>
      </w:r>
      <w:r>
        <w:rPr>
          <w:rFonts w:hint="cs"/>
          <w:rtl/>
        </w:rPr>
        <w:t>במילים דומות</w:t>
      </w:r>
      <w:r w:rsidR="00361420">
        <w:rPr>
          <w:rFonts w:hint="cs"/>
          <w:rtl/>
        </w:rPr>
        <w:t xml:space="preserve"> (כז)</w:t>
      </w:r>
      <w:r>
        <w:rPr>
          <w:rFonts w:hint="cs"/>
          <w:rtl/>
        </w:rPr>
        <w:t>:</w:t>
      </w:r>
    </w:p>
    <w:p w:rsidR="001C7F8B" w:rsidRDefault="001C7F8B" w:rsidP="0041537F">
      <w:pPr>
        <w:rPr>
          <w:rtl/>
        </w:rPr>
      </w:pPr>
      <w:r>
        <w:rPr>
          <w:rtl/>
        </w:rPr>
        <w:tab/>
      </w:r>
      <w:r>
        <w:rPr>
          <w:rtl/>
        </w:rPr>
        <w:tab/>
      </w:r>
      <w:r w:rsidR="0041537F" w:rsidRPr="0041537F">
        <w:rPr>
          <w:rFonts w:hint="cs"/>
          <w:rtl/>
        </w:rPr>
        <w:t xml:space="preserve">עַד </w:t>
      </w:r>
      <w:r w:rsidR="0041537F" w:rsidRPr="0041537F">
        <w:rPr>
          <w:rFonts w:hint="cs"/>
          <w:b/>
          <w:bCs/>
          <w:rtl/>
        </w:rPr>
        <w:t>בֹּאִי בְשָׁלוֹם</w:t>
      </w:r>
      <w:r w:rsidR="0041537F">
        <w:rPr>
          <w:rFonts w:hint="cs"/>
          <w:rtl/>
        </w:rPr>
        <w:t>.</w:t>
      </w:r>
    </w:p>
    <w:p w:rsidR="0041537F" w:rsidRDefault="0041537F" w:rsidP="00722D7C">
      <w:pPr>
        <w:rPr>
          <w:rtl/>
        </w:rPr>
      </w:pPr>
      <w:r>
        <w:rPr>
          <w:rFonts w:hint="cs"/>
          <w:rtl/>
        </w:rPr>
        <w:t xml:space="preserve">מיכיהו </w:t>
      </w:r>
      <w:r w:rsidR="00AF5031">
        <w:rPr>
          <w:rFonts w:hint="cs"/>
          <w:rtl/>
        </w:rPr>
        <w:t>מגיב</w:t>
      </w:r>
      <w:r>
        <w:rPr>
          <w:rFonts w:hint="cs"/>
          <w:rtl/>
        </w:rPr>
        <w:t xml:space="preserve"> לדברו זה של אחאב ב</w:t>
      </w:r>
      <w:r w:rsidR="00AF5031">
        <w:rPr>
          <w:rFonts w:hint="cs"/>
          <w:rtl/>
        </w:rPr>
        <w:t xml:space="preserve">התנגדות המנוסחת </w:t>
      </w:r>
      <w:r w:rsidR="00722D7C">
        <w:rPr>
          <w:rFonts w:hint="cs"/>
          <w:rtl/>
        </w:rPr>
        <w:t>כהתחייבות אישית</w:t>
      </w:r>
      <w:r w:rsidR="00361420">
        <w:rPr>
          <w:rFonts w:hint="cs"/>
          <w:rtl/>
        </w:rPr>
        <w:t xml:space="preserve"> (כח)</w:t>
      </w:r>
      <w:r>
        <w:rPr>
          <w:rFonts w:hint="cs"/>
          <w:rtl/>
        </w:rPr>
        <w:t>:</w:t>
      </w:r>
    </w:p>
    <w:p w:rsidR="001B2DFD" w:rsidRDefault="001B2DFD" w:rsidP="000F57F5">
      <w:pPr>
        <w:rPr>
          <w:rtl/>
        </w:rPr>
      </w:pPr>
      <w:r>
        <w:rPr>
          <w:rtl/>
        </w:rPr>
        <w:tab/>
      </w:r>
      <w:r>
        <w:rPr>
          <w:rtl/>
        </w:rPr>
        <w:tab/>
      </w:r>
      <w:r w:rsidRPr="001B2DFD">
        <w:rPr>
          <w:rFonts w:hint="cs"/>
          <w:rtl/>
        </w:rPr>
        <w:t xml:space="preserve">אִם </w:t>
      </w:r>
      <w:r w:rsidRPr="001B2DFD">
        <w:rPr>
          <w:rFonts w:hint="cs"/>
          <w:b/>
          <w:bCs/>
          <w:rtl/>
        </w:rPr>
        <w:t>שׁוֹב תָּשׁוּב בְּשָׁלוֹם</w:t>
      </w:r>
      <w:r w:rsidR="000F57F5">
        <w:rPr>
          <w:rFonts w:hint="cs"/>
          <w:b/>
          <w:bCs/>
          <w:rtl/>
        </w:rPr>
        <w:t>,</w:t>
      </w:r>
      <w:r>
        <w:rPr>
          <w:rStyle w:val="FootnoteReference"/>
          <w:rtl/>
        </w:rPr>
        <w:footnoteReference w:id="10"/>
      </w:r>
      <w:r w:rsidRPr="001B2DFD">
        <w:rPr>
          <w:rFonts w:hint="cs"/>
          <w:rtl/>
        </w:rPr>
        <w:t xml:space="preserve"> לֹא דִבֶּר </w:t>
      </w:r>
      <w:r w:rsidR="0042148F">
        <w:rPr>
          <w:rFonts w:hint="cs"/>
          <w:rtl/>
        </w:rPr>
        <w:t>ה</w:t>
      </w:r>
      <w:r w:rsidR="0042148F">
        <w:rPr>
          <w:rtl/>
        </w:rPr>
        <w:t>'</w:t>
      </w:r>
      <w:r w:rsidRPr="001B2DFD">
        <w:rPr>
          <w:rFonts w:hint="cs"/>
          <w:rtl/>
        </w:rPr>
        <w:t xml:space="preserve"> בִּי</w:t>
      </w:r>
      <w:r>
        <w:rPr>
          <w:rFonts w:hint="cs"/>
          <w:rtl/>
        </w:rPr>
        <w:t>.</w:t>
      </w:r>
    </w:p>
    <w:p w:rsidR="001B2DFD" w:rsidRDefault="001B2DFD" w:rsidP="00934551">
      <w:pPr>
        <w:rPr>
          <w:rtl/>
        </w:rPr>
      </w:pPr>
      <w:r>
        <w:rPr>
          <w:rFonts w:hint="cs"/>
          <w:rtl/>
        </w:rPr>
        <w:t xml:space="preserve">בנבואתו הראשונה </w:t>
      </w:r>
      <w:r w:rsidR="00934551">
        <w:rPr>
          <w:rFonts w:hint="cs"/>
          <w:rtl/>
        </w:rPr>
        <w:t xml:space="preserve">רמז </w:t>
      </w:r>
      <w:r>
        <w:rPr>
          <w:rFonts w:hint="cs"/>
          <w:rtl/>
        </w:rPr>
        <w:t xml:space="preserve">מיכיהו לאחאב על סופו הצפוי אם יצא למלחמה, בלא לפרש דבר זה מחמת כבודו של אחאב, וכדי לאפשר לו לסגת </w:t>
      </w:r>
      <w:r w:rsidR="00361420">
        <w:rPr>
          <w:rFonts w:hint="cs"/>
          <w:rtl/>
        </w:rPr>
        <w:t xml:space="preserve">בדרך מכובדת </w:t>
      </w:r>
      <w:r>
        <w:rPr>
          <w:rFonts w:hint="cs"/>
          <w:rtl/>
        </w:rPr>
        <w:t>מתכניתו לצאת למלחמה.</w:t>
      </w:r>
      <w:r>
        <w:rPr>
          <w:rStyle w:val="FootnoteReference"/>
          <w:rtl/>
        </w:rPr>
        <w:footnoteReference w:id="11"/>
      </w:r>
      <w:r>
        <w:rPr>
          <w:rFonts w:hint="cs"/>
          <w:rtl/>
        </w:rPr>
        <w:t xml:space="preserve"> </w:t>
      </w:r>
      <w:r w:rsidR="00964150">
        <w:rPr>
          <w:rFonts w:hint="cs"/>
          <w:rtl/>
        </w:rPr>
        <w:t>הביטוי החיובי "</w:t>
      </w:r>
      <w:r w:rsidR="00964150" w:rsidRPr="00964150">
        <w:rPr>
          <w:rFonts w:hint="cs"/>
          <w:rtl/>
        </w:rPr>
        <w:t>יָשׁוּבוּ אִישׁ לְבֵיתוֹ בְּשָׁלוֹם</w:t>
      </w:r>
      <w:r w:rsidR="00964150">
        <w:rPr>
          <w:rFonts w:hint="cs"/>
          <w:rtl/>
        </w:rPr>
        <w:t>" מתייחס אך לישראל, ומכלל החיוב שבו נשמע</w:t>
      </w:r>
      <w:r w:rsidR="00361420">
        <w:rPr>
          <w:rFonts w:hint="cs"/>
          <w:rtl/>
        </w:rPr>
        <w:t>ה</w:t>
      </w:r>
      <w:r w:rsidR="00964150">
        <w:rPr>
          <w:rFonts w:hint="cs"/>
          <w:rtl/>
        </w:rPr>
        <w:t xml:space="preserve"> השלילה: הם ישובו בשלום ולא אתה.</w:t>
      </w:r>
    </w:p>
    <w:p w:rsidR="00964150" w:rsidRDefault="00964150" w:rsidP="00934551">
      <w:pPr>
        <w:rPr>
          <w:rtl/>
        </w:rPr>
      </w:pPr>
      <w:r>
        <w:rPr>
          <w:rFonts w:hint="cs"/>
          <w:rtl/>
        </w:rPr>
        <w:lastRenderedPageBreak/>
        <w:t xml:space="preserve">אחאב הבין רמז זה </w:t>
      </w:r>
      <w:r w:rsidR="000F57F5">
        <w:rPr>
          <w:rFonts w:hint="cs"/>
          <w:rtl/>
        </w:rPr>
        <w:t xml:space="preserve">שהוא מכוון אליו, </w:t>
      </w:r>
      <w:r>
        <w:rPr>
          <w:rFonts w:hint="cs"/>
          <w:rtl/>
        </w:rPr>
        <w:t xml:space="preserve">והתקומם כנגדו (פסוק יח). </w:t>
      </w:r>
      <w:r w:rsidR="00DF2288">
        <w:rPr>
          <w:rFonts w:hint="cs"/>
          <w:rtl/>
        </w:rPr>
        <w:t xml:space="preserve">או אז חידד מיכיהו את דבריו בנאומו הנבואי </w:t>
      </w:r>
      <w:r w:rsidR="000F57F5">
        <w:rPr>
          <w:rFonts w:hint="cs"/>
          <w:rtl/>
        </w:rPr>
        <w:t>השני</w:t>
      </w:r>
      <w:r w:rsidR="00DF2288">
        <w:rPr>
          <w:rFonts w:hint="cs"/>
          <w:rtl/>
        </w:rPr>
        <w:t xml:space="preserve"> (יט–כג), בהזהירו את אחאב </w:t>
      </w:r>
      <w:r w:rsidR="000F57F5">
        <w:rPr>
          <w:rFonts w:hint="cs"/>
          <w:rtl/>
        </w:rPr>
        <w:t>כי ה' דיבר עליו רעה, וש</w:t>
      </w:r>
      <w:r w:rsidR="00DF2288">
        <w:rPr>
          <w:rFonts w:hint="cs"/>
          <w:rtl/>
        </w:rPr>
        <w:t xml:space="preserve">אם יֵצא למלחמה ימות בה. אחאב לא השתכנע גם מנבואה זו. כלה ונחרצה עמו לצאת למלחמה </w:t>
      </w:r>
      <w:r w:rsidR="00361420">
        <w:rPr>
          <w:rFonts w:hint="cs"/>
          <w:rtl/>
        </w:rPr>
        <w:t>ולהוכיח כי אף</w:t>
      </w:r>
      <w:r w:rsidR="008235F3">
        <w:rPr>
          <w:rFonts w:hint="cs"/>
          <w:rtl/>
        </w:rPr>
        <w:t xml:space="preserve"> הוא 'יבוא בשלום' לשומרון, ויהא כלול ב</w:t>
      </w:r>
      <w:r w:rsidR="00934551">
        <w:rPr>
          <w:rFonts w:hint="cs"/>
          <w:rtl/>
        </w:rPr>
        <w:t xml:space="preserve">תוך </w:t>
      </w:r>
      <w:r w:rsidR="008235F3">
        <w:rPr>
          <w:rFonts w:hint="cs"/>
          <w:rtl/>
        </w:rPr>
        <w:t>ישראל כולם אשר 'ישובו לביתם בשלום'.</w:t>
      </w:r>
    </w:p>
    <w:p w:rsidR="008235F3" w:rsidRDefault="00722D7C" w:rsidP="00722D7C">
      <w:pPr>
        <w:rPr>
          <w:rtl/>
        </w:rPr>
      </w:pPr>
      <w:r>
        <w:rPr>
          <w:rFonts w:hint="cs"/>
          <w:rtl/>
        </w:rPr>
        <w:t>עתה</w:t>
      </w:r>
      <w:r w:rsidR="00934551">
        <w:rPr>
          <w:rFonts w:hint="cs"/>
          <w:rtl/>
        </w:rPr>
        <w:t xml:space="preserve"> </w:t>
      </w:r>
      <w:r>
        <w:rPr>
          <w:rFonts w:hint="cs"/>
          <w:rtl/>
        </w:rPr>
        <w:t xml:space="preserve">מפרש </w:t>
      </w:r>
      <w:r w:rsidR="00934551">
        <w:rPr>
          <w:rFonts w:hint="cs"/>
          <w:rtl/>
        </w:rPr>
        <w:t xml:space="preserve">מיכיהו </w:t>
      </w:r>
      <w:r w:rsidR="008235F3">
        <w:rPr>
          <w:rFonts w:hint="cs"/>
          <w:rtl/>
        </w:rPr>
        <w:t xml:space="preserve">את </w:t>
      </w:r>
      <w:r w:rsidR="000F57F5">
        <w:rPr>
          <w:rFonts w:hint="cs"/>
          <w:rtl/>
        </w:rPr>
        <w:t>נבואתו השלילית נגד אחאב</w:t>
      </w:r>
      <w:r w:rsidR="008235F3">
        <w:rPr>
          <w:rFonts w:hint="cs"/>
          <w:rtl/>
        </w:rPr>
        <w:t xml:space="preserve"> במלוא חריפותה: הם אמנם 'ישובו בשלום', אולם אתה אחאב "</w:t>
      </w:r>
      <w:r w:rsidR="008235F3" w:rsidRPr="008235F3">
        <w:rPr>
          <w:rFonts w:hint="cs"/>
          <w:rtl/>
        </w:rPr>
        <w:t>אִם שׁוֹב תָּשׁוּב בְּשָׁלוֹם</w:t>
      </w:r>
      <w:r w:rsidR="000F57F5">
        <w:rPr>
          <w:rFonts w:hint="cs"/>
          <w:rtl/>
        </w:rPr>
        <w:t xml:space="preserve"> </w:t>
      </w:r>
      <w:r w:rsidR="000F57F5">
        <w:rPr>
          <w:rtl/>
        </w:rPr>
        <w:t>–</w:t>
      </w:r>
      <w:r w:rsidR="000F57F5">
        <w:rPr>
          <w:rFonts w:hint="cs"/>
          <w:rtl/>
        </w:rPr>
        <w:t xml:space="preserve"> ל</w:t>
      </w:r>
      <w:r w:rsidR="008235F3" w:rsidRPr="008235F3">
        <w:rPr>
          <w:rFonts w:hint="cs"/>
          <w:rtl/>
        </w:rPr>
        <w:t xml:space="preserve">ֹא דִבֶּר </w:t>
      </w:r>
      <w:r w:rsidR="0042148F">
        <w:rPr>
          <w:rFonts w:hint="cs"/>
          <w:rtl/>
        </w:rPr>
        <w:t>ה</w:t>
      </w:r>
      <w:r w:rsidR="0042148F">
        <w:rPr>
          <w:rtl/>
        </w:rPr>
        <w:t>'</w:t>
      </w:r>
      <w:r w:rsidR="008235F3" w:rsidRPr="008235F3">
        <w:rPr>
          <w:rFonts w:hint="cs"/>
          <w:rtl/>
        </w:rPr>
        <w:t xml:space="preserve"> בִּי</w:t>
      </w:r>
      <w:r w:rsidR="008235F3">
        <w:rPr>
          <w:rFonts w:hint="cs"/>
          <w:rtl/>
        </w:rPr>
        <w:t>"</w:t>
      </w:r>
      <w:r w:rsidR="00E02C0F">
        <w:rPr>
          <w:rFonts w:hint="cs"/>
          <w:rtl/>
        </w:rPr>
        <w:t xml:space="preserve">. </w:t>
      </w:r>
      <w:r w:rsidR="000F57F5">
        <w:rPr>
          <w:rFonts w:hint="cs"/>
          <w:rtl/>
        </w:rPr>
        <w:t xml:space="preserve">שלא כמו בשתי הנבואות הקודמות, </w:t>
      </w:r>
      <w:r w:rsidR="00E02C0F">
        <w:rPr>
          <w:rFonts w:hint="cs"/>
          <w:rtl/>
        </w:rPr>
        <w:t>הפעם מנוסחים הדברים כהתחייבות אישית מוחלטת,</w:t>
      </w:r>
      <w:r w:rsidR="000F57F5">
        <w:rPr>
          <w:rFonts w:hint="cs"/>
          <w:rtl/>
        </w:rPr>
        <w:t xml:space="preserve"> כהודעה חד משמעית על העתיד לקרות</w:t>
      </w:r>
      <w:r w:rsidR="00E02C0F">
        <w:rPr>
          <w:rFonts w:hint="cs"/>
          <w:rtl/>
        </w:rPr>
        <w:t xml:space="preserve">. בנבואותיו הקודמות </w:t>
      </w:r>
      <w:r w:rsidR="00934551">
        <w:rPr>
          <w:rFonts w:hint="cs"/>
          <w:rtl/>
        </w:rPr>
        <w:t xml:space="preserve">של מיכיהו מגמתו </w:t>
      </w:r>
      <w:r w:rsidR="00E02C0F">
        <w:rPr>
          <w:rFonts w:hint="cs"/>
          <w:rtl/>
        </w:rPr>
        <w:t>הייתה למנוע את אחאב מלצאת</w:t>
      </w:r>
      <w:r w:rsidR="000F57F5">
        <w:rPr>
          <w:rFonts w:hint="cs"/>
          <w:rtl/>
        </w:rPr>
        <w:t xml:space="preserve"> למלחמה. ואם כן, מות אחאב הוצג בהן כדבר שעדיין אינו </w:t>
      </w:r>
      <w:r w:rsidR="00E02C0F">
        <w:rPr>
          <w:rFonts w:hint="cs"/>
          <w:rtl/>
        </w:rPr>
        <w:t>ודאִי. אולם עתה</w:t>
      </w:r>
      <w:r w:rsidR="000F57F5">
        <w:rPr>
          <w:rFonts w:hint="cs"/>
          <w:rtl/>
        </w:rPr>
        <w:t xml:space="preserve"> הותרו הספקות:</w:t>
      </w:r>
      <w:r w:rsidR="00E02C0F">
        <w:rPr>
          <w:rFonts w:hint="cs"/>
          <w:rtl/>
        </w:rPr>
        <w:t xml:space="preserve"> </w:t>
      </w:r>
      <w:r w:rsidR="000F57F5">
        <w:rPr>
          <w:rFonts w:hint="cs"/>
          <w:rtl/>
        </w:rPr>
        <w:t xml:space="preserve">אחאב </w:t>
      </w:r>
      <w:r w:rsidR="00E02C0F">
        <w:rPr>
          <w:rFonts w:hint="cs"/>
          <w:rtl/>
        </w:rPr>
        <w:t>מעמיד את יציאתו למלחמה כעובדה מוגמרת, ו</w:t>
      </w:r>
      <w:r w:rsidR="000F57F5">
        <w:rPr>
          <w:rFonts w:hint="cs"/>
          <w:rtl/>
        </w:rPr>
        <w:t xml:space="preserve">בהתאם לכך </w:t>
      </w:r>
      <w:r w:rsidR="00E02C0F">
        <w:rPr>
          <w:rFonts w:hint="cs"/>
          <w:rtl/>
        </w:rPr>
        <w:t xml:space="preserve">מעמיד גם מיכיהו את מותו של אחאב </w:t>
      </w:r>
      <w:r w:rsidR="000F57F5">
        <w:rPr>
          <w:rFonts w:hint="cs"/>
          <w:rtl/>
        </w:rPr>
        <w:t>כעניין ודאי</w:t>
      </w:r>
      <w:r w:rsidR="00E02C0F">
        <w:rPr>
          <w:rFonts w:hint="cs"/>
          <w:rtl/>
        </w:rPr>
        <w:t xml:space="preserve"> </w:t>
      </w:r>
      <w:r>
        <w:rPr>
          <w:rFonts w:hint="cs"/>
          <w:rtl/>
        </w:rPr>
        <w:t>ו</w:t>
      </w:r>
      <w:r w:rsidR="00E02C0F">
        <w:rPr>
          <w:rFonts w:hint="cs"/>
          <w:rtl/>
        </w:rPr>
        <w:t>'סגור'.</w:t>
      </w:r>
    </w:p>
    <w:p w:rsidR="000F57F5" w:rsidRDefault="000F57F5" w:rsidP="000F57F5">
      <w:pPr>
        <w:rPr>
          <w:rtl/>
        </w:rPr>
      </w:pPr>
    </w:p>
    <w:p w:rsidR="00E02C0F" w:rsidRDefault="002C40F2" w:rsidP="000F57F5">
      <w:pPr>
        <w:rPr>
          <w:rtl/>
        </w:rPr>
      </w:pPr>
      <w:r>
        <w:rPr>
          <w:rFonts w:hint="cs"/>
          <w:rtl/>
        </w:rPr>
        <w:t xml:space="preserve">על </w:t>
      </w:r>
      <w:r w:rsidR="000F57F5">
        <w:rPr>
          <w:rFonts w:hint="cs"/>
          <w:rtl/>
        </w:rPr>
        <w:t xml:space="preserve">דברו האחרון </w:t>
      </w:r>
      <w:r w:rsidR="00722D7C">
        <w:rPr>
          <w:rFonts w:hint="cs"/>
          <w:rtl/>
        </w:rPr>
        <w:t xml:space="preserve">הזה </w:t>
      </w:r>
      <w:r w:rsidR="000F57F5">
        <w:rPr>
          <w:rFonts w:hint="cs"/>
          <w:rtl/>
        </w:rPr>
        <w:t>של מיכיהו, כי</w:t>
      </w:r>
      <w:r>
        <w:rPr>
          <w:rFonts w:hint="cs"/>
          <w:rtl/>
        </w:rPr>
        <w:t xml:space="preserve"> מותו של אחאב במלחמה</w:t>
      </w:r>
      <w:r w:rsidR="000F57F5">
        <w:rPr>
          <w:rFonts w:hint="cs"/>
          <w:rtl/>
        </w:rPr>
        <w:t xml:space="preserve"> הוא </w:t>
      </w:r>
      <w:r>
        <w:rPr>
          <w:rFonts w:hint="cs"/>
          <w:rtl/>
        </w:rPr>
        <w:t>גזרה מוחלטת שאין ממנה חזרה, מקשה ר"ש לניאדו בפירושו  'כלי יקר':</w:t>
      </w:r>
    </w:p>
    <w:p w:rsidR="002C40F2" w:rsidRDefault="002C40F2" w:rsidP="00A85373">
      <w:pPr>
        <w:ind w:left="720" w:firstLine="2"/>
        <w:rPr>
          <w:rtl/>
        </w:rPr>
      </w:pPr>
      <w:r>
        <w:rPr>
          <w:rFonts w:hint="cs"/>
          <w:rtl/>
        </w:rPr>
        <w:t xml:space="preserve">איך מלאו לבו לדבר הזה? שהרי נבואה של פורענות שניבא, אפשר שתיבטל, שהרי רגע ידבר ה' על גוי וממלכה לנתוץ ולנתוש, </w:t>
      </w:r>
      <w:r w:rsidR="00A85373">
        <w:rPr>
          <w:rFonts w:hint="cs"/>
          <w:rtl/>
        </w:rPr>
        <w:t>וישובו, ויינחם ה' על הרעה!</w:t>
      </w:r>
      <w:r w:rsidR="00A85373">
        <w:rPr>
          <w:rStyle w:val="FootnoteReference"/>
          <w:rtl/>
        </w:rPr>
        <w:footnoteReference w:id="12"/>
      </w:r>
      <w:r w:rsidR="00A85373">
        <w:rPr>
          <w:rFonts w:hint="cs"/>
          <w:rtl/>
        </w:rPr>
        <w:t xml:space="preserve"> ואם כן, היה אפשר שאחאב ישוב בתשובה, וזכות יהושפט יסייע, ויינצלו וישוב (</w:t>
      </w:r>
      <w:r w:rsidR="00722D7C">
        <w:rPr>
          <w:rtl/>
        </w:rPr>
        <w:t>–</w:t>
      </w:r>
      <w:r w:rsidR="00722D7C">
        <w:rPr>
          <w:rFonts w:hint="cs"/>
          <w:rtl/>
        </w:rPr>
        <w:t xml:space="preserve"> </w:t>
      </w:r>
      <w:r w:rsidR="00A85373">
        <w:rPr>
          <w:rFonts w:hint="cs"/>
          <w:rtl/>
        </w:rPr>
        <w:t>אחאב) בשלום.</w:t>
      </w:r>
    </w:p>
    <w:p w:rsidR="00A85373" w:rsidRDefault="00142241" w:rsidP="000F57F5">
      <w:pPr>
        <w:rPr>
          <w:rtl/>
        </w:rPr>
      </w:pPr>
      <w:r>
        <w:rPr>
          <w:rFonts w:hint="cs"/>
          <w:rtl/>
        </w:rPr>
        <w:t xml:space="preserve">שאלתו של בעל 'כלי יקר' קשה רק למי שראה את נבואת מיכיהו לאחאב כהודעת העתיד בלבד, ואילו את המלחמה עצמה ראה כדבר נייטרלי או אפילו חיובי. אולם אנו, </w:t>
      </w:r>
      <w:r w:rsidR="000F57F5">
        <w:rPr>
          <w:rFonts w:hint="cs"/>
          <w:rtl/>
        </w:rPr>
        <w:t>הרואים</w:t>
      </w:r>
      <w:r w:rsidR="00A57655">
        <w:rPr>
          <w:rFonts w:hint="cs"/>
          <w:rtl/>
        </w:rPr>
        <w:t xml:space="preserve"> בעצם יזמת אחאב לצאת למלחמה חטא בפני עצמו</w:t>
      </w:r>
      <w:r w:rsidR="000F57F5">
        <w:rPr>
          <w:rFonts w:hint="cs"/>
          <w:rtl/>
        </w:rPr>
        <w:t xml:space="preserve"> (עיון ד)</w:t>
      </w:r>
      <w:r w:rsidR="00A57655">
        <w:rPr>
          <w:rFonts w:hint="cs"/>
          <w:rtl/>
        </w:rPr>
        <w:t xml:space="preserve">, ובנבואת מיכיהו ראינו ניסיון להניאו מלחטוא, לא נתקשה </w:t>
      </w:r>
      <w:r w:rsidR="000F57F5">
        <w:rPr>
          <w:rFonts w:hint="cs"/>
          <w:rtl/>
        </w:rPr>
        <w:t>בשאלה זו</w:t>
      </w:r>
      <w:r w:rsidR="00A57655">
        <w:rPr>
          <w:rFonts w:hint="cs"/>
          <w:rtl/>
        </w:rPr>
        <w:t>, אלא נצטרף לתשובת בעל 'כלי יקר':</w:t>
      </w:r>
    </w:p>
    <w:p w:rsidR="00A57655" w:rsidRDefault="00037997" w:rsidP="00361420">
      <w:pPr>
        <w:ind w:left="720" w:firstLine="2"/>
        <w:rPr>
          <w:rtl/>
        </w:rPr>
      </w:pPr>
      <w:r>
        <w:rPr>
          <w:rFonts w:hint="cs"/>
          <w:rtl/>
        </w:rPr>
        <w:t xml:space="preserve">ונראה שלא ייתכן זה העניין כאן. </w:t>
      </w:r>
      <w:r>
        <w:rPr>
          <w:rFonts w:hint="cs"/>
          <w:b/>
          <w:bCs/>
          <w:rtl/>
        </w:rPr>
        <w:t>כי לא היה הרצון הא-לוהי שיעלה רמות גלעד</w:t>
      </w:r>
      <w:r>
        <w:rPr>
          <w:rFonts w:hint="cs"/>
          <w:rtl/>
        </w:rPr>
        <w:t>, כפשוטה של נבואת "</w:t>
      </w:r>
      <w:r w:rsidRPr="00037997">
        <w:rPr>
          <w:rFonts w:hint="cs"/>
          <w:rtl/>
        </w:rPr>
        <w:t>לֹא אֲדֹנִים לָאֵלֶּה</w:t>
      </w:r>
      <w:r w:rsidR="009C29EC">
        <w:rPr>
          <w:rFonts w:hint="cs"/>
          <w:rtl/>
        </w:rPr>
        <w:t>,</w:t>
      </w:r>
      <w:r w:rsidRPr="00037997">
        <w:rPr>
          <w:rFonts w:hint="cs"/>
          <w:rtl/>
        </w:rPr>
        <w:t xml:space="preserve"> יָש</w:t>
      </w:r>
      <w:r w:rsidR="009C29EC">
        <w:rPr>
          <w:rFonts w:hint="cs"/>
          <w:rtl/>
        </w:rPr>
        <w:t>ׁוּבוּ אִישׁ לְבֵיתוֹ בְּשָׁלוֹ</w:t>
      </w:r>
      <w:r w:rsidR="00361420">
        <w:rPr>
          <w:rFonts w:hint="cs"/>
          <w:rtl/>
        </w:rPr>
        <w:t>ם</w:t>
      </w:r>
      <w:r w:rsidR="009C29EC">
        <w:rPr>
          <w:rFonts w:hint="cs"/>
          <w:rtl/>
        </w:rPr>
        <w:t>", ולא יֵלכו רמות גלעד לעורר מלחמות.</w:t>
      </w:r>
      <w:r w:rsidR="009C29EC">
        <w:rPr>
          <w:rStyle w:val="FootnoteReference"/>
          <w:rtl/>
        </w:rPr>
        <w:footnoteReference w:id="13"/>
      </w:r>
      <w:r w:rsidR="009C29EC">
        <w:rPr>
          <w:rFonts w:hint="cs"/>
          <w:rtl/>
        </w:rPr>
        <w:t xml:space="preserve"> ואם כן, </w:t>
      </w:r>
      <w:r w:rsidR="000F57F5">
        <w:rPr>
          <w:rFonts w:hint="cs"/>
          <w:b/>
          <w:bCs/>
          <w:rtl/>
        </w:rPr>
        <w:t>בלכתו, היה עובר (</w:t>
      </w:r>
      <w:r w:rsidR="000F57F5">
        <w:rPr>
          <w:b/>
          <w:bCs/>
          <w:rtl/>
        </w:rPr>
        <w:t>–</w:t>
      </w:r>
      <w:r w:rsidR="009C29EC">
        <w:rPr>
          <w:rFonts w:hint="cs"/>
          <w:b/>
          <w:bCs/>
          <w:rtl/>
        </w:rPr>
        <w:t xml:space="preserve"> אחאב) על הנבואה וחייב מיתה</w:t>
      </w:r>
      <w:r w:rsidR="009C29EC">
        <w:rPr>
          <w:rFonts w:hint="cs"/>
          <w:rtl/>
        </w:rPr>
        <w:t xml:space="preserve">, ואם היה שב בתשובה, </w:t>
      </w:r>
      <w:r w:rsidR="0008112A">
        <w:rPr>
          <w:rFonts w:hint="cs"/>
          <w:rtl/>
        </w:rPr>
        <w:t xml:space="preserve">היה צריך לקבל דברי הנביא </w:t>
      </w:r>
      <w:r w:rsidR="0008112A" w:rsidRPr="00934551">
        <w:rPr>
          <w:rFonts w:hint="cs"/>
          <w:b/>
          <w:bCs/>
          <w:rtl/>
        </w:rPr>
        <w:t>לבלתי לכת</w:t>
      </w:r>
      <w:r w:rsidR="0008112A">
        <w:rPr>
          <w:rFonts w:hint="cs"/>
          <w:rtl/>
        </w:rPr>
        <w:t xml:space="preserve"> רמות גלעד. </w:t>
      </w:r>
    </w:p>
    <w:p w:rsidR="00257459" w:rsidRDefault="00257459" w:rsidP="00257459">
      <w:pPr>
        <w:rPr>
          <w:rtl/>
        </w:rPr>
      </w:pPr>
    </w:p>
    <w:p w:rsidR="00257459" w:rsidRDefault="000632AF" w:rsidP="00361420">
      <w:pPr>
        <w:pStyle w:val="Heading3"/>
        <w:rPr>
          <w:rtl/>
        </w:rPr>
      </w:pPr>
      <w:r>
        <w:rPr>
          <w:rFonts w:hint="cs"/>
          <w:rtl/>
        </w:rPr>
        <w:t>3</w:t>
      </w:r>
      <w:r w:rsidR="00257459">
        <w:rPr>
          <w:rFonts w:hint="cs"/>
          <w:rtl/>
        </w:rPr>
        <w:t>. פרידה ממיכיהו בן ימלה</w:t>
      </w:r>
    </w:p>
    <w:p w:rsidR="00257459" w:rsidRDefault="00257459" w:rsidP="00257459">
      <w:pPr>
        <w:rPr>
          <w:rtl/>
        </w:rPr>
      </w:pPr>
      <w:r>
        <w:rPr>
          <w:rFonts w:hint="cs"/>
          <w:rtl/>
        </w:rPr>
        <w:t>העימות בין מיכיהו לאחאב הסתיים: אחאב הכריע לצאת למלחמה, והורה לכלוא את מיכיהו בבית כלא 'עד שובו בשלום', ואילו מיכיהו הודיע לאחאב "</w:t>
      </w:r>
      <w:r w:rsidRPr="00257459">
        <w:rPr>
          <w:rFonts w:hint="cs"/>
          <w:rtl/>
        </w:rPr>
        <w:t>אִם שׁוֹב תָּשׁוּב בְּשָׁלוֹם</w:t>
      </w:r>
      <w:r>
        <w:rPr>
          <w:rFonts w:hint="cs"/>
          <w:rtl/>
        </w:rPr>
        <w:t>,</w:t>
      </w:r>
      <w:r w:rsidRPr="00257459">
        <w:rPr>
          <w:rFonts w:hint="cs"/>
          <w:rtl/>
        </w:rPr>
        <w:t xml:space="preserve"> לֹא דִבֶּר </w:t>
      </w:r>
      <w:r w:rsidR="0042148F">
        <w:rPr>
          <w:rFonts w:hint="cs"/>
          <w:rtl/>
        </w:rPr>
        <w:t>ה</w:t>
      </w:r>
      <w:r w:rsidR="0042148F">
        <w:rPr>
          <w:rtl/>
        </w:rPr>
        <w:t>'</w:t>
      </w:r>
      <w:r w:rsidRPr="00257459">
        <w:rPr>
          <w:rFonts w:hint="cs"/>
          <w:rtl/>
        </w:rPr>
        <w:t xml:space="preserve"> בִּי</w:t>
      </w:r>
      <w:r>
        <w:rPr>
          <w:rFonts w:hint="cs"/>
          <w:rtl/>
        </w:rPr>
        <w:t xml:space="preserve">". </w:t>
      </w:r>
      <w:r w:rsidR="00900655">
        <w:rPr>
          <w:rFonts w:hint="cs"/>
          <w:rtl/>
        </w:rPr>
        <w:t>נר</w:t>
      </w:r>
      <w:r w:rsidR="00361420">
        <w:rPr>
          <w:rFonts w:hint="cs"/>
          <w:rtl/>
        </w:rPr>
        <w:t>א</w:t>
      </w:r>
      <w:r w:rsidR="00900655">
        <w:rPr>
          <w:rFonts w:hint="cs"/>
          <w:rtl/>
        </w:rPr>
        <w:t>ה שכל צד בעימות זה מיצה את עצמו, ואין להוסיף דבר, ועתה הגיעה שעת המעשים.</w:t>
      </w:r>
    </w:p>
    <w:p w:rsidR="00900655" w:rsidRDefault="00900655" w:rsidP="00361420">
      <w:pPr>
        <w:rPr>
          <w:rtl/>
        </w:rPr>
      </w:pPr>
      <w:r>
        <w:rPr>
          <w:rFonts w:hint="cs"/>
          <w:rtl/>
        </w:rPr>
        <w:t>אך הנה מיכיהו אינו מסתפק בדברים הנחרצים שאמר לאחאב, ואת מילותיו האחרונות הוא מפנה לא לאחאב, אלא לנוכחים הרבים באותו מעמד, ישראל ויהודה גם יחד:</w:t>
      </w:r>
    </w:p>
    <w:p w:rsidR="00900655" w:rsidRDefault="00900655" w:rsidP="00900655">
      <w:pPr>
        <w:rPr>
          <w:rtl/>
        </w:rPr>
      </w:pPr>
      <w:r>
        <w:rPr>
          <w:rtl/>
        </w:rPr>
        <w:tab/>
      </w:r>
      <w:r>
        <w:rPr>
          <w:rtl/>
        </w:rPr>
        <w:tab/>
      </w:r>
      <w:r w:rsidRPr="00900655">
        <w:rPr>
          <w:rFonts w:hint="cs"/>
          <w:rtl/>
        </w:rPr>
        <w:t>וַיֹּאמֶר</w:t>
      </w:r>
      <w:r w:rsidR="00CD6982">
        <w:rPr>
          <w:rFonts w:hint="cs"/>
          <w:rtl/>
        </w:rPr>
        <w:t>:</w:t>
      </w:r>
      <w:r w:rsidRPr="00900655">
        <w:rPr>
          <w:rFonts w:hint="cs"/>
          <w:rtl/>
        </w:rPr>
        <w:t xml:space="preserve"> שִׁמְעוּ עַמִּים</w:t>
      </w:r>
      <w:r w:rsidR="00CD6982">
        <w:rPr>
          <w:rStyle w:val="FootnoteReference"/>
          <w:rtl/>
        </w:rPr>
        <w:footnoteReference w:id="14"/>
      </w:r>
      <w:r w:rsidRPr="00900655">
        <w:rPr>
          <w:rFonts w:hint="cs"/>
          <w:rtl/>
        </w:rPr>
        <w:t xml:space="preserve"> כֻּלָּם</w:t>
      </w:r>
      <w:r w:rsidR="00CD6982">
        <w:rPr>
          <w:rFonts w:hint="cs"/>
          <w:rtl/>
        </w:rPr>
        <w:t>!</w:t>
      </w:r>
    </w:p>
    <w:p w:rsidR="00CD6982" w:rsidRDefault="00CD6982" w:rsidP="000F57F5">
      <w:pPr>
        <w:rPr>
          <w:rtl/>
        </w:rPr>
      </w:pPr>
      <w:r>
        <w:rPr>
          <w:rFonts w:hint="cs"/>
          <w:rtl/>
        </w:rPr>
        <w:t>וכוונתו:</w:t>
      </w:r>
      <w:r w:rsidR="00084F88">
        <w:rPr>
          <w:rFonts w:hint="cs"/>
          <w:rtl/>
        </w:rPr>
        <w:t xml:space="preserve"> </w:t>
      </w:r>
      <w:r>
        <w:rPr>
          <w:rFonts w:hint="cs"/>
          <w:rtl/>
        </w:rPr>
        <w:t xml:space="preserve">אתם עדים למה שהתחייבתי עליו, </w:t>
      </w:r>
      <w:r w:rsidR="000F57F5">
        <w:rPr>
          <w:rFonts w:hint="cs"/>
          <w:rtl/>
        </w:rPr>
        <w:t>ואתם תראו</w:t>
      </w:r>
      <w:r>
        <w:rPr>
          <w:rFonts w:hint="cs"/>
          <w:rtl/>
        </w:rPr>
        <w:t xml:space="preserve"> כש</w:t>
      </w:r>
      <w:r w:rsidR="000F57F5">
        <w:rPr>
          <w:rFonts w:hint="cs"/>
          <w:rtl/>
        </w:rPr>
        <w:t>יתברר ש</w:t>
      </w:r>
      <w:r>
        <w:rPr>
          <w:rFonts w:hint="cs"/>
          <w:rtl/>
        </w:rPr>
        <w:t>צדק</w:t>
      </w:r>
      <w:r w:rsidR="000F57F5">
        <w:rPr>
          <w:rFonts w:hint="cs"/>
          <w:rtl/>
        </w:rPr>
        <w:t>תי</w:t>
      </w:r>
      <w:r>
        <w:rPr>
          <w:rFonts w:hint="cs"/>
          <w:rtl/>
        </w:rPr>
        <w:t>.</w:t>
      </w:r>
    </w:p>
    <w:p w:rsidR="00CD6982" w:rsidRDefault="00CD6982" w:rsidP="00934551">
      <w:pPr>
        <w:rPr>
          <w:rtl/>
        </w:rPr>
      </w:pPr>
      <w:r>
        <w:rPr>
          <w:rFonts w:hint="cs"/>
          <w:rtl/>
        </w:rPr>
        <w:t xml:space="preserve">פנייה זו של מיכיהו אל כלל הנוכחים יש בה עוקץ ביחס לאחאב: אם ישוב אחאב בשלום מן המלחמה יֵדע אחאב כי נבואת שקר הייתה בפי מיכיהו, </w:t>
      </w:r>
      <w:r w:rsidR="00251496">
        <w:rPr>
          <w:rFonts w:hint="cs"/>
          <w:rtl/>
        </w:rPr>
        <w:t xml:space="preserve">ואף מיכיהו מודה בכך כבר מעתה </w:t>
      </w:r>
      <w:r w:rsidR="00251496">
        <w:rPr>
          <w:rtl/>
        </w:rPr>
        <w:t>–</w:t>
      </w:r>
      <w:r w:rsidR="00251496">
        <w:rPr>
          <w:rFonts w:hint="cs"/>
          <w:rtl/>
        </w:rPr>
        <w:t xml:space="preserve"> "</w:t>
      </w:r>
      <w:r w:rsidR="00251496" w:rsidRPr="00251496">
        <w:rPr>
          <w:rFonts w:hint="cs"/>
          <w:rtl/>
        </w:rPr>
        <w:t xml:space="preserve">לֹא דִבֶּר </w:t>
      </w:r>
      <w:r w:rsidR="0042148F">
        <w:rPr>
          <w:rFonts w:hint="cs"/>
          <w:rtl/>
        </w:rPr>
        <w:t>ה</w:t>
      </w:r>
      <w:r w:rsidR="0042148F">
        <w:rPr>
          <w:rtl/>
        </w:rPr>
        <w:t>'</w:t>
      </w:r>
      <w:r w:rsidR="00251496" w:rsidRPr="00251496">
        <w:rPr>
          <w:rFonts w:hint="cs"/>
          <w:rtl/>
        </w:rPr>
        <w:t xml:space="preserve"> בִּי</w:t>
      </w:r>
      <w:r w:rsidR="00251496">
        <w:rPr>
          <w:rFonts w:hint="cs"/>
          <w:rtl/>
        </w:rPr>
        <w:t xml:space="preserve">"; אולם אם ימות אחאב במלחמה, לא יוכל </w:t>
      </w:r>
      <w:r w:rsidR="00934551">
        <w:rPr>
          <w:rFonts w:hint="cs"/>
          <w:rtl/>
        </w:rPr>
        <w:t>כבר להכיר בצדקת נבואתו של מיכיהו</w:t>
      </w:r>
      <w:r w:rsidR="00251496">
        <w:rPr>
          <w:rFonts w:hint="cs"/>
          <w:rtl/>
        </w:rPr>
        <w:t xml:space="preserve">. </w:t>
      </w:r>
      <w:r w:rsidR="00834019">
        <w:rPr>
          <w:rFonts w:hint="cs"/>
          <w:rtl/>
        </w:rPr>
        <w:t xml:space="preserve">על כן פונה מיכיהו לנוכחים ואומר להם (תוך עקיצת אחאב): </w:t>
      </w:r>
      <w:r w:rsidR="00361420">
        <w:rPr>
          <w:rFonts w:hint="cs"/>
          <w:rtl/>
        </w:rPr>
        <w:t>'</w:t>
      </w:r>
      <w:r w:rsidR="00834019">
        <w:rPr>
          <w:rFonts w:hint="cs"/>
          <w:rtl/>
        </w:rPr>
        <w:t>שמעו כולכם את דברי</w:t>
      </w:r>
      <w:r w:rsidR="000F57F5">
        <w:rPr>
          <w:rFonts w:hint="cs"/>
          <w:rtl/>
        </w:rPr>
        <w:t>י</w:t>
      </w:r>
      <w:r w:rsidR="00834019">
        <w:rPr>
          <w:rFonts w:hint="cs"/>
          <w:rtl/>
        </w:rPr>
        <w:t>, כי אתם בלבד תהיו עדים לצדקתי.</w:t>
      </w:r>
      <w:r w:rsidR="00361420">
        <w:rPr>
          <w:rFonts w:hint="cs"/>
          <w:rtl/>
        </w:rPr>
        <w:t>'</w:t>
      </w:r>
      <w:r w:rsidR="00934551">
        <w:rPr>
          <w:rStyle w:val="FootnoteReference"/>
          <w:rtl/>
        </w:rPr>
        <w:footnoteReference w:id="15"/>
      </w:r>
    </w:p>
    <w:p w:rsidR="00834019" w:rsidRDefault="00834019" w:rsidP="000F57F5">
      <w:pPr>
        <w:rPr>
          <w:rtl/>
        </w:rPr>
      </w:pPr>
      <w:r>
        <w:rPr>
          <w:rFonts w:hint="cs"/>
          <w:rtl/>
        </w:rPr>
        <w:lastRenderedPageBreak/>
        <w:t xml:space="preserve">מילים אלו של מיכיהו הן מילותיו האחרונות, הן בסיפורנו והן במקרא כולו. </w:t>
      </w:r>
      <w:r w:rsidR="00EA4994">
        <w:rPr>
          <w:rFonts w:hint="cs"/>
          <w:rtl/>
        </w:rPr>
        <w:t xml:space="preserve">דמותו של נביא זה נעלמת מהמשכו של הסיפור, ואינה מופיעה </w:t>
      </w:r>
      <w:r w:rsidR="000F57F5">
        <w:rPr>
          <w:rFonts w:hint="cs"/>
          <w:rtl/>
        </w:rPr>
        <w:t>עוד</w:t>
      </w:r>
      <w:r w:rsidR="00EA4994">
        <w:rPr>
          <w:rFonts w:hint="cs"/>
          <w:rtl/>
        </w:rPr>
        <w:t xml:space="preserve"> בשום מקום אחר במקרא. ואף על פי כן, נוכחותו מורגשת גם</w:t>
      </w:r>
      <w:r w:rsidR="00361420">
        <w:rPr>
          <w:rFonts w:hint="cs"/>
          <w:rtl/>
        </w:rPr>
        <w:t xml:space="preserve"> בהמשך סיפורנו וגם בהמשך המקרא.</w:t>
      </w:r>
    </w:p>
    <w:p w:rsidR="00EA4994" w:rsidRDefault="00EA4994" w:rsidP="000632AF">
      <w:pPr>
        <w:rPr>
          <w:rtl/>
        </w:rPr>
      </w:pPr>
      <w:r>
        <w:rPr>
          <w:rFonts w:hint="cs"/>
          <w:rtl/>
        </w:rPr>
        <w:t>בהמשך סיפורנו כיצד? חלקו השלישי של הסיפור (פסוקים כט</w:t>
      </w:r>
      <w:r w:rsidR="000F57F5">
        <w:rPr>
          <w:rtl/>
        </w:rPr>
        <w:t>–</w:t>
      </w:r>
      <w:r>
        <w:rPr>
          <w:rFonts w:hint="cs"/>
          <w:rtl/>
        </w:rPr>
        <w:t xml:space="preserve">לח) </w:t>
      </w:r>
      <w:r w:rsidR="00934551">
        <w:rPr>
          <w:rFonts w:hint="cs"/>
          <w:rtl/>
        </w:rPr>
        <w:t>מתאר את</w:t>
      </w:r>
      <w:r>
        <w:rPr>
          <w:rFonts w:hint="cs"/>
          <w:rtl/>
        </w:rPr>
        <w:t xml:space="preserve"> התגשמות נבואתו של מיכיהו במלואה, כ</w:t>
      </w:r>
      <w:r w:rsidR="000632AF">
        <w:rPr>
          <w:rFonts w:hint="cs"/>
          <w:rtl/>
        </w:rPr>
        <w:t>פ</w:t>
      </w:r>
      <w:r>
        <w:rPr>
          <w:rFonts w:hint="cs"/>
          <w:rtl/>
        </w:rPr>
        <w:t xml:space="preserve">י </w:t>
      </w:r>
      <w:r w:rsidR="000632AF">
        <w:rPr>
          <w:rFonts w:hint="cs"/>
          <w:rtl/>
        </w:rPr>
        <w:t>ש</w:t>
      </w:r>
      <w:r>
        <w:rPr>
          <w:rFonts w:hint="cs"/>
          <w:rtl/>
        </w:rPr>
        <w:t xml:space="preserve">אכן דיבר ה' בו. </w:t>
      </w:r>
      <w:r w:rsidR="004673EB">
        <w:rPr>
          <w:rFonts w:hint="cs"/>
          <w:rtl/>
        </w:rPr>
        <w:t>יום אחד בלבד נמשכה המערכה, וכבר בערבו של אותו יום עברה הרינה במחנה לאמ</w:t>
      </w:r>
      <w:r w:rsidR="00934551">
        <w:rPr>
          <w:rFonts w:hint="cs"/>
          <w:rtl/>
        </w:rPr>
        <w:t>ו</w:t>
      </w:r>
      <w:r w:rsidR="004673EB">
        <w:rPr>
          <w:rFonts w:hint="cs"/>
          <w:rtl/>
        </w:rPr>
        <w:t>ר "</w:t>
      </w:r>
      <w:r w:rsidR="004673EB" w:rsidRPr="004673EB">
        <w:rPr>
          <w:rFonts w:hint="cs"/>
          <w:rtl/>
        </w:rPr>
        <w:t>אִישׁ אֶל עִירוֹ וְאִישׁ אֶל אַרְצוֹ</w:t>
      </w:r>
      <w:r w:rsidR="004673EB">
        <w:rPr>
          <w:rFonts w:hint="cs"/>
          <w:rtl/>
        </w:rPr>
        <w:t xml:space="preserve">" </w:t>
      </w:r>
      <w:r w:rsidR="004673EB">
        <w:rPr>
          <w:rtl/>
        </w:rPr>
        <w:t>–</w:t>
      </w:r>
      <w:r w:rsidR="004673EB">
        <w:rPr>
          <w:rFonts w:hint="cs"/>
          <w:rtl/>
        </w:rPr>
        <w:t xml:space="preserve"> כי מת אחאב. חילות יהודה וישראל לא הובסו בקרב, אך גם לא ניצחו בו, אלא 'שבו בשלום לביתם', ורק אחאב מלך ישראל לא שב ממנו בשלום</w:t>
      </w:r>
      <w:r w:rsidR="00361420">
        <w:rPr>
          <w:rFonts w:hint="cs"/>
          <w:rtl/>
        </w:rPr>
        <w:t xml:space="preserve"> כדבר ה' ביד מיכיהו</w:t>
      </w:r>
      <w:r w:rsidR="004673EB">
        <w:rPr>
          <w:rFonts w:hint="cs"/>
          <w:rtl/>
        </w:rPr>
        <w:t>: "</w:t>
      </w:r>
      <w:r w:rsidR="000F57F5">
        <w:rPr>
          <w:rFonts w:hint="cs"/>
          <w:rtl/>
        </w:rPr>
        <w:t xml:space="preserve">לֹא אֲדֹנִים לָאֵלֶּה </w:t>
      </w:r>
      <w:r w:rsidR="000F57F5">
        <w:rPr>
          <w:rtl/>
        </w:rPr>
        <w:t>–</w:t>
      </w:r>
      <w:r w:rsidR="00B51FB8">
        <w:rPr>
          <w:rFonts w:hint="cs"/>
          <w:rtl/>
        </w:rPr>
        <w:t xml:space="preserve"> </w:t>
      </w:r>
      <w:r w:rsidR="004673EB" w:rsidRPr="004673EB">
        <w:rPr>
          <w:rFonts w:hint="cs"/>
          <w:rtl/>
        </w:rPr>
        <w:t>יָשׁוּבוּ אִישׁ לְבֵיתוֹ בְּשָׁלוֹם</w:t>
      </w:r>
      <w:r w:rsidR="00B51FB8">
        <w:rPr>
          <w:rFonts w:hint="cs"/>
          <w:rtl/>
        </w:rPr>
        <w:t>"</w:t>
      </w:r>
      <w:r w:rsidR="00361420">
        <w:rPr>
          <w:rFonts w:hint="cs"/>
          <w:rtl/>
        </w:rPr>
        <w:t xml:space="preserve"> (יז)</w:t>
      </w:r>
      <w:r w:rsidR="00B51FB8">
        <w:rPr>
          <w:rFonts w:hint="cs"/>
          <w:rtl/>
        </w:rPr>
        <w:t>.</w:t>
      </w:r>
      <w:r w:rsidR="00B51FB8">
        <w:rPr>
          <w:rStyle w:val="FootnoteReference"/>
          <w:rtl/>
        </w:rPr>
        <w:footnoteReference w:id="16"/>
      </w:r>
    </w:p>
    <w:p w:rsidR="00B51FB8" w:rsidRDefault="00B51FB8" w:rsidP="000F57F5">
      <w:pPr>
        <w:rPr>
          <w:rtl/>
        </w:rPr>
      </w:pPr>
      <w:r>
        <w:rPr>
          <w:rFonts w:hint="cs"/>
          <w:rtl/>
        </w:rPr>
        <w:t>בהמשך המקרא כיצד? בין הנביאים 'הקטנים' הכלולים בתרי-עשר מצאנו נביא ששמו כשם נביאנו: מיכה המורשתי.</w:t>
      </w:r>
      <w:r>
        <w:rPr>
          <w:rStyle w:val="FootnoteReference"/>
          <w:rtl/>
        </w:rPr>
        <w:footnoteReference w:id="17"/>
      </w:r>
      <w:r>
        <w:rPr>
          <w:rFonts w:hint="cs"/>
          <w:rtl/>
        </w:rPr>
        <w:t xml:space="preserve"> נביא זה חי ביהודה כמה וכמה דורות אחר זמנו של סיפורנו</w:t>
      </w:r>
      <w:r w:rsidR="00F02C44">
        <w:rPr>
          <w:rFonts w:hint="cs"/>
          <w:rtl/>
        </w:rPr>
        <w:t xml:space="preserve"> </w:t>
      </w:r>
      <w:r w:rsidR="00F02C44">
        <w:rPr>
          <w:rtl/>
        </w:rPr>
        <w:t>–</w:t>
      </w:r>
      <w:r w:rsidR="00F02C44">
        <w:rPr>
          <w:rFonts w:hint="cs"/>
          <w:rtl/>
        </w:rPr>
        <w:t xml:space="preserve"> "</w:t>
      </w:r>
      <w:r w:rsidR="00F02C44" w:rsidRPr="00F02C44">
        <w:rPr>
          <w:rFonts w:hint="cs"/>
          <w:rtl/>
        </w:rPr>
        <w:t>בִּימֵי יוֹתָם אָחָז יְחִזְקִיָּה מַלְכֵי יְהוּדָה</w:t>
      </w:r>
      <w:r w:rsidR="00F02C44">
        <w:rPr>
          <w:rFonts w:hint="cs"/>
          <w:rtl/>
        </w:rPr>
        <w:t>" (מיכה א', א). והנה פותח מיכה המורשתי את נבואתו במילים אלו:</w:t>
      </w:r>
    </w:p>
    <w:p w:rsidR="00F02C44" w:rsidRDefault="00F02C44" w:rsidP="00F02C44">
      <w:pPr>
        <w:rPr>
          <w:rtl/>
        </w:rPr>
      </w:pPr>
      <w:r>
        <w:rPr>
          <w:rtl/>
        </w:rPr>
        <w:tab/>
      </w:r>
      <w:r>
        <w:rPr>
          <w:rFonts w:hint="cs"/>
          <w:rtl/>
        </w:rPr>
        <w:t>א', ב</w:t>
      </w:r>
      <w:r>
        <w:rPr>
          <w:rFonts w:hint="cs"/>
          <w:rtl/>
        </w:rPr>
        <w:tab/>
      </w:r>
      <w:r w:rsidRPr="00F02C44">
        <w:rPr>
          <w:rFonts w:hint="cs"/>
          <w:b/>
          <w:bCs/>
          <w:rtl/>
        </w:rPr>
        <w:t>שִׁמְעוּ עַמִּים כֻּלָּם</w:t>
      </w:r>
      <w:r w:rsidRPr="00F02C44">
        <w:rPr>
          <w:rFonts w:hint="cs"/>
          <w:rtl/>
        </w:rPr>
        <w:t xml:space="preserve"> </w:t>
      </w:r>
      <w:r>
        <w:rPr>
          <w:rtl/>
        </w:rPr>
        <w:tab/>
      </w:r>
      <w:r>
        <w:rPr>
          <w:rtl/>
        </w:rPr>
        <w:tab/>
      </w:r>
      <w:r w:rsidRPr="00F02C44">
        <w:rPr>
          <w:rFonts w:hint="cs"/>
          <w:rtl/>
        </w:rPr>
        <w:t>הַקְשִׁיבִי אֶרֶץ וּמְלֹאָהּ</w:t>
      </w:r>
      <w:r>
        <w:rPr>
          <w:rStyle w:val="FootnoteReference"/>
          <w:rtl/>
        </w:rPr>
        <w:footnoteReference w:id="18"/>
      </w:r>
    </w:p>
    <w:p w:rsidR="00F02C44" w:rsidRDefault="000B5FD6" w:rsidP="00F02C44">
      <w:pPr>
        <w:rPr>
          <w:rtl/>
        </w:rPr>
      </w:pPr>
      <w:r>
        <w:rPr>
          <w:rFonts w:hint="cs"/>
          <w:rtl/>
        </w:rPr>
        <w:t xml:space="preserve">וכתב על כך ר"י קיל ז"ל ב'דעת מקרא': "בלשון שסיים מיכיהו בן ימלה את נבואתו פותח לימים מיכה המורשתי </w:t>
      </w:r>
      <w:r>
        <w:rPr>
          <w:rtl/>
        </w:rPr>
        <w:t>–</w:t>
      </w:r>
      <w:r>
        <w:rPr>
          <w:rFonts w:hint="cs"/>
          <w:rtl/>
        </w:rPr>
        <w:t xml:space="preserve"> הנושא אותו שם </w:t>
      </w:r>
      <w:r>
        <w:rPr>
          <w:rtl/>
        </w:rPr>
        <w:t>–</w:t>
      </w:r>
      <w:r>
        <w:rPr>
          <w:rFonts w:hint="cs"/>
          <w:rtl/>
        </w:rPr>
        <w:t xml:space="preserve"> את נבואתו". </w:t>
      </w:r>
    </w:p>
    <w:p w:rsidR="000B5FD6" w:rsidRDefault="000B5FD6" w:rsidP="00F02C44">
      <w:pPr>
        <w:rPr>
          <w:rtl/>
        </w:rPr>
      </w:pPr>
      <w:r>
        <w:rPr>
          <w:rFonts w:hint="cs"/>
          <w:rtl/>
        </w:rPr>
        <w:t>המקרה הוא, או שמא יש כאן רמז לקשר טמיר של המשכיות?</w:t>
      </w:r>
    </w:p>
    <w:p w:rsidR="00227C21" w:rsidRDefault="00227C21" w:rsidP="00F02C44">
      <w:pPr>
        <w:rPr>
          <w:rtl/>
        </w:rPr>
      </w:pPr>
    </w:p>
    <w:p w:rsidR="00227C21" w:rsidRDefault="00227C21" w:rsidP="00227C21">
      <w:pPr>
        <w:rPr>
          <w:rtl/>
        </w:rPr>
      </w:pPr>
    </w:p>
    <w:p w:rsidR="00227C21" w:rsidRDefault="00227C21" w:rsidP="000632AF">
      <w:pPr>
        <w:pStyle w:val="Heading2"/>
        <w:rPr>
          <w:rtl/>
        </w:rPr>
      </w:pPr>
      <w:r>
        <w:rPr>
          <w:rFonts w:hint="cs"/>
          <w:rtl/>
        </w:rPr>
        <w:t>י</w:t>
      </w:r>
      <w:r w:rsidR="008D37B3">
        <w:rPr>
          <w:rFonts w:hint="cs"/>
          <w:rtl/>
        </w:rPr>
        <w:t>ג</w:t>
      </w:r>
      <w:r>
        <w:rPr>
          <w:rFonts w:hint="cs"/>
          <w:rtl/>
        </w:rPr>
        <w:t>. "</w:t>
      </w:r>
      <w:r w:rsidRPr="008D1C65">
        <w:rPr>
          <w:rFonts w:hint="cs"/>
          <w:rtl/>
        </w:rPr>
        <w:t>לָדַעַת טוֹב וָרָע</w:t>
      </w:r>
      <w:r>
        <w:rPr>
          <w:rFonts w:hint="cs"/>
          <w:rtl/>
        </w:rPr>
        <w:t xml:space="preserve">" </w:t>
      </w:r>
      <w:r>
        <w:rPr>
          <w:rtl/>
        </w:rPr>
        <w:t>–</w:t>
      </w:r>
      <w:r>
        <w:rPr>
          <w:rFonts w:hint="cs"/>
          <w:rtl/>
        </w:rPr>
        <w:t xml:space="preserve"> עיון מסכם</w:t>
      </w:r>
    </w:p>
    <w:p w:rsidR="009C4CA5" w:rsidRPr="009C4CA5" w:rsidRDefault="009C4CA5" w:rsidP="009C4CA5">
      <w:pPr>
        <w:rPr>
          <w:rtl/>
        </w:rPr>
      </w:pPr>
      <w:r w:rsidRPr="009C4CA5">
        <w:rPr>
          <w:rFonts w:hint="cs"/>
          <w:rtl/>
        </w:rPr>
        <w:t>בעיון זה אנו מסכמים את החלק המרכזי והגדול בסיפורנו (פס' ה</w:t>
      </w:r>
      <w:r w:rsidRPr="009C4CA5">
        <w:rPr>
          <w:rtl/>
        </w:rPr>
        <w:t>–</w:t>
      </w:r>
      <w:r w:rsidRPr="009C4CA5">
        <w:rPr>
          <w:rFonts w:hint="cs"/>
          <w:rtl/>
        </w:rPr>
        <w:t>כח), שבו מתעמתים נביאי השקר עם נביא האמת היחיד בשאלה מה צריכה להיות הכרעתו של אחאב, אם לצאת למלחמה או לחדול מכך. את הסיכום נעשה באמצעות מעקב אחר צמד מילים המ</w:t>
      </w:r>
      <w:r>
        <w:rPr>
          <w:rFonts w:hint="cs"/>
          <w:rtl/>
        </w:rPr>
        <w:t>שמש בסיפורנו כ'צמד הפכים מנחה'</w:t>
      </w:r>
      <w:r w:rsidR="000632AF">
        <w:rPr>
          <w:rFonts w:hint="cs"/>
          <w:rtl/>
        </w:rPr>
        <w:t>, מונח שיוסבר להלן</w:t>
      </w:r>
      <w:r>
        <w:rPr>
          <w:rFonts w:hint="cs"/>
          <w:rtl/>
        </w:rPr>
        <w:t>.</w:t>
      </w:r>
    </w:p>
    <w:p w:rsidR="00227C21" w:rsidRDefault="00227C21" w:rsidP="00332995">
      <w:pPr>
        <w:rPr>
          <w:rtl/>
        </w:rPr>
      </w:pPr>
      <w:r>
        <w:rPr>
          <w:rFonts w:hint="cs"/>
          <w:rtl/>
        </w:rPr>
        <w:t>בדיאלוג 'גורגיאס'</w:t>
      </w:r>
      <w:r w:rsidR="009C4CA5" w:rsidRPr="009C4CA5">
        <w:rPr>
          <w:rFonts w:hint="cs"/>
          <w:rtl/>
        </w:rPr>
        <w:t xml:space="preserve"> </w:t>
      </w:r>
      <w:r w:rsidR="009C4CA5">
        <w:rPr>
          <w:rFonts w:hint="cs"/>
          <w:rtl/>
        </w:rPr>
        <w:t>של אפלטון</w:t>
      </w:r>
      <w:r w:rsidR="000F57F5">
        <w:rPr>
          <w:rFonts w:hint="cs"/>
          <w:rtl/>
        </w:rPr>
        <w:t>,</w:t>
      </w:r>
      <w:r>
        <w:rPr>
          <w:rStyle w:val="FootnoteReference"/>
          <w:rtl/>
        </w:rPr>
        <w:footnoteReference w:id="19"/>
      </w:r>
      <w:r>
        <w:rPr>
          <w:rFonts w:hint="cs"/>
          <w:rtl/>
        </w:rPr>
        <w:t xml:space="preserve"> טוען סוקרטס, שכל בני האדם רוצים רק בדבר אחד, והוא ב'טוב'. אם נראה לנו אדם כמתאמץ להשיג דבר 'רע', אין זה </w:t>
      </w:r>
      <w:r w:rsidR="00C21C6D">
        <w:rPr>
          <w:rFonts w:hint="cs"/>
          <w:rtl/>
        </w:rPr>
        <w:t xml:space="preserve">אלא </w:t>
      </w:r>
      <w:r>
        <w:rPr>
          <w:rFonts w:hint="cs"/>
          <w:rtl/>
        </w:rPr>
        <w:t xml:space="preserve">משום </w:t>
      </w:r>
      <w:r w:rsidR="009C4CA5">
        <w:rPr>
          <w:rFonts w:hint="cs"/>
          <w:rtl/>
        </w:rPr>
        <w:t xml:space="preserve">שאיננו מכיר מה טוב לו באמת </w:t>
      </w:r>
      <w:r w:rsidR="000F57F5">
        <w:rPr>
          <w:rFonts w:hint="cs"/>
          <w:rtl/>
        </w:rPr>
        <w:t>ש</w:t>
      </w:r>
      <w:r w:rsidR="009C4CA5">
        <w:rPr>
          <w:rFonts w:hint="cs"/>
          <w:rtl/>
        </w:rPr>
        <w:t xml:space="preserve">כן </w:t>
      </w:r>
      <w:r>
        <w:rPr>
          <w:rFonts w:hint="cs"/>
          <w:rtl/>
        </w:rPr>
        <w:t>נתחלפו</w:t>
      </w:r>
      <w:r w:rsidR="000F57F5">
        <w:rPr>
          <w:rFonts w:hint="cs"/>
          <w:rtl/>
        </w:rPr>
        <w:t xml:space="preserve"> אצלו</w:t>
      </w:r>
      <w:r>
        <w:rPr>
          <w:rFonts w:hint="cs"/>
          <w:rtl/>
        </w:rPr>
        <w:t xml:space="preserve"> ה</w:t>
      </w:r>
      <w:r w:rsidR="009C4CA5">
        <w:rPr>
          <w:rFonts w:hint="cs"/>
          <w:rtl/>
        </w:rPr>
        <w:t xml:space="preserve">מושגים </w:t>
      </w:r>
      <w:r>
        <w:rPr>
          <w:rFonts w:hint="cs"/>
          <w:rtl/>
        </w:rPr>
        <w:t xml:space="preserve">'טוב' </w:t>
      </w:r>
      <w:r w:rsidR="000F57F5">
        <w:rPr>
          <w:rFonts w:hint="cs"/>
          <w:rtl/>
        </w:rPr>
        <w:t>ו</w:t>
      </w:r>
      <w:r>
        <w:rPr>
          <w:rFonts w:hint="cs"/>
          <w:rtl/>
        </w:rPr>
        <w:t>'רע'</w:t>
      </w:r>
      <w:r w:rsidRPr="00332995">
        <w:rPr>
          <w:rFonts w:hint="cs"/>
          <w:rtl/>
        </w:rPr>
        <w:t xml:space="preserve">. </w:t>
      </w:r>
      <w:r w:rsidR="00332995" w:rsidRPr="00332995">
        <w:rPr>
          <w:rFonts w:hint="cs"/>
          <w:rtl/>
        </w:rPr>
        <w:t>אם נשכיל להסביר לו</w:t>
      </w:r>
      <w:r w:rsidR="00C21C6D" w:rsidRPr="00332995">
        <w:rPr>
          <w:rFonts w:hint="cs"/>
          <w:rtl/>
        </w:rPr>
        <w:t xml:space="preserve"> </w:t>
      </w:r>
      <w:r w:rsidRPr="00332995">
        <w:rPr>
          <w:rFonts w:hint="cs"/>
          <w:rtl/>
        </w:rPr>
        <w:t xml:space="preserve">מהו הטוב לו, </w:t>
      </w:r>
      <w:r w:rsidR="00332995" w:rsidRPr="00332995">
        <w:rPr>
          <w:rFonts w:hint="cs"/>
          <w:rtl/>
        </w:rPr>
        <w:t>י</w:t>
      </w:r>
      <w:r w:rsidRPr="00332995">
        <w:rPr>
          <w:rFonts w:hint="cs"/>
          <w:rtl/>
        </w:rPr>
        <w:t xml:space="preserve">בחר </w:t>
      </w:r>
      <w:r w:rsidR="000F57F5" w:rsidRPr="00332995">
        <w:rPr>
          <w:rFonts w:hint="cs"/>
          <w:rtl/>
        </w:rPr>
        <w:t xml:space="preserve">מאליו </w:t>
      </w:r>
      <w:r w:rsidRPr="00332995">
        <w:rPr>
          <w:rFonts w:hint="cs"/>
          <w:rtl/>
        </w:rPr>
        <w:t>בטוב.</w:t>
      </w:r>
      <w:r w:rsidR="00C21C6D">
        <w:rPr>
          <w:rFonts w:hint="cs"/>
          <w:rtl/>
        </w:rPr>
        <w:t xml:space="preserve"> </w:t>
      </w:r>
      <w:r w:rsidR="009C4CA5">
        <w:rPr>
          <w:rFonts w:hint="cs"/>
          <w:rtl/>
        </w:rPr>
        <w:t xml:space="preserve"> </w:t>
      </w:r>
    </w:p>
    <w:p w:rsidR="000F57F5" w:rsidRDefault="00227C21" w:rsidP="00332995">
      <w:pPr>
        <w:rPr>
          <w:rtl/>
        </w:rPr>
      </w:pPr>
      <w:r>
        <w:rPr>
          <w:rFonts w:hint="cs"/>
          <w:rtl/>
        </w:rPr>
        <w:t xml:space="preserve">שאלת </w:t>
      </w:r>
      <w:r w:rsidR="000F57F5">
        <w:rPr>
          <w:rFonts w:hint="cs"/>
          <w:rtl/>
        </w:rPr>
        <w:t xml:space="preserve">זו, שאלת </w:t>
      </w:r>
      <w:r>
        <w:rPr>
          <w:rFonts w:hint="cs"/>
          <w:rtl/>
        </w:rPr>
        <w:t>ההבחנה הנכונה בין 'טוב' ל'רע'</w:t>
      </w:r>
      <w:r w:rsidR="000F57F5">
        <w:rPr>
          <w:rFonts w:hint="cs"/>
          <w:rtl/>
        </w:rPr>
        <w:t>,</w:t>
      </w:r>
      <w:r>
        <w:rPr>
          <w:rFonts w:hint="cs"/>
          <w:rtl/>
        </w:rPr>
        <w:t xml:space="preserve"> היא העומדת במרכז העימות שאותו מנהל הנביא מיכיהו כנגד אחאב ונביאיו</w:t>
      </w:r>
      <w:r w:rsidR="000F57F5">
        <w:rPr>
          <w:rFonts w:hint="cs"/>
          <w:rtl/>
        </w:rPr>
        <w:t xml:space="preserve"> (פס' ה–כח)</w:t>
      </w:r>
      <w:r>
        <w:rPr>
          <w:rFonts w:hint="cs"/>
          <w:rtl/>
        </w:rPr>
        <w:t xml:space="preserve">. ה'טוב' וה'רע' </w:t>
      </w:r>
      <w:r w:rsidR="00C21C6D">
        <w:rPr>
          <w:rFonts w:hint="cs"/>
          <w:rtl/>
        </w:rPr>
        <w:t xml:space="preserve">בסיפורנו </w:t>
      </w:r>
      <w:r>
        <w:rPr>
          <w:rFonts w:hint="cs"/>
          <w:rtl/>
        </w:rPr>
        <w:t xml:space="preserve">נתחלפו </w:t>
      </w:r>
      <w:r w:rsidR="00C21C6D">
        <w:rPr>
          <w:rFonts w:hint="cs"/>
          <w:rtl/>
        </w:rPr>
        <w:t>אצ</w:t>
      </w:r>
      <w:r>
        <w:rPr>
          <w:rFonts w:hint="cs"/>
          <w:rtl/>
        </w:rPr>
        <w:t>ל</w:t>
      </w:r>
      <w:r w:rsidR="00C21C6D">
        <w:rPr>
          <w:rFonts w:hint="cs"/>
          <w:rtl/>
        </w:rPr>
        <w:t xml:space="preserve"> </w:t>
      </w:r>
      <w:r>
        <w:rPr>
          <w:rFonts w:hint="cs"/>
          <w:rtl/>
        </w:rPr>
        <w:t xml:space="preserve">חלק מן האישים הפועלים </w:t>
      </w:r>
      <w:r w:rsidR="00C21C6D">
        <w:rPr>
          <w:rFonts w:hint="cs"/>
          <w:rtl/>
        </w:rPr>
        <w:t>בו</w:t>
      </w:r>
      <w:r w:rsidR="000F57F5">
        <w:rPr>
          <w:rFonts w:hint="cs"/>
          <w:rtl/>
        </w:rPr>
        <w:t>,</w:t>
      </w:r>
      <w:r w:rsidR="00C21C6D">
        <w:rPr>
          <w:rFonts w:hint="cs"/>
          <w:rtl/>
        </w:rPr>
        <w:t xml:space="preserve"> </w:t>
      </w:r>
      <w:r>
        <w:rPr>
          <w:rFonts w:hint="cs"/>
          <w:rtl/>
        </w:rPr>
        <w:t xml:space="preserve">ויש לחזור ולהעמידם על מכונם. </w:t>
      </w:r>
      <w:r w:rsidR="000F57F5">
        <w:rPr>
          <w:rFonts w:hint="cs"/>
          <w:rtl/>
        </w:rPr>
        <w:t xml:space="preserve">המאבק בין טוב לרע ושאלת ההבחנה ביניהם מעוצבים </w:t>
      </w:r>
      <w:r>
        <w:rPr>
          <w:rFonts w:hint="cs"/>
          <w:rtl/>
        </w:rPr>
        <w:t>בחלק זה של סיפורנו</w:t>
      </w:r>
      <w:r w:rsidR="000F57F5">
        <w:rPr>
          <w:rFonts w:hint="cs"/>
          <w:rtl/>
        </w:rPr>
        <w:t xml:space="preserve"> באמצעות </w:t>
      </w:r>
      <w:r w:rsidR="000F57F5" w:rsidRPr="00016673">
        <w:rPr>
          <w:rFonts w:hint="cs"/>
          <w:b/>
          <w:bCs/>
          <w:rtl/>
        </w:rPr>
        <w:t>'צמד</w:t>
      </w:r>
      <w:r w:rsidRPr="00016673">
        <w:rPr>
          <w:rFonts w:hint="cs"/>
          <w:b/>
          <w:bCs/>
          <w:rtl/>
        </w:rPr>
        <w:t xml:space="preserve"> הפכים מנחה'</w:t>
      </w:r>
      <w:r>
        <w:rPr>
          <w:rFonts w:hint="cs"/>
          <w:rtl/>
        </w:rPr>
        <w:t xml:space="preserve"> החורז את</w:t>
      </w:r>
      <w:r w:rsidR="000F57F5">
        <w:rPr>
          <w:rFonts w:hint="cs"/>
          <w:rtl/>
        </w:rPr>
        <w:t xml:space="preserve"> הסיפור</w:t>
      </w:r>
      <w:r>
        <w:rPr>
          <w:rFonts w:hint="cs"/>
          <w:rtl/>
        </w:rPr>
        <w:t>.</w:t>
      </w:r>
      <w:r w:rsidR="000F57F5">
        <w:rPr>
          <w:rFonts w:hint="cs"/>
          <w:rtl/>
        </w:rPr>
        <w:t xml:space="preserve"> </w:t>
      </w:r>
      <w:r w:rsidRPr="00016673">
        <w:rPr>
          <w:rFonts w:hint="cs"/>
          <w:rtl/>
        </w:rPr>
        <w:t xml:space="preserve">'צמד הפכים מנחה' </w:t>
      </w:r>
      <w:r>
        <w:rPr>
          <w:rFonts w:hint="cs"/>
          <w:rtl/>
        </w:rPr>
        <w:t xml:space="preserve">הוא צמד </w:t>
      </w:r>
      <w:r w:rsidR="000F57F5">
        <w:rPr>
          <w:rFonts w:hint="cs"/>
          <w:rtl/>
        </w:rPr>
        <w:t xml:space="preserve">של שתי </w:t>
      </w:r>
      <w:r>
        <w:rPr>
          <w:rFonts w:hint="cs"/>
          <w:rtl/>
        </w:rPr>
        <w:t xml:space="preserve">מילים מנוגדות, המשמשות </w:t>
      </w:r>
      <w:r w:rsidR="000F57F5">
        <w:rPr>
          <w:rFonts w:hint="cs"/>
          <w:rtl/>
        </w:rPr>
        <w:t xml:space="preserve">שתיהן </w:t>
      </w:r>
      <w:r>
        <w:rPr>
          <w:rFonts w:hint="cs"/>
          <w:rtl/>
        </w:rPr>
        <w:t xml:space="preserve">יחדיו בתפקיד 'מילה מנחה' ביחידה ספרותית שבמקרא. </w:t>
      </w:r>
      <w:r w:rsidRPr="00332995">
        <w:rPr>
          <w:rFonts w:hint="cs"/>
          <w:rtl/>
        </w:rPr>
        <w:t xml:space="preserve">סימן </w:t>
      </w:r>
      <w:r w:rsidR="00332995">
        <w:rPr>
          <w:rFonts w:hint="cs"/>
          <w:rtl/>
        </w:rPr>
        <w:t>לדבר</w:t>
      </w:r>
      <w:r w:rsidR="000F57F5" w:rsidRPr="00332995">
        <w:rPr>
          <w:rFonts w:hint="cs"/>
          <w:rtl/>
        </w:rPr>
        <w:t xml:space="preserve"> הוא</w:t>
      </w:r>
      <w:r w:rsidR="000F57F5">
        <w:rPr>
          <w:rFonts w:hint="cs"/>
          <w:rtl/>
        </w:rPr>
        <w:t xml:space="preserve"> כ</w:t>
      </w:r>
      <w:r>
        <w:rPr>
          <w:rFonts w:hint="cs"/>
          <w:rtl/>
        </w:rPr>
        <w:t>שספירת הופעת</w:t>
      </w:r>
      <w:r w:rsidR="00332995">
        <w:rPr>
          <w:rFonts w:hint="cs"/>
          <w:rtl/>
        </w:rPr>
        <w:t>יה</w:t>
      </w:r>
      <w:r>
        <w:rPr>
          <w:rFonts w:hint="cs"/>
          <w:rtl/>
        </w:rPr>
        <w:t>ן של שתי המילים המנוגדות כאחת תעלה למספר בעל משמעות.</w:t>
      </w:r>
      <w:r w:rsidR="000632AF">
        <w:rPr>
          <w:rStyle w:val="FootnoteReference"/>
          <w:rtl/>
        </w:rPr>
        <w:footnoteReference w:id="20"/>
      </w:r>
      <w:r>
        <w:rPr>
          <w:rFonts w:hint="cs"/>
          <w:rtl/>
        </w:rPr>
        <w:t xml:space="preserve"> </w:t>
      </w:r>
    </w:p>
    <w:p w:rsidR="00227C21" w:rsidRDefault="00227C21" w:rsidP="000F57F5">
      <w:pPr>
        <w:rPr>
          <w:rtl/>
        </w:rPr>
      </w:pPr>
      <w:r>
        <w:rPr>
          <w:rFonts w:hint="cs"/>
          <w:rtl/>
        </w:rPr>
        <w:t xml:space="preserve">בסיפורנו </w:t>
      </w:r>
      <w:r w:rsidR="000F57F5">
        <w:rPr>
          <w:rFonts w:hint="cs"/>
          <w:rtl/>
        </w:rPr>
        <w:t xml:space="preserve">(פס' ה–כח) </w:t>
      </w:r>
      <w:r>
        <w:rPr>
          <w:rFonts w:hint="cs"/>
          <w:rtl/>
        </w:rPr>
        <w:t>חוזרות שתי המילים</w:t>
      </w:r>
      <w:r w:rsidR="000F57F5">
        <w:rPr>
          <w:rFonts w:hint="cs"/>
          <w:rtl/>
        </w:rPr>
        <w:t xml:space="preserve"> המנוגדות</w:t>
      </w:r>
      <w:r>
        <w:rPr>
          <w:rFonts w:hint="cs"/>
          <w:rtl/>
        </w:rPr>
        <w:t xml:space="preserve"> 'טוב' ו'רע' יחדיו שבע פעמים</w:t>
      </w:r>
      <w:r w:rsidR="000F57F5">
        <w:rPr>
          <w:rFonts w:hint="cs"/>
          <w:rtl/>
        </w:rPr>
        <w:t>.</w:t>
      </w:r>
      <w:r>
        <w:rPr>
          <w:rStyle w:val="FootnoteReference"/>
          <w:rtl/>
        </w:rPr>
        <w:footnoteReference w:id="21"/>
      </w:r>
      <w:r>
        <w:rPr>
          <w:rFonts w:hint="cs"/>
          <w:rtl/>
        </w:rPr>
        <w:t xml:space="preserve"> הבה נעקוב אחר הופעותיהן:</w:t>
      </w:r>
    </w:p>
    <w:p w:rsidR="00227C21" w:rsidRDefault="00227C21" w:rsidP="00016673">
      <w:pPr>
        <w:rPr>
          <w:rtl/>
        </w:rPr>
      </w:pPr>
      <w:r>
        <w:rPr>
          <w:rtl/>
        </w:rPr>
        <w:lastRenderedPageBreak/>
        <w:tab/>
      </w:r>
      <w:r w:rsidR="00016673">
        <w:rPr>
          <w:rFonts w:hint="cs"/>
          <w:rtl/>
        </w:rPr>
        <w:t>1</w:t>
      </w:r>
      <w:r w:rsidR="00016673">
        <w:rPr>
          <w:rtl/>
        </w:rPr>
        <w:t>–</w:t>
      </w:r>
      <w:r w:rsidR="00016673">
        <w:rPr>
          <w:rFonts w:hint="cs"/>
          <w:rtl/>
        </w:rPr>
        <w:t xml:space="preserve">2. </w:t>
      </w:r>
      <w:r>
        <w:rPr>
          <w:rFonts w:hint="cs"/>
          <w:rtl/>
        </w:rPr>
        <w:tab/>
        <w:t>(ח)</w:t>
      </w:r>
      <w:r>
        <w:rPr>
          <w:rtl/>
        </w:rPr>
        <w:tab/>
      </w:r>
      <w:r>
        <w:rPr>
          <w:rFonts w:hint="cs"/>
          <w:rtl/>
        </w:rPr>
        <w:t>...</w:t>
      </w:r>
      <w:r w:rsidR="00C21C6D">
        <w:rPr>
          <w:rFonts w:hint="cs"/>
          <w:rtl/>
        </w:rPr>
        <w:t xml:space="preserve"> </w:t>
      </w:r>
      <w:r w:rsidRPr="00810E3E">
        <w:rPr>
          <w:rFonts w:hint="cs"/>
          <w:rtl/>
        </w:rPr>
        <w:t xml:space="preserve">וַאֲנִי שְׂנֵאתִיו כִּי לֹא יִתְנַבֵּא עָלַי </w:t>
      </w:r>
      <w:r w:rsidRPr="007960A8">
        <w:rPr>
          <w:rFonts w:hint="cs"/>
          <w:b/>
          <w:bCs/>
          <w:rtl/>
        </w:rPr>
        <w:t>טוֹב</w:t>
      </w:r>
      <w:r w:rsidRPr="00810E3E">
        <w:rPr>
          <w:rFonts w:hint="cs"/>
          <w:rtl/>
        </w:rPr>
        <w:t xml:space="preserve"> כִּי אִם </w:t>
      </w:r>
      <w:r w:rsidRPr="007960A8">
        <w:rPr>
          <w:rFonts w:hint="cs"/>
          <w:b/>
          <w:bCs/>
          <w:rtl/>
        </w:rPr>
        <w:t>רָע</w:t>
      </w:r>
      <w:r>
        <w:rPr>
          <w:rFonts w:hint="cs"/>
          <w:rtl/>
        </w:rPr>
        <w:t>...</w:t>
      </w:r>
    </w:p>
    <w:p w:rsidR="00227C21" w:rsidRDefault="00227C21" w:rsidP="00227C21">
      <w:pPr>
        <w:rPr>
          <w:rtl/>
        </w:rPr>
      </w:pPr>
      <w:r>
        <w:rPr>
          <w:rtl/>
        </w:rPr>
        <w:tab/>
      </w:r>
      <w:r>
        <w:rPr>
          <w:rFonts w:hint="cs"/>
          <w:rtl/>
        </w:rPr>
        <w:t>3</w:t>
      </w:r>
      <w:r w:rsidR="00016673">
        <w:rPr>
          <w:rFonts w:hint="cs"/>
          <w:rtl/>
        </w:rPr>
        <w:t>.</w:t>
      </w:r>
      <w:r>
        <w:rPr>
          <w:rFonts w:hint="cs"/>
          <w:rtl/>
        </w:rPr>
        <w:tab/>
        <w:t>(יג)</w:t>
      </w:r>
      <w:r>
        <w:rPr>
          <w:rtl/>
        </w:rPr>
        <w:tab/>
      </w:r>
      <w:r w:rsidRPr="00C1563D">
        <w:rPr>
          <w:rFonts w:hint="cs"/>
          <w:rtl/>
        </w:rPr>
        <w:t xml:space="preserve">הִנֵּה נָא דִּבְרֵי הַנְּבִיאִים פֶּה אֶחָד </w:t>
      </w:r>
      <w:r w:rsidRPr="00C1563D">
        <w:rPr>
          <w:rFonts w:hint="cs"/>
          <w:b/>
          <w:bCs/>
          <w:rtl/>
        </w:rPr>
        <w:t>טוֹב</w:t>
      </w:r>
      <w:r w:rsidRPr="00C1563D">
        <w:rPr>
          <w:rFonts w:hint="cs"/>
          <w:rtl/>
        </w:rPr>
        <w:t xml:space="preserve"> אֶל הַמֶּלֶךְ</w:t>
      </w:r>
    </w:p>
    <w:p w:rsidR="00227C21" w:rsidRDefault="00227C21" w:rsidP="000F57F5">
      <w:pPr>
        <w:rPr>
          <w:rtl/>
        </w:rPr>
      </w:pPr>
      <w:r>
        <w:rPr>
          <w:rtl/>
        </w:rPr>
        <w:tab/>
      </w:r>
      <w:r>
        <w:rPr>
          <w:rFonts w:hint="cs"/>
          <w:rtl/>
        </w:rPr>
        <w:t>4</w:t>
      </w:r>
      <w:r w:rsidR="00016673">
        <w:rPr>
          <w:rFonts w:hint="cs"/>
          <w:rtl/>
        </w:rPr>
        <w:t>.</w:t>
      </w:r>
      <w:r>
        <w:rPr>
          <w:rFonts w:hint="cs"/>
          <w:rtl/>
        </w:rPr>
        <w:tab/>
        <w:t>(</w:t>
      </w:r>
      <w:r w:rsidR="000F57F5">
        <w:rPr>
          <w:rFonts w:hint="cs"/>
          <w:rtl/>
        </w:rPr>
        <w:t>יג</w:t>
      </w:r>
      <w:r>
        <w:rPr>
          <w:rFonts w:hint="cs"/>
          <w:rtl/>
        </w:rPr>
        <w:t>)</w:t>
      </w:r>
      <w:r>
        <w:rPr>
          <w:rtl/>
        </w:rPr>
        <w:tab/>
      </w:r>
      <w:r w:rsidRPr="00C1563D">
        <w:rPr>
          <w:rFonts w:hint="cs"/>
          <w:rtl/>
        </w:rPr>
        <w:t>יְהִי נָא דְבָרְךָ</w:t>
      </w:r>
      <w:r>
        <w:rPr>
          <w:rFonts w:hint="cs"/>
          <w:rtl/>
        </w:rPr>
        <w:t xml:space="preserve"> </w:t>
      </w:r>
      <w:r w:rsidRPr="00C1563D">
        <w:rPr>
          <w:rFonts w:hint="cs"/>
          <w:rtl/>
        </w:rPr>
        <w:t xml:space="preserve">כִּדְבַר אַחַד מֵהֶם וְדִבַּרְתָּ </w:t>
      </w:r>
      <w:r w:rsidRPr="00C1563D">
        <w:rPr>
          <w:rFonts w:hint="cs"/>
          <w:b/>
          <w:bCs/>
          <w:rtl/>
        </w:rPr>
        <w:t>טּוֹב</w:t>
      </w:r>
      <w:r>
        <w:rPr>
          <w:rFonts w:hint="cs"/>
          <w:rtl/>
        </w:rPr>
        <w:t>.</w:t>
      </w:r>
    </w:p>
    <w:p w:rsidR="00227C21" w:rsidRDefault="00016673" w:rsidP="00016673">
      <w:pPr>
        <w:rPr>
          <w:rtl/>
        </w:rPr>
      </w:pPr>
      <w:r>
        <w:rPr>
          <w:rFonts w:hint="cs"/>
          <w:rtl/>
        </w:rPr>
        <w:tab/>
        <w:t>5</w:t>
      </w:r>
      <w:r>
        <w:rPr>
          <w:rtl/>
        </w:rPr>
        <w:t>–</w:t>
      </w:r>
      <w:r>
        <w:rPr>
          <w:rFonts w:hint="cs"/>
          <w:rtl/>
        </w:rPr>
        <w:t>6.</w:t>
      </w:r>
      <w:r w:rsidR="00227C21">
        <w:rPr>
          <w:rFonts w:hint="cs"/>
          <w:rtl/>
        </w:rPr>
        <w:tab/>
        <w:t>(יח)</w:t>
      </w:r>
      <w:r w:rsidR="00227C21">
        <w:rPr>
          <w:rtl/>
        </w:rPr>
        <w:tab/>
      </w:r>
      <w:r w:rsidR="00227C21" w:rsidRPr="00EF6F8F">
        <w:rPr>
          <w:rFonts w:hint="cs"/>
          <w:rtl/>
        </w:rPr>
        <w:t xml:space="preserve">הֲלוֹא אָמַרְתִּי אֵלֶיךָ לוֹא יִתְנַבֵּא עָלַי </w:t>
      </w:r>
      <w:r w:rsidR="00227C21" w:rsidRPr="00EF6F8F">
        <w:rPr>
          <w:rFonts w:hint="cs"/>
          <w:b/>
          <w:bCs/>
          <w:rtl/>
        </w:rPr>
        <w:t>טוֹב</w:t>
      </w:r>
      <w:r w:rsidR="00227C21" w:rsidRPr="00EF6F8F">
        <w:rPr>
          <w:rFonts w:hint="cs"/>
          <w:rtl/>
        </w:rPr>
        <w:t xml:space="preserve"> כִּי אִם </w:t>
      </w:r>
      <w:r w:rsidR="00227C21" w:rsidRPr="00EF6F8F">
        <w:rPr>
          <w:rFonts w:hint="cs"/>
          <w:b/>
          <w:bCs/>
          <w:rtl/>
        </w:rPr>
        <w:t>רָע</w:t>
      </w:r>
      <w:r w:rsidR="000F57F5" w:rsidRPr="000F57F5">
        <w:rPr>
          <w:rFonts w:hint="cs"/>
          <w:rtl/>
        </w:rPr>
        <w:t>.</w:t>
      </w:r>
    </w:p>
    <w:p w:rsidR="000F57F5" w:rsidRDefault="00227C21" w:rsidP="000F57F5">
      <w:pPr>
        <w:rPr>
          <w:b/>
          <w:bCs/>
          <w:rtl/>
        </w:rPr>
      </w:pPr>
      <w:r>
        <w:rPr>
          <w:rtl/>
        </w:rPr>
        <w:tab/>
      </w:r>
      <w:r>
        <w:rPr>
          <w:rFonts w:hint="cs"/>
          <w:rtl/>
        </w:rPr>
        <w:t>7</w:t>
      </w:r>
      <w:r w:rsidR="00016673">
        <w:rPr>
          <w:rFonts w:hint="cs"/>
          <w:rtl/>
        </w:rPr>
        <w:t>.</w:t>
      </w:r>
      <w:r>
        <w:rPr>
          <w:rFonts w:hint="cs"/>
          <w:rtl/>
        </w:rPr>
        <w:tab/>
        <w:t>(כג)</w:t>
      </w:r>
      <w:r>
        <w:rPr>
          <w:rtl/>
        </w:rPr>
        <w:tab/>
      </w:r>
      <w:r w:rsidRPr="00EF6F8F">
        <w:rPr>
          <w:rFonts w:hint="cs"/>
          <w:rtl/>
        </w:rPr>
        <w:t xml:space="preserve">נָתַן </w:t>
      </w:r>
      <w:r>
        <w:rPr>
          <w:rFonts w:hint="cs"/>
          <w:rtl/>
        </w:rPr>
        <w:t>ה</w:t>
      </w:r>
      <w:r>
        <w:rPr>
          <w:rtl/>
        </w:rPr>
        <w:t>'</w:t>
      </w:r>
      <w:r w:rsidRPr="00EF6F8F">
        <w:rPr>
          <w:rFonts w:hint="cs"/>
          <w:rtl/>
        </w:rPr>
        <w:t xml:space="preserve"> רוּחַ שֶׁקֶר בְּפִי כָּל נְבִיאֶיךָ אֵלֶּה וַ</w:t>
      </w:r>
      <w:r>
        <w:rPr>
          <w:rFonts w:hint="cs"/>
          <w:rtl/>
        </w:rPr>
        <w:t>ה</w:t>
      </w:r>
      <w:r>
        <w:rPr>
          <w:rtl/>
        </w:rPr>
        <w:t>'</w:t>
      </w:r>
      <w:r w:rsidRPr="00EF6F8F">
        <w:rPr>
          <w:rFonts w:hint="cs"/>
          <w:rtl/>
        </w:rPr>
        <w:t xml:space="preserve"> דִּבֶּר עָלֶיךָ </w:t>
      </w:r>
      <w:r w:rsidRPr="00EF6F8F">
        <w:rPr>
          <w:rFonts w:hint="cs"/>
          <w:b/>
          <w:bCs/>
          <w:rtl/>
        </w:rPr>
        <w:t>רָעָה</w:t>
      </w:r>
      <w:r w:rsidR="000F57F5" w:rsidRPr="000F57F5">
        <w:rPr>
          <w:rFonts w:hint="cs"/>
          <w:rtl/>
        </w:rPr>
        <w:t>.</w:t>
      </w:r>
    </w:p>
    <w:p w:rsidR="00227C21" w:rsidRDefault="00C21C6D" w:rsidP="009C4CA5">
      <w:pPr>
        <w:rPr>
          <w:rtl/>
        </w:rPr>
      </w:pPr>
      <w:r>
        <w:rPr>
          <w:rFonts w:hint="cs"/>
          <w:rtl/>
        </w:rPr>
        <w:t>כ</w:t>
      </w:r>
      <w:r w:rsidR="00227C21">
        <w:rPr>
          <w:rFonts w:hint="cs"/>
          <w:rtl/>
        </w:rPr>
        <w:t xml:space="preserve">ל שבע ההופעות של מילות צמד ההפכים הזה </w:t>
      </w:r>
      <w:r w:rsidR="009C4CA5">
        <w:rPr>
          <w:rFonts w:hint="cs"/>
          <w:rtl/>
        </w:rPr>
        <w:t>עוסקות ב</w:t>
      </w:r>
      <w:r w:rsidR="00227C21">
        <w:rPr>
          <w:rFonts w:hint="cs"/>
          <w:rtl/>
        </w:rPr>
        <w:t xml:space="preserve">נבואת מיכיהו: אף הופעה 3, </w:t>
      </w:r>
      <w:r w:rsidR="009C4CA5">
        <w:rPr>
          <w:rFonts w:hint="cs"/>
          <w:rtl/>
        </w:rPr>
        <w:t>המתייחסת ל</w:t>
      </w:r>
      <w:r w:rsidR="00227C21">
        <w:rPr>
          <w:rFonts w:hint="cs"/>
          <w:rtl/>
        </w:rPr>
        <w:t>נבואתם של ארבע מאות נביאי השקר, אינה משמשת בפי שלוחו של אחאב אלא כדוגמה ומופת ל</w:t>
      </w:r>
      <w:r w:rsidR="000F57F5">
        <w:rPr>
          <w:rFonts w:hint="cs"/>
          <w:rtl/>
        </w:rPr>
        <w:t>נבואה ש</w:t>
      </w:r>
      <w:r w:rsidR="00227C21">
        <w:rPr>
          <w:rFonts w:hint="cs"/>
          <w:rtl/>
        </w:rPr>
        <w:t>מיכיהו מתבקש ל</w:t>
      </w:r>
      <w:r w:rsidR="000F57F5">
        <w:rPr>
          <w:rFonts w:hint="cs"/>
          <w:rtl/>
        </w:rPr>
        <w:t>שאת</w:t>
      </w:r>
      <w:r w:rsidR="009C4CA5">
        <w:rPr>
          <w:rFonts w:hint="cs"/>
          <w:rtl/>
        </w:rPr>
        <w:t xml:space="preserve">; </w:t>
      </w:r>
      <w:r w:rsidR="00227C21">
        <w:rPr>
          <w:rFonts w:hint="cs"/>
          <w:rtl/>
        </w:rPr>
        <w:t>הופעה 7 היא מגוף נבואתו הגדולה של מיכיהו.</w:t>
      </w:r>
    </w:p>
    <w:p w:rsidR="00227C21" w:rsidRDefault="00227C21" w:rsidP="000F57F5">
      <w:pPr>
        <w:rPr>
          <w:rtl/>
        </w:rPr>
      </w:pPr>
      <w:r>
        <w:rPr>
          <w:rFonts w:hint="cs"/>
          <w:rtl/>
        </w:rPr>
        <w:t>'צמד ההפכים המנחה' ה</w:t>
      </w:r>
      <w:r w:rsidR="000F57F5">
        <w:rPr>
          <w:rFonts w:hint="cs"/>
          <w:rtl/>
        </w:rPr>
        <w:t>זה סובב סביב</w:t>
      </w:r>
      <w:r>
        <w:rPr>
          <w:rFonts w:hint="cs"/>
          <w:rtl/>
        </w:rPr>
        <w:t xml:space="preserve"> ספק </w:t>
      </w:r>
      <w:r w:rsidR="000F57F5">
        <w:rPr>
          <w:rFonts w:hint="cs"/>
          <w:rtl/>
        </w:rPr>
        <w:t xml:space="preserve">אחד </w:t>
      </w:r>
      <w:r>
        <w:rPr>
          <w:rFonts w:hint="cs"/>
          <w:rtl/>
        </w:rPr>
        <w:t xml:space="preserve">והתרתו: </w:t>
      </w:r>
      <w:r w:rsidR="00016673">
        <w:rPr>
          <w:rFonts w:hint="cs"/>
          <w:rtl/>
        </w:rPr>
        <w:t xml:space="preserve">הספק הוא, </w:t>
      </w:r>
      <w:r>
        <w:rPr>
          <w:rFonts w:hint="cs"/>
          <w:rtl/>
        </w:rPr>
        <w:t xml:space="preserve">האם יתנבא מיכיהו 'טוב' או 'רע'? בארבע ההופעות הראשונות מעוצב הספק, ואילו בשלוש האחרונות </w:t>
      </w:r>
      <w:r>
        <w:rPr>
          <w:rtl/>
        </w:rPr>
        <w:t>–</w:t>
      </w:r>
      <w:r>
        <w:rPr>
          <w:rFonts w:hint="cs"/>
          <w:rtl/>
        </w:rPr>
        <w:t xml:space="preserve"> התרתו.</w:t>
      </w:r>
      <w:r>
        <w:rPr>
          <w:rStyle w:val="FootnoteReference"/>
          <w:rtl/>
        </w:rPr>
        <w:footnoteReference w:id="22"/>
      </w:r>
    </w:p>
    <w:p w:rsidR="00227C21" w:rsidRDefault="00227C21" w:rsidP="004D7AFD">
      <w:pPr>
        <w:rPr>
          <w:rtl/>
        </w:rPr>
      </w:pPr>
      <w:r>
        <w:rPr>
          <w:rFonts w:hint="cs"/>
          <w:rtl/>
        </w:rPr>
        <w:t xml:space="preserve">ובכן, מה מוגדר כאן כ'טוב' ומה </w:t>
      </w:r>
      <w:r w:rsidR="00016673">
        <w:rPr>
          <w:rFonts w:hint="cs"/>
          <w:rtl/>
        </w:rPr>
        <w:t xml:space="preserve">מוגדר </w:t>
      </w:r>
      <w:r>
        <w:rPr>
          <w:rFonts w:hint="cs"/>
          <w:rtl/>
        </w:rPr>
        <w:t xml:space="preserve">כ'רע'? כל </w:t>
      </w:r>
      <w:r w:rsidR="000F57F5">
        <w:rPr>
          <w:rFonts w:hint="cs"/>
          <w:rtl/>
        </w:rPr>
        <w:t>שש ה</w:t>
      </w:r>
      <w:r>
        <w:rPr>
          <w:rFonts w:hint="cs"/>
          <w:rtl/>
        </w:rPr>
        <w:t>הופעות</w:t>
      </w:r>
      <w:r w:rsidR="000F57F5">
        <w:rPr>
          <w:rFonts w:hint="cs"/>
          <w:rtl/>
        </w:rPr>
        <w:t xml:space="preserve"> הראשונות של</w:t>
      </w:r>
      <w:r>
        <w:rPr>
          <w:rFonts w:hint="cs"/>
          <w:rtl/>
        </w:rPr>
        <w:t xml:space="preserve"> </w:t>
      </w:r>
      <w:r w:rsidR="000F57F5">
        <w:rPr>
          <w:rFonts w:hint="cs"/>
          <w:rtl/>
        </w:rPr>
        <w:t>צמד המילים</w:t>
      </w:r>
      <w:r>
        <w:rPr>
          <w:rFonts w:hint="cs"/>
          <w:rtl/>
        </w:rPr>
        <w:t xml:space="preserve"> ברשימה </w:t>
      </w:r>
      <w:r w:rsidR="009C4CA5">
        <w:rPr>
          <w:rFonts w:hint="cs"/>
          <w:rtl/>
        </w:rPr>
        <w:t>מבטאות הבחנה ברורה: ארבע מאות הנביאים המעודדים את המלך לעלות לרמות גלעד ולכובשה הם דוברים "</w:t>
      </w:r>
      <w:r w:rsidR="009C4CA5" w:rsidRPr="007741EC">
        <w:rPr>
          <w:rFonts w:hint="cs"/>
          <w:rtl/>
        </w:rPr>
        <w:t>טוֹב אֶל הַמֶּלֶךְ</w:t>
      </w:r>
      <w:r w:rsidR="009C4CA5">
        <w:rPr>
          <w:rFonts w:hint="cs"/>
          <w:rtl/>
        </w:rPr>
        <w:t xml:space="preserve">", ואילו מיכיהו בן ימלה, המגלה לאחאב את התוצאות הרות האסון של מעשה זה מבעוד מועד </w:t>
      </w:r>
      <w:r w:rsidR="009C4CA5">
        <w:rPr>
          <w:rtl/>
        </w:rPr>
        <w:t>–</w:t>
      </w:r>
      <w:r w:rsidR="009C4CA5">
        <w:rPr>
          <w:rFonts w:hint="cs"/>
          <w:rtl/>
        </w:rPr>
        <w:t xml:space="preserve"> הוא המתנבא 'רע'. הבחנה זו היא</w:t>
      </w:r>
      <w:r>
        <w:rPr>
          <w:rFonts w:hint="cs"/>
          <w:rtl/>
        </w:rPr>
        <w:t xml:space="preserve"> על פי דבריהם ועל פי תפיסתם של אחאב ו</w:t>
      </w:r>
      <w:r w:rsidR="00016673">
        <w:rPr>
          <w:rFonts w:hint="cs"/>
          <w:rtl/>
        </w:rPr>
        <w:t xml:space="preserve">של </w:t>
      </w:r>
      <w:r>
        <w:rPr>
          <w:rFonts w:hint="cs"/>
          <w:rtl/>
        </w:rPr>
        <w:t>שלוחו</w:t>
      </w:r>
      <w:r w:rsidR="009C4CA5">
        <w:rPr>
          <w:rFonts w:hint="cs"/>
          <w:rtl/>
        </w:rPr>
        <w:t>.</w:t>
      </w:r>
      <w:r w:rsidR="000F57F5">
        <w:rPr>
          <w:rFonts w:hint="cs"/>
          <w:rtl/>
        </w:rPr>
        <w:t xml:space="preserve"> </w:t>
      </w:r>
      <w:r>
        <w:rPr>
          <w:rFonts w:hint="cs"/>
          <w:rtl/>
        </w:rPr>
        <w:t xml:space="preserve"> </w:t>
      </w:r>
    </w:p>
    <w:p w:rsidR="00227C21" w:rsidRDefault="00227C21" w:rsidP="00016673">
      <w:pPr>
        <w:rPr>
          <w:rtl/>
        </w:rPr>
      </w:pPr>
      <w:r>
        <w:rPr>
          <w:rFonts w:hint="cs"/>
          <w:rtl/>
        </w:rPr>
        <w:t>בפסוק ח ("</w:t>
      </w:r>
      <w:r w:rsidRPr="00667386">
        <w:rPr>
          <w:rFonts w:hint="cs"/>
          <w:rtl/>
        </w:rPr>
        <w:t>וַאֲנִי שְׂנֵאתִיו</w:t>
      </w:r>
      <w:r>
        <w:rPr>
          <w:rFonts w:hint="cs"/>
          <w:rtl/>
        </w:rPr>
        <w:t xml:space="preserve">...") </w:t>
      </w:r>
      <w:r w:rsidR="00016673">
        <w:rPr>
          <w:rFonts w:hint="cs"/>
          <w:rtl/>
        </w:rPr>
        <w:t>רומז</w:t>
      </w:r>
      <w:r w:rsidR="000F57F5">
        <w:rPr>
          <w:rFonts w:hint="cs"/>
          <w:rtl/>
        </w:rPr>
        <w:t xml:space="preserve"> אחאב </w:t>
      </w:r>
      <w:r w:rsidR="00016673">
        <w:rPr>
          <w:rFonts w:hint="cs"/>
          <w:rtl/>
        </w:rPr>
        <w:t xml:space="preserve">לקיומה של </w:t>
      </w:r>
      <w:r>
        <w:rPr>
          <w:rFonts w:hint="cs"/>
          <w:rtl/>
        </w:rPr>
        <w:t xml:space="preserve">טינה אישית </w:t>
      </w:r>
      <w:r w:rsidR="000F57F5">
        <w:rPr>
          <w:rFonts w:hint="cs"/>
          <w:rtl/>
        </w:rPr>
        <w:t>ש</w:t>
      </w:r>
      <w:r w:rsidR="00016673">
        <w:rPr>
          <w:rFonts w:hint="cs"/>
          <w:rtl/>
        </w:rPr>
        <w:t xml:space="preserve">ל </w:t>
      </w:r>
      <w:r w:rsidR="000F57F5">
        <w:rPr>
          <w:rFonts w:hint="cs"/>
          <w:rtl/>
        </w:rPr>
        <w:t xml:space="preserve">מיכיהו </w:t>
      </w:r>
      <w:r>
        <w:rPr>
          <w:rFonts w:hint="cs"/>
          <w:rtl/>
        </w:rPr>
        <w:t xml:space="preserve">כלפיו, והיא שתגרום לו, לדעת אחאב, להתנבא כנגדו 'רע' ולא 'טוב' (1–2). אף שלוחו של אחאב סבור כאדונו, שהנבואה בפי הנביא היא ביטוי להשקפתו הפרטית, ועל כן הוא מנסה למנוע את התגשמות חששו של אחאב: הוא </w:t>
      </w:r>
      <w:r w:rsidR="000F57F5">
        <w:rPr>
          <w:rFonts w:hint="cs"/>
          <w:rtl/>
        </w:rPr>
        <w:t>מנסה לרצות</w:t>
      </w:r>
      <w:r>
        <w:rPr>
          <w:rFonts w:hint="cs"/>
          <w:rtl/>
        </w:rPr>
        <w:t xml:space="preserve"> את מיכיהו להצטרף אל הנביאים דוברי ה'טוב' אל המלך (3–4).</w:t>
      </w:r>
    </w:p>
    <w:p w:rsidR="00016673" w:rsidRDefault="00016673" w:rsidP="004D7AFD">
      <w:pPr>
        <w:rPr>
          <w:rtl/>
        </w:rPr>
      </w:pPr>
    </w:p>
    <w:p w:rsidR="00227C21" w:rsidRDefault="00227C21" w:rsidP="004D7AFD">
      <w:pPr>
        <w:rPr>
          <w:rtl/>
        </w:rPr>
      </w:pPr>
      <w:r>
        <w:rPr>
          <w:rFonts w:hint="cs"/>
          <w:rtl/>
        </w:rPr>
        <w:t>נבואתו הראשונה של מ</w:t>
      </w:r>
      <w:r w:rsidR="000F57F5">
        <w:rPr>
          <w:rFonts w:hint="cs"/>
          <w:rtl/>
        </w:rPr>
        <w:t>י</w:t>
      </w:r>
      <w:r>
        <w:rPr>
          <w:rFonts w:hint="cs"/>
          <w:rtl/>
        </w:rPr>
        <w:t>כיהו (פסוק יז) "</w:t>
      </w:r>
      <w:r w:rsidRPr="00D977F8">
        <w:rPr>
          <w:rFonts w:hint="cs"/>
          <w:rtl/>
        </w:rPr>
        <w:t>רָאִיתִי אֶת כָּל יִשְׂרָאֵל</w:t>
      </w:r>
      <w:r>
        <w:rPr>
          <w:rFonts w:hint="cs"/>
          <w:rtl/>
        </w:rPr>
        <w:t>..." היא נבואה טובה לאחאב במובן האמתי (אף שהמילים 'טוב' או 'רע' אינן מופיעות בה)</w:t>
      </w:r>
      <w:r w:rsidR="000F57F5">
        <w:rPr>
          <w:rFonts w:hint="cs"/>
          <w:rtl/>
        </w:rPr>
        <w:t>:</w:t>
      </w:r>
      <w:r>
        <w:rPr>
          <w:rFonts w:hint="cs"/>
          <w:rtl/>
        </w:rPr>
        <w:t xml:space="preserve"> </w:t>
      </w:r>
      <w:r w:rsidR="000F57F5">
        <w:rPr>
          <w:rFonts w:hint="cs"/>
          <w:rtl/>
        </w:rPr>
        <w:t>עיקר כוונתה לגלות לאחאב</w:t>
      </w:r>
      <w:r>
        <w:rPr>
          <w:rFonts w:hint="cs"/>
          <w:rtl/>
        </w:rPr>
        <w:t xml:space="preserve"> (ברמז) את העתיד הרע </w:t>
      </w:r>
      <w:r w:rsidR="000F57F5">
        <w:rPr>
          <w:rFonts w:hint="cs"/>
          <w:rtl/>
        </w:rPr>
        <w:t>הצפון לו,</w:t>
      </w:r>
      <w:r>
        <w:rPr>
          <w:rFonts w:hint="cs"/>
          <w:rtl/>
        </w:rPr>
        <w:t xml:space="preserve"> ובכך היא מאפשרת ל</w:t>
      </w:r>
      <w:r w:rsidR="000F57F5">
        <w:rPr>
          <w:rFonts w:hint="cs"/>
          <w:rtl/>
        </w:rPr>
        <w:t>אחאב להימנע ממנו</w:t>
      </w:r>
      <w:r>
        <w:rPr>
          <w:rFonts w:hint="cs"/>
          <w:rtl/>
        </w:rPr>
        <w:t xml:space="preserve">. לא רק מחמת כוונה זו היא נבואה טובה, אלא אף בעיצובה הסגנוני והתוכני היא מתחשבת בכבודו וברגישותו של אחאב (כפי שביארנו בעיון ט), </w:t>
      </w:r>
      <w:r w:rsidR="000F57F5">
        <w:rPr>
          <w:rFonts w:hint="cs"/>
          <w:rtl/>
        </w:rPr>
        <w:t>ונאמרת באופן שמכבד אותו.</w:t>
      </w:r>
      <w:r>
        <w:rPr>
          <w:rFonts w:hint="cs"/>
          <w:rtl/>
        </w:rPr>
        <w:t xml:space="preserve"> </w:t>
      </w:r>
    </w:p>
    <w:p w:rsidR="00227C21" w:rsidRDefault="00227C21" w:rsidP="000F57F5">
      <w:pPr>
        <w:rPr>
          <w:rtl/>
        </w:rPr>
      </w:pPr>
      <w:r>
        <w:rPr>
          <w:rFonts w:hint="cs"/>
          <w:rtl/>
        </w:rPr>
        <w:t xml:space="preserve">אולם מכיוון שנבואה זו </w:t>
      </w:r>
      <w:r w:rsidR="000F57F5">
        <w:rPr>
          <w:rFonts w:hint="cs"/>
          <w:rtl/>
        </w:rPr>
        <w:t>מ</w:t>
      </w:r>
      <w:r>
        <w:rPr>
          <w:rFonts w:hint="cs"/>
          <w:rtl/>
        </w:rPr>
        <w:t>תנגד</w:t>
      </w:r>
      <w:r w:rsidR="000F57F5">
        <w:rPr>
          <w:rFonts w:hint="cs"/>
          <w:rtl/>
        </w:rPr>
        <w:t>ת</w:t>
      </w:r>
      <w:r>
        <w:rPr>
          <w:rFonts w:hint="cs"/>
          <w:rtl/>
        </w:rPr>
        <w:t xml:space="preserve"> לתכניתו של אחאב לצאת למלחמה, ומכיוון שהיא רומזת למותו של אחאב </w:t>
      </w:r>
      <w:r>
        <w:rPr>
          <w:rFonts w:hint="cs"/>
          <w:b/>
          <w:bCs/>
          <w:rtl/>
        </w:rPr>
        <w:t>אם</w:t>
      </w:r>
      <w:r>
        <w:rPr>
          <w:rFonts w:hint="cs"/>
          <w:rtl/>
        </w:rPr>
        <w:t xml:space="preserve"> יצא למלחמה זו, מתפרץ הלה בהתמרמרות: "</w:t>
      </w:r>
      <w:r w:rsidRPr="00EE2260">
        <w:rPr>
          <w:rFonts w:hint="cs"/>
          <w:rtl/>
        </w:rPr>
        <w:t xml:space="preserve">הֲלוֹא אָמַרְתִּי אֵלֶיךָ </w:t>
      </w:r>
      <w:r w:rsidRPr="00FA1F38">
        <w:rPr>
          <w:rFonts w:hint="cs"/>
          <w:b/>
          <w:bCs/>
          <w:rtl/>
        </w:rPr>
        <w:t>לוֹא</w:t>
      </w:r>
      <w:r w:rsidRPr="00EE2260">
        <w:rPr>
          <w:rFonts w:hint="cs"/>
          <w:rtl/>
        </w:rPr>
        <w:t xml:space="preserve"> יִתְנַבֵּא עָלַי </w:t>
      </w:r>
      <w:r w:rsidRPr="00FA1F38">
        <w:rPr>
          <w:rFonts w:hint="cs"/>
          <w:b/>
          <w:bCs/>
          <w:rtl/>
        </w:rPr>
        <w:t>טוֹב</w:t>
      </w:r>
      <w:r w:rsidRPr="00EE2260">
        <w:rPr>
          <w:rFonts w:hint="cs"/>
          <w:rtl/>
        </w:rPr>
        <w:t xml:space="preserve"> כִּי אִם </w:t>
      </w:r>
      <w:r w:rsidRPr="004D7AFD">
        <w:rPr>
          <w:rFonts w:hint="cs"/>
          <w:b/>
          <w:bCs/>
          <w:rtl/>
        </w:rPr>
        <w:t>רָע</w:t>
      </w:r>
      <w:r>
        <w:rPr>
          <w:rFonts w:hint="cs"/>
          <w:rtl/>
        </w:rPr>
        <w:t>" (5–6).</w:t>
      </w:r>
    </w:p>
    <w:p w:rsidR="00227C21" w:rsidRDefault="00227C21" w:rsidP="004D7AFD">
      <w:pPr>
        <w:rPr>
          <w:rtl/>
        </w:rPr>
      </w:pPr>
      <w:r>
        <w:rPr>
          <w:rFonts w:hint="cs"/>
          <w:rtl/>
        </w:rPr>
        <w:t xml:space="preserve">בשלב זה מתבהר </w:t>
      </w:r>
      <w:r w:rsidR="004D7AFD">
        <w:rPr>
          <w:rFonts w:hint="cs"/>
          <w:rtl/>
        </w:rPr>
        <w:t xml:space="preserve">כי </w:t>
      </w:r>
      <w:r>
        <w:rPr>
          <w:rFonts w:hint="cs"/>
          <w:rtl/>
        </w:rPr>
        <w:t>אצל אחאב</w:t>
      </w:r>
      <w:r w:rsidR="004D7AFD" w:rsidRPr="004D7AFD">
        <w:rPr>
          <w:rFonts w:hint="cs"/>
          <w:rtl/>
        </w:rPr>
        <w:t xml:space="preserve"> </w:t>
      </w:r>
      <w:r w:rsidR="004D7AFD">
        <w:rPr>
          <w:rFonts w:hint="cs"/>
          <w:rtl/>
        </w:rPr>
        <w:t>התחולל היפוך יוצרות בין טוב לרע</w:t>
      </w:r>
      <w:r>
        <w:rPr>
          <w:rFonts w:hint="cs"/>
          <w:rtl/>
        </w:rPr>
        <w:t xml:space="preserve">: נבואה שכל מטרתה </w:t>
      </w:r>
      <w:r w:rsidR="004D7AFD">
        <w:rPr>
          <w:rFonts w:hint="cs"/>
          <w:rtl/>
        </w:rPr>
        <w:t>להצילו ו</w:t>
      </w:r>
      <w:r>
        <w:rPr>
          <w:rFonts w:hint="cs"/>
          <w:rtl/>
        </w:rPr>
        <w:t>להיטיב ע</w:t>
      </w:r>
      <w:r w:rsidR="000F57F5">
        <w:rPr>
          <w:rFonts w:hint="cs"/>
          <w:rtl/>
        </w:rPr>
        <w:t>ִ</w:t>
      </w:r>
      <w:r>
        <w:rPr>
          <w:rFonts w:hint="cs"/>
          <w:rtl/>
        </w:rPr>
        <w:t>מו (ועם ישראל) מוגדרת על ידו כ'רע' ו'לא טוב'.</w:t>
      </w:r>
    </w:p>
    <w:p w:rsidR="00227C21" w:rsidRDefault="00227C21" w:rsidP="00FA1F38">
      <w:pPr>
        <w:rPr>
          <w:rtl/>
        </w:rPr>
      </w:pPr>
      <w:r>
        <w:rPr>
          <w:rFonts w:hint="cs"/>
          <w:rtl/>
        </w:rPr>
        <w:t xml:space="preserve">נאומו </w:t>
      </w:r>
      <w:r w:rsidR="000F57F5">
        <w:rPr>
          <w:rFonts w:hint="cs"/>
          <w:rtl/>
        </w:rPr>
        <w:t xml:space="preserve">השני </w:t>
      </w:r>
      <w:r>
        <w:rPr>
          <w:rFonts w:hint="cs"/>
          <w:rtl/>
        </w:rPr>
        <w:t>של מיכיהו, הבא בתגובה לדברי אחאב הללו (</w:t>
      </w:r>
      <w:r w:rsidR="000F57F5">
        <w:rPr>
          <w:rFonts w:hint="cs"/>
          <w:rtl/>
        </w:rPr>
        <w:t>פס' יט–כג:</w:t>
      </w:r>
      <w:r w:rsidR="000F57F5" w:rsidRPr="00D12C9C">
        <w:rPr>
          <w:rFonts w:hint="cs"/>
          <w:b/>
          <w:bCs/>
          <w:rtl/>
        </w:rPr>
        <w:t xml:space="preserve"> </w:t>
      </w:r>
      <w:r w:rsidR="000F57F5">
        <w:rPr>
          <w:rFonts w:hint="cs"/>
          <w:b/>
          <w:bCs/>
          <w:rtl/>
        </w:rPr>
        <w:t>"</w:t>
      </w:r>
      <w:r w:rsidRPr="00D12C9C">
        <w:rPr>
          <w:rFonts w:hint="cs"/>
          <w:b/>
          <w:bCs/>
          <w:rtl/>
        </w:rPr>
        <w:t>לָכֵן</w:t>
      </w:r>
      <w:r w:rsidRPr="00D12C9C">
        <w:rPr>
          <w:rFonts w:hint="cs"/>
          <w:rtl/>
        </w:rPr>
        <w:t xml:space="preserve"> שְׁמַע דְּבַר </w:t>
      </w:r>
      <w:r>
        <w:rPr>
          <w:rFonts w:hint="cs"/>
          <w:rtl/>
        </w:rPr>
        <w:t>ה</w:t>
      </w:r>
      <w:r>
        <w:rPr>
          <w:rtl/>
        </w:rPr>
        <w:t>'</w:t>
      </w:r>
      <w:r w:rsidR="00FA1F38">
        <w:rPr>
          <w:rFonts w:hint="cs"/>
          <w:rtl/>
        </w:rPr>
        <w:t>...") מ</w:t>
      </w:r>
      <w:r>
        <w:rPr>
          <w:rFonts w:hint="cs"/>
          <w:rtl/>
        </w:rPr>
        <w:t xml:space="preserve">כוון </w:t>
      </w:r>
      <w:r w:rsidR="004D7AFD">
        <w:rPr>
          <w:rFonts w:hint="cs"/>
          <w:rtl/>
        </w:rPr>
        <w:t>להבהיר לאחאב שהוא מבלבל בין טוב לרע ו</w:t>
      </w:r>
      <w:r>
        <w:rPr>
          <w:rFonts w:hint="cs"/>
          <w:rtl/>
        </w:rPr>
        <w:t xml:space="preserve">להעמידו על האמת: הנביאים המנבאים פה אחד אל המלך </w:t>
      </w:r>
      <w:r>
        <w:rPr>
          <w:rtl/>
        </w:rPr>
        <w:t>–</w:t>
      </w:r>
      <w:r>
        <w:rPr>
          <w:rFonts w:hint="cs"/>
          <w:rtl/>
        </w:rPr>
        <w:t xml:space="preserve"> </w:t>
      </w:r>
      <w:r w:rsidR="000F57F5">
        <w:rPr>
          <w:rFonts w:hint="cs"/>
          <w:rtl/>
        </w:rPr>
        <w:t xml:space="preserve">אינם מנבאים 'טוב' על המלך, כי </w:t>
      </w:r>
      <w:r>
        <w:rPr>
          <w:rFonts w:hint="cs"/>
          <w:rtl/>
        </w:rPr>
        <w:t>רוח השקר מדברת מתוך גרונם, והם משמשים מכשיר ביד ה' לפתות את אחאב על מנת שיפול ברמות גלעד. אל לו לאחאב אפוא להתפתות ל'טוב' השקרי הזה, כי באמת "ה</w:t>
      </w:r>
      <w:r>
        <w:rPr>
          <w:rtl/>
        </w:rPr>
        <w:t>'</w:t>
      </w:r>
      <w:r w:rsidRPr="00655BF6">
        <w:rPr>
          <w:rFonts w:hint="cs"/>
          <w:rtl/>
        </w:rPr>
        <w:t xml:space="preserve"> דִּבֶּר עָלֶיךָ </w:t>
      </w:r>
      <w:r w:rsidRPr="00655BF6">
        <w:rPr>
          <w:rFonts w:hint="cs"/>
          <w:b/>
          <w:bCs/>
          <w:rtl/>
        </w:rPr>
        <w:t>רָעָה</w:t>
      </w:r>
      <w:r>
        <w:rPr>
          <w:rFonts w:hint="cs"/>
          <w:rtl/>
        </w:rPr>
        <w:t>" (</w:t>
      </w:r>
      <w:r w:rsidR="004D7AFD">
        <w:rPr>
          <w:rFonts w:hint="cs"/>
          <w:rtl/>
        </w:rPr>
        <w:t>הופעה 7</w:t>
      </w:r>
      <w:r>
        <w:rPr>
          <w:rFonts w:hint="cs"/>
          <w:rtl/>
        </w:rPr>
        <w:t xml:space="preserve">), </w:t>
      </w:r>
      <w:r w:rsidR="000F57F5">
        <w:rPr>
          <w:rFonts w:hint="cs"/>
          <w:rtl/>
        </w:rPr>
        <w:t>ו</w:t>
      </w:r>
      <w:r>
        <w:rPr>
          <w:rFonts w:hint="cs"/>
          <w:rtl/>
        </w:rPr>
        <w:t>רעה זו מתחפשת ל'טוב' מחניף ומפתה בדברי 'נביאיך אלה'.</w:t>
      </w:r>
    </w:p>
    <w:p w:rsidR="004D7AFD" w:rsidRDefault="00227C21" w:rsidP="00EB16AF">
      <w:pPr>
        <w:rPr>
          <w:rtl/>
        </w:rPr>
      </w:pPr>
      <w:r>
        <w:rPr>
          <w:rFonts w:hint="cs"/>
          <w:rtl/>
        </w:rPr>
        <w:t xml:space="preserve">ההופעה השביעית הזאת </w:t>
      </w:r>
      <w:r w:rsidR="00FA1F38">
        <w:rPr>
          <w:rFonts w:hint="cs"/>
          <w:rtl/>
        </w:rPr>
        <w:t>מהווה שיא בהופעת 'צמד ההפכים המנחה'</w:t>
      </w:r>
      <w:r w:rsidR="004D7AFD">
        <w:rPr>
          <w:rFonts w:hint="cs"/>
          <w:rtl/>
        </w:rPr>
        <w:t xml:space="preserve">: היא </w:t>
      </w:r>
      <w:r w:rsidR="000F57F5">
        <w:rPr>
          <w:rFonts w:hint="cs"/>
          <w:rtl/>
        </w:rPr>
        <w:t xml:space="preserve">מחוללת </w:t>
      </w:r>
      <w:r w:rsidR="00FA1F38">
        <w:rPr>
          <w:rFonts w:hint="cs"/>
          <w:rtl/>
        </w:rPr>
        <w:t xml:space="preserve">בו </w:t>
      </w:r>
      <w:r>
        <w:rPr>
          <w:rFonts w:hint="cs"/>
          <w:rtl/>
        </w:rPr>
        <w:t>תפנית</w:t>
      </w:r>
      <w:r w:rsidR="00FA1F38">
        <w:rPr>
          <w:rFonts w:hint="cs"/>
          <w:rtl/>
        </w:rPr>
        <w:t>.</w:t>
      </w:r>
      <w:r>
        <w:rPr>
          <w:rStyle w:val="FootnoteReference"/>
          <w:rtl/>
        </w:rPr>
        <w:footnoteReference w:id="23"/>
      </w:r>
      <w:r>
        <w:rPr>
          <w:rFonts w:hint="cs"/>
          <w:rtl/>
        </w:rPr>
        <w:t xml:space="preserve"> </w:t>
      </w:r>
      <w:r w:rsidR="004D7AFD">
        <w:rPr>
          <w:rFonts w:hint="cs"/>
          <w:rtl/>
        </w:rPr>
        <w:t>ה</w:t>
      </w:r>
      <w:r w:rsidR="000F57F5">
        <w:rPr>
          <w:rFonts w:hint="cs"/>
          <w:rtl/>
        </w:rPr>
        <w:t>תפנית</w:t>
      </w:r>
      <w:r>
        <w:rPr>
          <w:rFonts w:hint="cs"/>
          <w:rtl/>
        </w:rPr>
        <w:t xml:space="preserve"> מתבטא</w:t>
      </w:r>
      <w:r w:rsidR="000F57F5">
        <w:rPr>
          <w:rFonts w:hint="cs"/>
          <w:rtl/>
        </w:rPr>
        <w:t>ת</w:t>
      </w:r>
      <w:r>
        <w:rPr>
          <w:rFonts w:hint="cs"/>
          <w:rtl/>
        </w:rPr>
        <w:t xml:space="preserve"> </w:t>
      </w:r>
      <w:r w:rsidR="00EB16AF">
        <w:rPr>
          <w:rFonts w:hint="cs"/>
          <w:rtl/>
        </w:rPr>
        <w:t>ראש ל</w:t>
      </w:r>
      <w:r>
        <w:rPr>
          <w:rFonts w:hint="cs"/>
          <w:rtl/>
        </w:rPr>
        <w:t>כל ב</w:t>
      </w:r>
      <w:r w:rsidR="000F57F5">
        <w:rPr>
          <w:rFonts w:hint="cs"/>
          <w:rtl/>
        </w:rPr>
        <w:t>כך ש</w:t>
      </w:r>
      <w:r>
        <w:rPr>
          <w:rFonts w:hint="cs"/>
          <w:rtl/>
        </w:rPr>
        <w:t xml:space="preserve">'המילה המנחה' </w:t>
      </w:r>
      <w:r w:rsidR="000F57F5">
        <w:rPr>
          <w:rFonts w:hint="cs"/>
          <w:rtl/>
        </w:rPr>
        <w:t xml:space="preserve">מיוחסת הפעם </w:t>
      </w:r>
      <w:r>
        <w:rPr>
          <w:rFonts w:hint="cs"/>
          <w:rtl/>
        </w:rPr>
        <w:t>ל</w:t>
      </w:r>
      <w:r w:rsidR="000F57F5">
        <w:rPr>
          <w:rFonts w:hint="cs"/>
          <w:rtl/>
        </w:rPr>
        <w:t>דבר</w:t>
      </w:r>
      <w:r>
        <w:rPr>
          <w:rFonts w:hint="cs"/>
          <w:rtl/>
        </w:rPr>
        <w:t xml:space="preserve"> ה', בעוד שבכל שש ההופעות הקודמות התייחסו מילות הצמד ל</w:t>
      </w:r>
      <w:r w:rsidR="000F57F5">
        <w:rPr>
          <w:rFonts w:hint="cs"/>
          <w:rtl/>
        </w:rPr>
        <w:t xml:space="preserve">דברם של </w:t>
      </w:r>
      <w:r w:rsidR="004D7AFD">
        <w:rPr>
          <w:rFonts w:hint="cs"/>
          <w:rtl/>
        </w:rPr>
        <w:t>בני אדם</w:t>
      </w:r>
      <w:r w:rsidR="00EB16AF">
        <w:rPr>
          <w:rFonts w:hint="cs"/>
          <w:rtl/>
        </w:rPr>
        <w:t>. גם</w:t>
      </w:r>
      <w:r>
        <w:rPr>
          <w:rFonts w:hint="cs"/>
          <w:rtl/>
        </w:rPr>
        <w:t xml:space="preserve"> מבחינה סגנונית, מצטיינת המילה בהופעתה השביעית בצורתה המ</w:t>
      </w:r>
      <w:r w:rsidR="00EB16AF">
        <w:rPr>
          <w:rFonts w:hint="cs"/>
          <w:rtl/>
        </w:rPr>
        <w:t>ו</w:t>
      </w:r>
      <w:r>
        <w:rPr>
          <w:rFonts w:hint="cs"/>
          <w:rtl/>
        </w:rPr>
        <w:t xml:space="preserve">ארכת 'רעה' (ולא 'רע' כבפעמים הקודמות). </w:t>
      </w:r>
    </w:p>
    <w:p w:rsidR="000F57F5" w:rsidRDefault="00227C21" w:rsidP="004D7AFD">
      <w:pPr>
        <w:rPr>
          <w:rtl/>
        </w:rPr>
      </w:pPr>
      <w:r>
        <w:rPr>
          <w:rFonts w:hint="cs"/>
          <w:rtl/>
        </w:rPr>
        <w:t xml:space="preserve">מבחינת תוכנה, הופעה שביעית זו </w:t>
      </w:r>
      <w:r w:rsidR="004D7AFD">
        <w:rPr>
          <w:rFonts w:hint="cs"/>
          <w:rtl/>
        </w:rPr>
        <w:t>מנוגדת לכ</w:t>
      </w:r>
      <w:r>
        <w:rPr>
          <w:rFonts w:hint="cs"/>
          <w:rtl/>
        </w:rPr>
        <w:t xml:space="preserve">ל ההופעות שקדמו לה: </w:t>
      </w:r>
    </w:p>
    <w:p w:rsidR="00227C21" w:rsidRDefault="00EB16AF" w:rsidP="000F57F5">
      <w:pPr>
        <w:rPr>
          <w:rtl/>
        </w:rPr>
      </w:pPr>
      <w:r>
        <w:rPr>
          <w:rFonts w:hint="cs"/>
          <w:rtl/>
        </w:rPr>
        <w:lastRenderedPageBreak/>
        <w:t>ראשית</w:t>
      </w:r>
      <w:r w:rsidR="00227C21">
        <w:rPr>
          <w:rFonts w:hint="cs"/>
          <w:rtl/>
        </w:rPr>
        <w:t xml:space="preserve">, </w:t>
      </w:r>
      <w:r w:rsidR="000F57F5">
        <w:rPr>
          <w:rFonts w:hint="cs"/>
          <w:rtl/>
        </w:rPr>
        <w:t>ההופעה השביעית</w:t>
      </w:r>
      <w:r w:rsidR="00227C21">
        <w:rPr>
          <w:rFonts w:hint="cs"/>
          <w:rtl/>
        </w:rPr>
        <w:t xml:space="preserve"> מנוגדת להופעה 3 "</w:t>
      </w:r>
      <w:r w:rsidR="00227C21" w:rsidRPr="00F829B8">
        <w:rPr>
          <w:rFonts w:hint="cs"/>
          <w:rtl/>
        </w:rPr>
        <w:t xml:space="preserve">הִנֵּה נָא דִּבְרֵי הַנְּבִיאִים פֶּה אֶחָד </w:t>
      </w:r>
      <w:r w:rsidR="00227C21" w:rsidRPr="00F829B8">
        <w:rPr>
          <w:rFonts w:hint="cs"/>
          <w:b/>
          <w:bCs/>
          <w:rtl/>
        </w:rPr>
        <w:t xml:space="preserve">טוֹב </w:t>
      </w:r>
      <w:r w:rsidR="00227C21" w:rsidRPr="00F829B8">
        <w:rPr>
          <w:rFonts w:hint="cs"/>
          <w:rtl/>
        </w:rPr>
        <w:t>אֶל הַמֶּלֶךְ</w:t>
      </w:r>
      <w:r w:rsidR="00227C21">
        <w:rPr>
          <w:rFonts w:hint="cs"/>
          <w:rtl/>
        </w:rPr>
        <w:t>"</w:t>
      </w:r>
      <w:r w:rsidR="000F57F5">
        <w:rPr>
          <w:rFonts w:hint="cs"/>
          <w:rtl/>
        </w:rPr>
        <w:t>,</w:t>
      </w:r>
      <w:r w:rsidR="000F57F5" w:rsidRPr="000F57F5">
        <w:rPr>
          <w:rFonts w:hint="cs"/>
          <w:sz w:val="20"/>
          <w:szCs w:val="20"/>
          <w:rtl/>
        </w:rPr>
        <w:t xml:space="preserve"> </w:t>
      </w:r>
      <w:r w:rsidR="000F57F5" w:rsidRPr="000F57F5">
        <w:rPr>
          <w:rFonts w:hint="cs"/>
          <w:rtl/>
        </w:rPr>
        <w:t>וממילא היא מנוגדת גם ל</w:t>
      </w:r>
      <w:r w:rsidR="000F57F5">
        <w:rPr>
          <w:rFonts w:hint="cs"/>
          <w:rtl/>
        </w:rPr>
        <w:t>המשך הדברים בפי שליח אחאב, ל</w:t>
      </w:r>
      <w:r w:rsidR="000F57F5" w:rsidRPr="000F57F5">
        <w:rPr>
          <w:rFonts w:hint="cs"/>
          <w:rtl/>
        </w:rPr>
        <w:t xml:space="preserve">הופעה 4 "יְהִי נָא דְבָרְךָ כִּדְבַר אַחַד מֵהֶם וְדִבַּרְתָּ </w:t>
      </w:r>
      <w:r w:rsidR="000F57F5" w:rsidRPr="000F57F5">
        <w:rPr>
          <w:rFonts w:hint="cs"/>
          <w:b/>
          <w:bCs/>
          <w:rtl/>
        </w:rPr>
        <w:t>טּוֹב</w:t>
      </w:r>
      <w:r w:rsidR="000F57F5" w:rsidRPr="000F57F5">
        <w:rPr>
          <w:rFonts w:hint="cs"/>
          <w:rtl/>
        </w:rPr>
        <w:t>".</w:t>
      </w:r>
      <w:r w:rsidR="000F57F5">
        <w:rPr>
          <w:rFonts w:hint="cs"/>
          <w:rtl/>
        </w:rPr>
        <w:t xml:space="preserve"> </w:t>
      </w:r>
      <w:r w:rsidR="00227C21">
        <w:rPr>
          <w:rFonts w:hint="cs"/>
          <w:rtl/>
        </w:rPr>
        <w:t xml:space="preserve">על ה'טוב' הזה אומר מיכיהו כי </w:t>
      </w:r>
      <w:r w:rsidR="000F57F5">
        <w:rPr>
          <w:rFonts w:hint="cs"/>
          <w:rtl/>
        </w:rPr>
        <w:t xml:space="preserve">הוא רע. בפי </w:t>
      </w:r>
      <w:r w:rsidR="00227C21">
        <w:rPr>
          <w:rFonts w:hint="cs"/>
          <w:rtl/>
        </w:rPr>
        <w:t>נביאי</w:t>
      </w:r>
      <w:r w:rsidR="000F57F5">
        <w:rPr>
          <w:rFonts w:hint="cs"/>
          <w:rtl/>
        </w:rPr>
        <w:t>ם</w:t>
      </w:r>
      <w:r w:rsidR="00227C21">
        <w:rPr>
          <w:rFonts w:hint="cs"/>
          <w:rtl/>
        </w:rPr>
        <w:t xml:space="preserve"> אלה, </w:t>
      </w:r>
      <w:r w:rsidR="000F57F5">
        <w:rPr>
          <w:rFonts w:hint="cs"/>
          <w:rtl/>
        </w:rPr>
        <w:t xml:space="preserve">שרוח השקר יוצאת מפיהם, מכונה נבואתם 'טוב', אך </w:t>
      </w:r>
      <w:r w:rsidR="00227C21">
        <w:rPr>
          <w:rFonts w:hint="cs"/>
          <w:rtl/>
        </w:rPr>
        <w:t>האמת היא ש</w:t>
      </w:r>
      <w:r w:rsidR="000F57F5">
        <w:rPr>
          <w:rFonts w:hint="cs"/>
          <w:rtl/>
        </w:rPr>
        <w:t>נבואתם היא</w:t>
      </w:r>
      <w:r w:rsidR="00227C21">
        <w:rPr>
          <w:rFonts w:hint="cs"/>
          <w:rtl/>
        </w:rPr>
        <w:t xml:space="preserve"> 'רעה'</w:t>
      </w:r>
      <w:r w:rsidR="00AF5031">
        <w:rPr>
          <w:rFonts w:hint="cs"/>
          <w:rtl/>
        </w:rPr>
        <w:t>, והיא מביאה למימוש תכניתו של ה' להענשת אחאב</w:t>
      </w:r>
      <w:r w:rsidR="00227C21">
        <w:rPr>
          <w:rFonts w:hint="cs"/>
          <w:rtl/>
        </w:rPr>
        <w:t>. ניגוד זה קיים בלשונו של פסוק כג עצמו: "</w:t>
      </w:r>
      <w:r w:rsidR="00227C21" w:rsidRPr="00087B75">
        <w:rPr>
          <w:rFonts w:hint="cs"/>
          <w:rtl/>
        </w:rPr>
        <w:t>וְעַתָּה</w:t>
      </w:r>
      <w:r w:rsidR="00227C21">
        <w:rPr>
          <w:rFonts w:hint="cs"/>
          <w:rtl/>
        </w:rPr>
        <w:t>,</w:t>
      </w:r>
      <w:r w:rsidR="00227C21" w:rsidRPr="00087B75">
        <w:rPr>
          <w:rFonts w:hint="cs"/>
          <w:rtl/>
        </w:rPr>
        <w:t xml:space="preserve"> הִנֵּה נָתַן </w:t>
      </w:r>
      <w:r w:rsidR="00227C21">
        <w:rPr>
          <w:rFonts w:hint="cs"/>
          <w:rtl/>
        </w:rPr>
        <w:t>ה</w:t>
      </w:r>
      <w:r w:rsidR="00227C21">
        <w:rPr>
          <w:rtl/>
        </w:rPr>
        <w:t>'</w:t>
      </w:r>
      <w:r w:rsidR="00227C21" w:rsidRPr="00087B75">
        <w:rPr>
          <w:rFonts w:hint="cs"/>
          <w:rtl/>
        </w:rPr>
        <w:t xml:space="preserve"> רוּחַ שֶׁקֶר בְּפִי כָּל נְבִיאֶיךָ אֵלֶּה</w:t>
      </w:r>
      <w:r w:rsidR="00227C21">
        <w:rPr>
          <w:rFonts w:hint="cs"/>
          <w:rtl/>
        </w:rPr>
        <w:t>,</w:t>
      </w:r>
      <w:r w:rsidR="00227C21" w:rsidRPr="00087B75">
        <w:rPr>
          <w:rFonts w:hint="cs"/>
          <w:rtl/>
        </w:rPr>
        <w:t xml:space="preserve"> </w:t>
      </w:r>
      <w:r w:rsidR="00227C21" w:rsidRPr="00087B75">
        <w:rPr>
          <w:rFonts w:hint="cs"/>
          <w:b/>
          <w:bCs/>
          <w:rtl/>
        </w:rPr>
        <w:t>וַ</w:t>
      </w:r>
      <w:r w:rsidR="00227C21">
        <w:rPr>
          <w:rFonts w:hint="cs"/>
          <w:rtl/>
        </w:rPr>
        <w:t>ה</w:t>
      </w:r>
      <w:r w:rsidR="00227C21">
        <w:rPr>
          <w:rtl/>
        </w:rPr>
        <w:t>'</w:t>
      </w:r>
      <w:r w:rsidR="00227C21" w:rsidRPr="00087B75">
        <w:rPr>
          <w:rFonts w:hint="cs"/>
          <w:rtl/>
        </w:rPr>
        <w:t xml:space="preserve"> דִּבֶּר עָלֶיךָ רָעָה</w:t>
      </w:r>
      <w:r w:rsidR="00227C21">
        <w:rPr>
          <w:rFonts w:hint="cs"/>
          <w:rtl/>
        </w:rPr>
        <w:t xml:space="preserve">". וי"ו זו, הפותחת את המשפט השני בפסוק, וי"ו הניגוד היא: הנביאים הדוברים 'טוב' </w:t>
      </w:r>
      <w:r w:rsidR="00AF5031">
        <w:rPr>
          <w:rFonts w:hint="cs"/>
          <w:rtl/>
        </w:rPr>
        <w:t xml:space="preserve">כביכול </w:t>
      </w:r>
      <w:r w:rsidR="00227C21">
        <w:rPr>
          <w:rtl/>
        </w:rPr>
        <w:t>–</w:t>
      </w:r>
      <w:r w:rsidR="00227C21">
        <w:rPr>
          <w:rFonts w:hint="cs"/>
          <w:rtl/>
        </w:rPr>
        <w:t xml:space="preserve"> משקרים, ואילו האמת היא כי ה' דיבר עליך רעה.</w:t>
      </w:r>
      <w:r>
        <w:rPr>
          <w:rFonts w:hint="cs"/>
          <w:rtl/>
        </w:rPr>
        <w:t xml:space="preserve"> </w:t>
      </w:r>
    </w:p>
    <w:p w:rsidR="00EB16AF" w:rsidRDefault="00EB16AF" w:rsidP="00EB16AF">
      <w:pPr>
        <w:rPr>
          <w:rtl/>
        </w:rPr>
      </w:pPr>
      <w:r>
        <w:rPr>
          <w:rFonts w:hint="cs"/>
          <w:rtl/>
        </w:rPr>
        <w:t>שנית, ההופעה השביעית מהווה ניגוד לצמד ההופעות הכפולות 1–2 וְ-5–6 שבהם חוזר אחאב פעם אחר פעם על האשמתו כי מיכיהו "</w:t>
      </w:r>
      <w:r w:rsidRPr="006D3AAF">
        <w:rPr>
          <w:rFonts w:hint="cs"/>
          <w:rtl/>
        </w:rPr>
        <w:t>לֹא יִתְנַבֵּא עָלַי טוֹב כִּי אִם רָע</w:t>
      </w:r>
      <w:r>
        <w:rPr>
          <w:rFonts w:hint="cs"/>
          <w:rtl/>
        </w:rPr>
        <w:t xml:space="preserve">". מתברר כעת שלא מיכיהו הוא המדבר על אחאב 'רע', אלא </w:t>
      </w:r>
      <w:r w:rsidRPr="000F57F5">
        <w:rPr>
          <w:rFonts w:hint="cs"/>
          <w:b/>
          <w:bCs/>
          <w:rtl/>
        </w:rPr>
        <w:t>ה'</w:t>
      </w:r>
      <w:r>
        <w:rPr>
          <w:rFonts w:hint="cs"/>
          <w:rtl/>
        </w:rPr>
        <w:t xml:space="preserve"> הוא שדיבר על אחאב רעה, ומיכיהו אינו אלא זה שמודיע את דבר ה'.</w:t>
      </w:r>
      <w:r>
        <w:rPr>
          <w:rStyle w:val="FootnoteReference"/>
          <w:rtl/>
        </w:rPr>
        <w:footnoteReference w:id="24"/>
      </w:r>
    </w:p>
    <w:p w:rsidR="00227C21" w:rsidRDefault="00227C21" w:rsidP="004D7AFD">
      <w:pPr>
        <w:rPr>
          <w:rtl/>
        </w:rPr>
      </w:pPr>
      <w:r>
        <w:rPr>
          <w:rFonts w:hint="cs"/>
          <w:rtl/>
        </w:rPr>
        <w:t xml:space="preserve">ניגוד אחרון זה מסתיר ניגוד </w:t>
      </w:r>
      <w:r w:rsidR="00AF5031">
        <w:rPr>
          <w:rFonts w:hint="cs"/>
          <w:rtl/>
        </w:rPr>
        <w:t xml:space="preserve">נוסף </w:t>
      </w:r>
      <w:r w:rsidR="00AF5031">
        <w:rPr>
          <w:rtl/>
        </w:rPr>
        <w:t>–</w:t>
      </w:r>
      <w:r w:rsidR="00AF5031">
        <w:rPr>
          <w:rFonts w:hint="cs"/>
          <w:rtl/>
        </w:rPr>
        <w:t xml:space="preserve"> </w:t>
      </w:r>
      <w:r w:rsidR="004D7AFD">
        <w:rPr>
          <w:rFonts w:hint="cs"/>
          <w:rtl/>
        </w:rPr>
        <w:t xml:space="preserve">שהוא </w:t>
      </w:r>
      <w:r w:rsidR="00AF5031">
        <w:rPr>
          <w:rFonts w:hint="cs"/>
          <w:rtl/>
        </w:rPr>
        <w:t>תמונת ראי</w:t>
      </w:r>
      <w:r w:rsidR="004D7AFD">
        <w:rPr>
          <w:rFonts w:hint="cs"/>
          <w:rtl/>
        </w:rPr>
        <w:t xml:space="preserve"> שלו</w:t>
      </w:r>
      <w:r>
        <w:rPr>
          <w:rFonts w:hint="cs"/>
          <w:rtl/>
        </w:rPr>
        <w:t xml:space="preserve">: </w:t>
      </w:r>
      <w:r w:rsidR="004D7AFD">
        <w:rPr>
          <w:rFonts w:hint="cs"/>
          <w:rtl/>
        </w:rPr>
        <w:t xml:space="preserve">אם </w:t>
      </w:r>
      <w:r>
        <w:rPr>
          <w:rFonts w:hint="cs"/>
          <w:rtl/>
        </w:rPr>
        <w:t>"ה</w:t>
      </w:r>
      <w:r>
        <w:rPr>
          <w:rtl/>
        </w:rPr>
        <w:t>'</w:t>
      </w:r>
      <w:r w:rsidRPr="003448FA">
        <w:rPr>
          <w:rFonts w:hint="cs"/>
          <w:rtl/>
        </w:rPr>
        <w:t xml:space="preserve"> דִּבֶּר עָלֶיךָ רָעָה</w:t>
      </w:r>
      <w:r>
        <w:rPr>
          <w:rFonts w:hint="cs"/>
          <w:rtl/>
        </w:rPr>
        <w:t>"</w:t>
      </w:r>
      <w:r w:rsidR="004D7AFD">
        <w:rPr>
          <w:rFonts w:hint="cs"/>
          <w:rtl/>
        </w:rPr>
        <w:t xml:space="preserve"> ודברי הנביאים הם באמת 'רע' ולא 'טוב', הרי שמ</w:t>
      </w:r>
      <w:r>
        <w:rPr>
          <w:rFonts w:hint="cs"/>
          <w:rtl/>
        </w:rPr>
        <w:t>יכיהו, בגלותו את דבר ה' הזה לאחאב, דיבר 'טוב'</w:t>
      </w:r>
      <w:r w:rsidR="004D7AFD">
        <w:rPr>
          <w:rFonts w:hint="cs"/>
          <w:rtl/>
        </w:rPr>
        <w:t xml:space="preserve"> על אחאב</w:t>
      </w:r>
      <w:r>
        <w:rPr>
          <w:rFonts w:hint="cs"/>
          <w:rtl/>
        </w:rPr>
        <w:t>, ההפך ממה ש</w:t>
      </w:r>
      <w:r w:rsidR="004D7AFD">
        <w:rPr>
          <w:rFonts w:hint="cs"/>
          <w:rtl/>
        </w:rPr>
        <w:t>זה ה</w:t>
      </w:r>
      <w:r>
        <w:rPr>
          <w:rFonts w:hint="cs"/>
          <w:rtl/>
        </w:rPr>
        <w:t>אשי</w:t>
      </w:r>
      <w:r w:rsidR="004D7AFD">
        <w:rPr>
          <w:rFonts w:hint="cs"/>
          <w:rtl/>
        </w:rPr>
        <w:t>מו</w:t>
      </w:r>
      <w:r>
        <w:rPr>
          <w:rFonts w:hint="cs"/>
          <w:rtl/>
        </w:rPr>
        <w:t xml:space="preserve">! ואף במשפט זה עצמו </w:t>
      </w:r>
      <w:r>
        <w:rPr>
          <w:rtl/>
        </w:rPr>
        <w:t>–</w:t>
      </w:r>
      <w:r>
        <w:rPr>
          <w:rFonts w:hint="cs"/>
          <w:rtl/>
        </w:rPr>
        <w:t xml:space="preserve"> "</w:t>
      </w:r>
      <w:r w:rsidRPr="00D848DC">
        <w:rPr>
          <w:rFonts w:hint="cs"/>
          <w:rtl/>
        </w:rPr>
        <w:t>וַ</w:t>
      </w:r>
      <w:r>
        <w:rPr>
          <w:rFonts w:hint="cs"/>
          <w:rtl/>
        </w:rPr>
        <w:t>ה</w:t>
      </w:r>
      <w:r>
        <w:rPr>
          <w:rtl/>
        </w:rPr>
        <w:t>'</w:t>
      </w:r>
      <w:r w:rsidRPr="00D848DC">
        <w:rPr>
          <w:rFonts w:hint="cs"/>
          <w:rtl/>
        </w:rPr>
        <w:t xml:space="preserve"> דִּבֶּר עָלֶיךָ רָעָה</w:t>
      </w:r>
      <w:r>
        <w:rPr>
          <w:rFonts w:hint="cs"/>
          <w:rtl/>
        </w:rPr>
        <w:t>", נמצאת טובה גדולה לאחאב, שהרי גילוי דבר ה' הזה מאפשר לאחאב להימלט מן ה'רעה' הזאת ולהציל את נפשו.</w:t>
      </w:r>
    </w:p>
    <w:p w:rsidR="00227C21" w:rsidRDefault="00227C21" w:rsidP="00EB16AF">
      <w:pPr>
        <w:rPr>
          <w:rtl/>
        </w:rPr>
      </w:pPr>
      <w:r>
        <w:rPr>
          <w:rFonts w:hint="cs"/>
          <w:rtl/>
        </w:rPr>
        <w:t>הוא הדבר שאמרנו בראש עיוננו: ארבע פעמים מופיעה המילה 'טוב' בסיפור, ולכאורה הטוב הזה גובר על 'הרע' המופיע שלוש פעמים בלבד. אולם כל ההופעות הללו של ה'טוב' הן של 'טוב' שקרי הנובע מהיפוך המושגים שחל אצל אחאב ואנשיו. דווקא שלוש ההופעות של ה'רע' (2, 6, 7) הן הצופנות טוב לאחאב</w:t>
      </w:r>
      <w:r w:rsidR="00EB16AF">
        <w:rPr>
          <w:rFonts w:hint="cs"/>
          <w:rtl/>
        </w:rPr>
        <w:t>,</w:t>
      </w:r>
      <w:r>
        <w:rPr>
          <w:rFonts w:hint="cs"/>
          <w:rtl/>
        </w:rPr>
        <w:t xml:space="preserve"> לוּ ה</w:t>
      </w:r>
      <w:r w:rsidR="00AF5031">
        <w:rPr>
          <w:rFonts w:hint="cs"/>
          <w:rtl/>
        </w:rPr>
        <w:t>יה מ</w:t>
      </w:r>
      <w:r>
        <w:rPr>
          <w:rFonts w:hint="cs"/>
          <w:rtl/>
        </w:rPr>
        <w:t>שכיל לתקן את מושגי הטוב והרע שלו</w:t>
      </w:r>
      <w:r w:rsidR="00EB16AF">
        <w:rPr>
          <w:rFonts w:hint="cs"/>
          <w:rtl/>
        </w:rPr>
        <w:t>.</w:t>
      </w:r>
    </w:p>
    <w:p w:rsidR="00227C21" w:rsidRDefault="00227C21" w:rsidP="00AF5031">
      <w:pPr>
        <w:rPr>
          <w:rtl/>
        </w:rPr>
      </w:pPr>
      <w:r>
        <w:rPr>
          <w:rFonts w:hint="cs"/>
          <w:rtl/>
        </w:rPr>
        <w:t xml:space="preserve">ניצחון ה'טוב' המדומה ברשימת 'צמד ההפכים' הוא באמת ניצחון 'הרעה' שדיבר ה' על אחאב. אולם בידו </w:t>
      </w:r>
      <w:r w:rsidR="009D340F">
        <w:rPr>
          <w:rFonts w:hint="cs"/>
          <w:rtl/>
        </w:rPr>
        <w:t xml:space="preserve">של אחאב </w:t>
      </w:r>
      <w:r>
        <w:rPr>
          <w:rFonts w:hint="cs"/>
          <w:rtl/>
        </w:rPr>
        <w:t>הייתה הבחירה לתקן את מושגיו ואת מעשיו, ולבחור בטוב האמתי, שהיה מבטל ממנו את הרעה שה' דיבר עליו.</w:t>
      </w:r>
    </w:p>
    <w:p w:rsidR="00227C21" w:rsidRDefault="00AF5031" w:rsidP="00AF5031">
      <w:pPr>
        <w:rPr>
          <w:rtl/>
        </w:rPr>
      </w:pPr>
      <w:r>
        <w:rPr>
          <w:rFonts w:hint="cs"/>
          <w:rtl/>
        </w:rPr>
        <w:t>את הנאמר בספר דברים (ל', טו–יט)</w:t>
      </w:r>
      <w:r w:rsidRPr="00AF5031">
        <w:rPr>
          <w:rFonts w:hint="cs"/>
          <w:rtl/>
        </w:rPr>
        <w:t xml:space="preserve"> </w:t>
      </w:r>
      <w:r>
        <w:rPr>
          <w:rFonts w:hint="cs"/>
          <w:rtl/>
        </w:rPr>
        <w:t>לא קיים אחאב</w:t>
      </w:r>
      <w:r w:rsidR="00227C21">
        <w:rPr>
          <w:rFonts w:hint="cs"/>
          <w:rtl/>
        </w:rPr>
        <w:t>:</w:t>
      </w:r>
    </w:p>
    <w:p w:rsidR="00227C21" w:rsidRDefault="00227C21" w:rsidP="00227C21">
      <w:pPr>
        <w:ind w:firstLine="0"/>
        <w:rPr>
          <w:rtl/>
        </w:rPr>
      </w:pPr>
      <w:r>
        <w:rPr>
          <w:rtl/>
        </w:rPr>
        <w:tab/>
      </w:r>
      <w:r>
        <w:rPr>
          <w:rtl/>
        </w:rPr>
        <w:tab/>
      </w:r>
      <w:r w:rsidRPr="00101088">
        <w:rPr>
          <w:rFonts w:hint="cs"/>
          <w:rtl/>
        </w:rPr>
        <w:t xml:space="preserve">רְאֵה נָתַתִּי לְפָנֶיךָ הַיּוֹם </w:t>
      </w:r>
      <w:r>
        <w:rPr>
          <w:rtl/>
        </w:rPr>
        <w:tab/>
      </w:r>
      <w:r w:rsidRPr="00101088">
        <w:rPr>
          <w:rFonts w:hint="cs"/>
          <w:rtl/>
        </w:rPr>
        <w:t xml:space="preserve">אֶת </w:t>
      </w:r>
      <w:r w:rsidRPr="00A90C0A">
        <w:rPr>
          <w:rFonts w:hint="cs"/>
          <w:b/>
          <w:bCs/>
          <w:rtl/>
        </w:rPr>
        <w:t>הַחַיִּים</w:t>
      </w:r>
      <w:r w:rsidRPr="00101088">
        <w:rPr>
          <w:rFonts w:hint="cs"/>
          <w:rtl/>
        </w:rPr>
        <w:t xml:space="preserve"> וְאֶת </w:t>
      </w:r>
      <w:r w:rsidRPr="00A90C0A">
        <w:rPr>
          <w:rFonts w:hint="cs"/>
          <w:bCs/>
          <w:rtl/>
        </w:rPr>
        <w:t>הַטּוֹב</w:t>
      </w:r>
      <w:r w:rsidRPr="00101088">
        <w:rPr>
          <w:rFonts w:hint="cs"/>
          <w:rtl/>
        </w:rPr>
        <w:t xml:space="preserve"> </w:t>
      </w:r>
    </w:p>
    <w:p w:rsidR="00227C21" w:rsidRDefault="00227C21" w:rsidP="00227C21">
      <w:pPr>
        <w:ind w:left="2880" w:firstLine="720"/>
        <w:rPr>
          <w:rtl/>
        </w:rPr>
      </w:pPr>
      <w:r w:rsidRPr="00101088">
        <w:rPr>
          <w:rFonts w:hint="cs"/>
          <w:rtl/>
        </w:rPr>
        <w:t xml:space="preserve">וְאֶת </w:t>
      </w:r>
      <w:r w:rsidRPr="00A90C0A">
        <w:rPr>
          <w:rFonts w:hint="cs"/>
          <w:b/>
          <w:bCs/>
          <w:rtl/>
        </w:rPr>
        <w:t>הַמָּוֶת</w:t>
      </w:r>
      <w:r w:rsidRPr="00101088">
        <w:rPr>
          <w:rFonts w:hint="cs"/>
          <w:rtl/>
        </w:rPr>
        <w:t xml:space="preserve"> וְאֶת </w:t>
      </w:r>
      <w:r w:rsidRPr="00A90C0A">
        <w:rPr>
          <w:rFonts w:hint="cs"/>
          <w:b/>
          <w:bCs/>
          <w:rtl/>
        </w:rPr>
        <w:t>הָרָע</w:t>
      </w:r>
      <w:r>
        <w:rPr>
          <w:rFonts w:hint="cs"/>
          <w:rtl/>
        </w:rPr>
        <w:t>...</w:t>
      </w:r>
    </w:p>
    <w:p w:rsidR="00227C21" w:rsidRDefault="00227C21" w:rsidP="00227C21">
      <w:pPr>
        <w:ind w:left="2880" w:firstLine="720"/>
        <w:rPr>
          <w:rtl/>
        </w:rPr>
      </w:pPr>
      <w:r w:rsidRPr="00A90C0A">
        <w:rPr>
          <w:rFonts w:hint="cs"/>
          <w:b/>
          <w:bCs/>
          <w:rtl/>
        </w:rPr>
        <w:t>וּבָחַרְתָּ בַּחַיִּים</w:t>
      </w:r>
      <w:r>
        <w:rPr>
          <w:rFonts w:hint="cs"/>
          <w:rtl/>
        </w:rPr>
        <w:t>!</w:t>
      </w:r>
    </w:p>
    <w:p w:rsidR="009D340F" w:rsidRDefault="009D340F" w:rsidP="00227C21">
      <w:pPr>
        <w:ind w:left="2880" w:firstLine="720"/>
        <w:rPr>
          <w:rtl/>
        </w:rPr>
      </w:pPr>
    </w:p>
    <w:tbl>
      <w:tblPr>
        <w:tblW w:w="0" w:type="auto"/>
        <w:tblInd w:w="2539" w:type="dxa"/>
        <w:tblLayout w:type="fixed"/>
        <w:tblLook w:val="0000" w:firstRow="0" w:lastRow="0" w:firstColumn="0" w:lastColumn="0" w:noHBand="0" w:noVBand="0"/>
      </w:tblPr>
      <w:tblGrid>
        <w:gridCol w:w="284"/>
        <w:gridCol w:w="4111"/>
        <w:gridCol w:w="283"/>
      </w:tblGrid>
      <w:tr w:rsidR="00AF5031" w:rsidRPr="00AF5031" w:rsidTr="000D7332">
        <w:tc>
          <w:tcPr>
            <w:tcW w:w="284" w:type="dxa"/>
            <w:tcBorders>
              <w:top w:val="nil"/>
              <w:left w:val="nil"/>
              <w:bottom w:val="nil"/>
              <w:right w:val="nil"/>
            </w:tcBorders>
          </w:tcPr>
          <w:p w:rsidR="00AF5031" w:rsidRPr="00AF5031" w:rsidRDefault="00AF5031" w:rsidP="00AF5031">
            <w:pPr>
              <w:tabs>
                <w:tab w:val="right" w:pos="3895"/>
              </w:tabs>
              <w:autoSpaceDE w:val="0"/>
              <w:autoSpaceDN w:val="0"/>
              <w:spacing w:after="0"/>
              <w:rPr>
                <w:rFonts w:ascii="Arial" w:eastAsia="Times New Roman" w:hAnsi="Arial" w:cs="Narkisim"/>
                <w:b/>
                <w:bCs/>
                <w:sz w:val="16"/>
                <w:szCs w:val="16"/>
              </w:rPr>
            </w:pPr>
            <w:r w:rsidRPr="00AF5031">
              <w:rPr>
                <w:rFonts w:ascii="Arial" w:eastAsia="Times New Roman" w:hAnsi="Arial" w:cs="Narkisim"/>
                <w:b/>
                <w:bCs/>
                <w:sz w:val="16"/>
                <w:szCs w:val="16"/>
                <w:rtl/>
              </w:rPr>
              <w:t>*</w:t>
            </w:r>
          </w:p>
        </w:tc>
        <w:tc>
          <w:tcPr>
            <w:tcW w:w="4111" w:type="dxa"/>
            <w:tcBorders>
              <w:top w:val="nil"/>
              <w:left w:val="nil"/>
              <w:bottom w:val="nil"/>
              <w:right w:val="nil"/>
            </w:tcBorders>
          </w:tcPr>
          <w:p w:rsidR="00AF5031" w:rsidRPr="00AF5031" w:rsidRDefault="00AF5031" w:rsidP="00AF5031">
            <w:pPr>
              <w:tabs>
                <w:tab w:val="right" w:pos="3895"/>
              </w:tabs>
              <w:autoSpaceDE w:val="0"/>
              <w:autoSpaceDN w:val="0"/>
              <w:spacing w:after="0"/>
              <w:rPr>
                <w:rFonts w:ascii="Arial" w:eastAsia="Times New Roman" w:hAnsi="Arial" w:cs="Narkisim"/>
                <w:b/>
                <w:bCs/>
                <w:sz w:val="16"/>
                <w:szCs w:val="16"/>
              </w:rPr>
            </w:pPr>
            <w:r w:rsidRPr="00AF5031">
              <w:rPr>
                <w:rFonts w:ascii="Arial" w:eastAsia="Times New Roman" w:hAnsi="Arial" w:cs="Narkisim"/>
                <w:b/>
                <w:bCs/>
                <w:sz w:val="16"/>
                <w:szCs w:val="16"/>
                <w:rtl/>
              </w:rPr>
              <w:t>*******************************************************</w:t>
            </w:r>
          </w:p>
        </w:tc>
        <w:tc>
          <w:tcPr>
            <w:tcW w:w="283" w:type="dxa"/>
            <w:tcBorders>
              <w:top w:val="nil"/>
              <w:left w:val="nil"/>
              <w:bottom w:val="nil"/>
              <w:right w:val="nil"/>
            </w:tcBorders>
          </w:tcPr>
          <w:p w:rsidR="00AF5031" w:rsidRPr="00AF5031" w:rsidRDefault="00AF5031" w:rsidP="00AF5031">
            <w:pPr>
              <w:tabs>
                <w:tab w:val="right" w:pos="3895"/>
              </w:tabs>
              <w:autoSpaceDE w:val="0"/>
              <w:autoSpaceDN w:val="0"/>
              <w:spacing w:after="0"/>
              <w:rPr>
                <w:rFonts w:ascii="Arial" w:eastAsia="Times New Roman" w:hAnsi="Arial" w:cs="Narkisim"/>
                <w:b/>
                <w:bCs/>
                <w:sz w:val="16"/>
                <w:szCs w:val="16"/>
              </w:rPr>
            </w:pPr>
            <w:r w:rsidRPr="00AF5031">
              <w:rPr>
                <w:rFonts w:ascii="Arial" w:eastAsia="Times New Roman" w:hAnsi="Arial" w:cs="Narkisim"/>
                <w:b/>
                <w:bCs/>
                <w:sz w:val="16"/>
                <w:szCs w:val="16"/>
                <w:rtl/>
              </w:rPr>
              <w:t>*</w:t>
            </w:r>
          </w:p>
        </w:tc>
      </w:tr>
      <w:tr w:rsidR="00AF5031" w:rsidRPr="00AF5031" w:rsidTr="000D7332">
        <w:tc>
          <w:tcPr>
            <w:tcW w:w="284" w:type="dxa"/>
            <w:tcBorders>
              <w:top w:val="nil"/>
              <w:left w:val="nil"/>
              <w:bottom w:val="nil"/>
              <w:right w:val="nil"/>
            </w:tcBorders>
          </w:tcPr>
          <w:p w:rsidR="00AF5031" w:rsidRPr="00AF5031" w:rsidRDefault="00AF5031" w:rsidP="00AF5031">
            <w:pPr>
              <w:tabs>
                <w:tab w:val="right" w:pos="3895"/>
              </w:tabs>
              <w:autoSpaceDE w:val="0"/>
              <w:autoSpaceDN w:val="0"/>
              <w:spacing w:after="0"/>
              <w:rPr>
                <w:rFonts w:ascii="Arial" w:eastAsia="Times New Roman" w:hAnsi="Arial" w:cs="Narkisim"/>
                <w:b/>
                <w:bCs/>
                <w:sz w:val="16"/>
                <w:szCs w:val="16"/>
              </w:rPr>
            </w:pPr>
            <w:r w:rsidRPr="00AF5031">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AF5031" w:rsidRPr="00AF5031" w:rsidRDefault="00AF5031" w:rsidP="00AF5031">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כל הזכויות שמורות לישיבת הר עציון ולרב אלחנן סמט, תש</w:t>
            </w:r>
            <w:r w:rsidRPr="00AF5031">
              <w:rPr>
                <w:rFonts w:ascii="Arial" w:eastAsia="Times New Roman" w:hAnsi="Arial" w:cs="Narkisim" w:hint="cs"/>
                <w:b/>
                <w:bCs/>
                <w:sz w:val="16"/>
                <w:szCs w:val="16"/>
                <w:rtl/>
              </w:rPr>
              <w:t>ע"ה</w:t>
            </w:r>
          </w:p>
          <w:p w:rsidR="00AF5031" w:rsidRPr="00AF5031" w:rsidRDefault="00AF5031" w:rsidP="00AF5031">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 xml:space="preserve">עורכת: </w:t>
            </w:r>
            <w:r w:rsidRPr="00AF5031">
              <w:rPr>
                <w:rFonts w:ascii="Arial" w:eastAsia="Times New Roman" w:hAnsi="Arial" w:cs="Narkisim" w:hint="cs"/>
                <w:b/>
                <w:bCs/>
                <w:sz w:val="16"/>
                <w:szCs w:val="16"/>
                <w:rtl/>
              </w:rPr>
              <w:t xml:space="preserve">נחמה בן אדרת  </w:t>
            </w:r>
          </w:p>
          <w:p w:rsidR="00AF5031" w:rsidRPr="00AF5031" w:rsidRDefault="00AF5031" w:rsidP="00AF5031">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w:t>
            </w:r>
          </w:p>
          <w:p w:rsidR="00AF5031" w:rsidRPr="00AF5031" w:rsidRDefault="00AF5031" w:rsidP="00AF5031">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בית המדרש הוירטואלי שליד ישיבת הר עציון</w:t>
            </w:r>
          </w:p>
          <w:p w:rsidR="00AF5031" w:rsidRPr="00AF5031" w:rsidRDefault="00AF5031" w:rsidP="00AF5031">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האתר בעברית:</w:t>
            </w:r>
            <w:r w:rsidRPr="00AF5031">
              <w:rPr>
                <w:rFonts w:ascii="Arial" w:eastAsia="Times New Roman" w:hAnsi="Arial" w:cs="Narkisim"/>
                <w:b/>
                <w:bCs/>
                <w:sz w:val="16"/>
                <w:szCs w:val="16"/>
                <w:rtl/>
              </w:rPr>
              <w:tab/>
            </w:r>
            <w:hyperlink r:id="rId9" w:history="1">
              <w:r w:rsidRPr="00AF5031">
                <w:rPr>
                  <w:rFonts w:ascii="Arial" w:eastAsia="Times New Roman" w:hAnsi="Arial" w:cs="Narkisim"/>
                  <w:b/>
                  <w:bCs/>
                  <w:color w:val="0000FF"/>
                  <w:sz w:val="16"/>
                  <w:szCs w:val="16"/>
                  <w:u w:val="single"/>
                </w:rPr>
                <w:t>http://www.etzion.org.il/vbm</w:t>
              </w:r>
            </w:hyperlink>
          </w:p>
          <w:p w:rsidR="00AF5031" w:rsidRPr="00AF5031" w:rsidRDefault="00AF5031" w:rsidP="00AF5031">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האתר באנגלית:</w:t>
            </w:r>
            <w:r w:rsidRPr="00AF5031">
              <w:rPr>
                <w:rFonts w:ascii="Arial" w:eastAsia="Times New Roman" w:hAnsi="Arial" w:cs="Narkisim"/>
                <w:b/>
                <w:bCs/>
                <w:sz w:val="16"/>
                <w:szCs w:val="16"/>
                <w:rtl/>
              </w:rPr>
              <w:tab/>
            </w:r>
            <w:hyperlink r:id="rId10" w:history="1">
              <w:r w:rsidRPr="00AF5031">
                <w:rPr>
                  <w:rFonts w:ascii="Arial" w:eastAsia="Times New Roman" w:hAnsi="Arial" w:cs="Narkisim"/>
                  <w:b/>
                  <w:bCs/>
                  <w:color w:val="0000FF"/>
                  <w:sz w:val="16"/>
                  <w:szCs w:val="16"/>
                  <w:u w:val="single"/>
                </w:rPr>
                <w:t>http://www.vbm-torah.org</w:t>
              </w:r>
            </w:hyperlink>
          </w:p>
          <w:p w:rsidR="00AF5031" w:rsidRPr="00AF5031" w:rsidRDefault="00AF5031" w:rsidP="00AF5031">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משרדי בית המדרש הוירטואלי: 02-</w:t>
            </w:r>
            <w:r w:rsidRPr="00AF5031">
              <w:rPr>
                <w:rFonts w:ascii="Arial" w:eastAsia="Times New Roman" w:hAnsi="Arial" w:cs="Narkisim" w:hint="cs"/>
                <w:b/>
                <w:bCs/>
                <w:sz w:val="16"/>
                <w:szCs w:val="16"/>
                <w:rtl/>
              </w:rPr>
              <w:t>9937300</w:t>
            </w:r>
            <w:r w:rsidRPr="00AF5031">
              <w:rPr>
                <w:rFonts w:ascii="Arial" w:eastAsia="Times New Roman" w:hAnsi="Arial" w:cs="Narkisim"/>
                <w:b/>
                <w:bCs/>
                <w:sz w:val="16"/>
                <w:szCs w:val="16"/>
                <w:rtl/>
              </w:rPr>
              <w:t xml:space="preserve"> שלוחה 5 </w:t>
            </w:r>
          </w:p>
          <w:p w:rsidR="00AF5031" w:rsidRPr="00AF5031" w:rsidRDefault="00AF5031" w:rsidP="00AF5031">
            <w:pPr>
              <w:tabs>
                <w:tab w:val="right" w:pos="3895"/>
              </w:tabs>
              <w:autoSpaceDE w:val="0"/>
              <w:autoSpaceDN w:val="0"/>
              <w:spacing w:after="0"/>
              <w:rPr>
                <w:rFonts w:ascii="Arial" w:eastAsia="Times New Roman" w:hAnsi="Arial" w:cs="Narkisim"/>
                <w:b/>
                <w:bCs/>
                <w:sz w:val="16"/>
                <w:szCs w:val="16"/>
              </w:rPr>
            </w:pPr>
            <w:r w:rsidRPr="00AF5031">
              <w:rPr>
                <w:rFonts w:ascii="Arial" w:eastAsia="Times New Roman" w:hAnsi="Arial" w:cs="Narkisim"/>
                <w:b/>
                <w:bCs/>
                <w:sz w:val="16"/>
                <w:szCs w:val="16"/>
                <w:rtl/>
              </w:rPr>
              <w:t>דוא</w:t>
            </w:r>
            <w:r w:rsidRPr="00AF5031">
              <w:rPr>
                <w:rFonts w:ascii="Arial" w:eastAsia="Times New Roman" w:hAnsi="Arial" w:cs="Narkisim" w:hint="cs"/>
                <w:b/>
                <w:bCs/>
                <w:sz w:val="16"/>
                <w:szCs w:val="16"/>
                <w:rtl/>
              </w:rPr>
              <w:t>"</w:t>
            </w:r>
            <w:r w:rsidRPr="00AF5031">
              <w:rPr>
                <w:rFonts w:ascii="Arial" w:eastAsia="Times New Roman" w:hAnsi="Arial" w:cs="Narkisim"/>
                <w:b/>
                <w:bCs/>
                <w:sz w:val="16"/>
                <w:szCs w:val="16"/>
                <w:rtl/>
              </w:rPr>
              <w:t xml:space="preserve">ל: </w:t>
            </w:r>
            <w:hyperlink r:id="rId11" w:history="1">
              <w:r w:rsidRPr="00AF5031">
                <w:rPr>
                  <w:rFonts w:ascii="Arial" w:eastAsia="Times New Roman" w:hAnsi="Arial" w:cs="Narkisim"/>
                  <w:b/>
                  <w:bCs/>
                  <w:color w:val="0000FF"/>
                  <w:sz w:val="16"/>
                  <w:szCs w:val="16"/>
                  <w:u w:val="single"/>
                </w:rPr>
                <w:t>office@etzion.org.il</w:t>
              </w:r>
            </w:hyperlink>
          </w:p>
        </w:tc>
        <w:tc>
          <w:tcPr>
            <w:tcW w:w="283" w:type="dxa"/>
            <w:tcBorders>
              <w:top w:val="nil"/>
              <w:left w:val="nil"/>
              <w:bottom w:val="nil"/>
              <w:right w:val="nil"/>
            </w:tcBorders>
          </w:tcPr>
          <w:p w:rsidR="00AF5031" w:rsidRPr="00AF5031" w:rsidRDefault="00AF5031" w:rsidP="00AF5031">
            <w:pPr>
              <w:tabs>
                <w:tab w:val="right" w:pos="3895"/>
              </w:tabs>
              <w:autoSpaceDE w:val="0"/>
              <w:autoSpaceDN w:val="0"/>
              <w:spacing w:after="0"/>
              <w:rPr>
                <w:rFonts w:ascii="Arial" w:eastAsia="Times New Roman" w:hAnsi="Arial" w:cs="Narkisim"/>
                <w:b/>
                <w:bCs/>
                <w:sz w:val="16"/>
                <w:szCs w:val="16"/>
              </w:rPr>
            </w:pPr>
            <w:r w:rsidRPr="00AF5031">
              <w:rPr>
                <w:rFonts w:ascii="Arial" w:eastAsia="Times New Roman" w:hAnsi="Arial" w:cs="Narkisim"/>
                <w:b/>
                <w:bCs/>
                <w:sz w:val="16"/>
                <w:szCs w:val="16"/>
                <w:rtl/>
              </w:rPr>
              <w:t xml:space="preserve">* * * * * * * * </w:t>
            </w:r>
          </w:p>
        </w:tc>
      </w:tr>
    </w:tbl>
    <w:p w:rsidR="00227C21" w:rsidRPr="00A90C0A" w:rsidRDefault="00227C21" w:rsidP="00227C21">
      <w:pPr>
        <w:ind w:left="2880" w:firstLine="720"/>
        <w:rPr>
          <w:rtl/>
        </w:rPr>
      </w:pPr>
    </w:p>
    <w:p w:rsidR="000B5FD6" w:rsidRPr="00227C21" w:rsidRDefault="000B5FD6" w:rsidP="00227C21">
      <w:pPr>
        <w:tabs>
          <w:tab w:val="left" w:pos="2786"/>
        </w:tabs>
        <w:rPr>
          <w:rtl/>
        </w:rPr>
      </w:pPr>
    </w:p>
    <w:sectPr w:rsidR="000B5FD6" w:rsidRPr="00227C21"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018" w:rsidRDefault="00116018" w:rsidP="0072464C">
      <w:r>
        <w:separator/>
      </w:r>
    </w:p>
  </w:endnote>
  <w:endnote w:type="continuationSeparator" w:id="0">
    <w:p w:rsidR="00116018" w:rsidRDefault="00116018"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018" w:rsidRDefault="00116018" w:rsidP="0072464C">
      <w:r>
        <w:separator/>
      </w:r>
    </w:p>
  </w:footnote>
  <w:footnote w:type="continuationSeparator" w:id="0">
    <w:p w:rsidR="00116018" w:rsidRDefault="00116018" w:rsidP="0072464C">
      <w:r>
        <w:continuationSeparator/>
      </w:r>
    </w:p>
  </w:footnote>
  <w:footnote w:id="1">
    <w:p w:rsidR="00C259E9" w:rsidRDefault="00C259E9" w:rsidP="00C259E9">
      <w:pPr>
        <w:pStyle w:val="FootnoteText"/>
      </w:pPr>
      <w:r>
        <w:rPr>
          <w:rStyle w:val="FootnoteReference"/>
        </w:rPr>
        <w:footnoteRef/>
      </w:r>
      <w:r>
        <w:rPr>
          <w:rtl/>
        </w:rPr>
        <w:t xml:space="preserve"> </w:t>
      </w:r>
      <w:r w:rsidRPr="004F12F2">
        <w:rPr>
          <w:rFonts w:hint="cs"/>
          <w:rtl/>
        </w:rPr>
        <w:t xml:space="preserve">בעיון ו הוכחנו בהרחבה </w:t>
      </w:r>
      <w:r>
        <w:rPr>
          <w:rFonts w:hint="cs"/>
          <w:rtl/>
        </w:rPr>
        <w:t>כי</w:t>
      </w:r>
      <w:r w:rsidRPr="004F12F2">
        <w:rPr>
          <w:rFonts w:hint="cs"/>
          <w:rtl/>
        </w:rPr>
        <w:t xml:space="preserve"> הזיהוי שזיהו חז"ל </w:t>
      </w:r>
      <w:r>
        <w:rPr>
          <w:rFonts w:hint="cs"/>
          <w:rtl/>
        </w:rPr>
        <w:t>את</w:t>
      </w:r>
      <w:r w:rsidRPr="004F12F2">
        <w:rPr>
          <w:rFonts w:hint="cs"/>
          <w:rtl/>
        </w:rPr>
        <w:t xml:space="preserve"> הנביא הפועל בפרק כ' עם מיכיהו בן ימלה הפועל בפרקנו</w:t>
      </w:r>
      <w:r>
        <w:rPr>
          <w:rFonts w:hint="cs"/>
          <w:rtl/>
        </w:rPr>
        <w:t xml:space="preserve"> מכוון לפשוטו של מקרא</w:t>
      </w:r>
      <w:r w:rsidRPr="004F12F2">
        <w:rPr>
          <w:rFonts w:hint="cs"/>
          <w:rtl/>
        </w:rPr>
        <w:t xml:space="preserve">. </w:t>
      </w:r>
    </w:p>
  </w:footnote>
  <w:footnote w:id="2">
    <w:p w:rsidR="00EE225B" w:rsidRDefault="00EE225B">
      <w:pPr>
        <w:pStyle w:val="FootnoteText"/>
        <w:rPr>
          <w:rtl/>
        </w:rPr>
      </w:pPr>
      <w:r>
        <w:rPr>
          <w:rStyle w:val="FootnoteReference"/>
        </w:rPr>
        <w:footnoteRef/>
      </w:r>
      <w:r>
        <w:rPr>
          <w:rtl/>
        </w:rPr>
        <w:t xml:space="preserve"> </w:t>
      </w:r>
      <w:r w:rsidR="004232BD">
        <w:rPr>
          <w:rFonts w:hint="cs"/>
          <w:rtl/>
        </w:rPr>
        <w:t>ראה בסדרת העיונים לפרק כ, עיון ו</w:t>
      </w:r>
      <w:r w:rsidR="004232BD" w:rsidRPr="004F12F2">
        <w:rPr>
          <w:rFonts w:hint="cs"/>
          <w:vertAlign w:val="subscript"/>
          <w:rtl/>
        </w:rPr>
        <w:t>1</w:t>
      </w:r>
      <w:r w:rsidR="004232BD">
        <w:rPr>
          <w:rFonts w:hint="cs"/>
          <w:rtl/>
        </w:rPr>
        <w:t xml:space="preserve"> </w:t>
      </w:r>
      <w:r w:rsidR="00C259E9">
        <w:rPr>
          <w:rFonts w:hint="cs"/>
          <w:rtl/>
        </w:rPr>
        <w:t>תת-</w:t>
      </w:r>
      <w:r w:rsidR="004F12F2">
        <w:rPr>
          <w:rFonts w:hint="cs"/>
          <w:rtl/>
        </w:rPr>
        <w:t xml:space="preserve">סעיף </w:t>
      </w:r>
      <w:r w:rsidR="004232BD">
        <w:rPr>
          <w:rFonts w:hint="cs"/>
          <w:rtl/>
        </w:rPr>
        <w:t>א.</w:t>
      </w:r>
    </w:p>
  </w:footnote>
  <w:footnote w:id="3">
    <w:p w:rsidR="00EE225B" w:rsidRDefault="00EE225B" w:rsidP="00772026">
      <w:pPr>
        <w:pStyle w:val="FootnoteText"/>
      </w:pPr>
      <w:r>
        <w:rPr>
          <w:rStyle w:val="FootnoteReference"/>
        </w:rPr>
        <w:footnoteRef/>
      </w:r>
      <w:r>
        <w:rPr>
          <w:rtl/>
        </w:rPr>
        <w:t xml:space="preserve"> </w:t>
      </w:r>
      <w:r w:rsidR="00772026">
        <w:rPr>
          <w:rFonts w:hint="cs"/>
          <w:rtl/>
        </w:rPr>
        <w:t>ל</w:t>
      </w:r>
      <w:r w:rsidR="004232BD">
        <w:rPr>
          <w:rFonts w:hint="cs"/>
          <w:rtl/>
        </w:rPr>
        <w:t>ולי כן אסור היה לו להכות את חברו ולעבור על מצו</w:t>
      </w:r>
      <w:r w:rsidR="00772026">
        <w:rPr>
          <w:rFonts w:hint="cs"/>
          <w:rtl/>
        </w:rPr>
        <w:t>ו</w:t>
      </w:r>
      <w:r w:rsidR="004232BD">
        <w:rPr>
          <w:rFonts w:hint="cs"/>
          <w:rtl/>
        </w:rPr>
        <w:t xml:space="preserve">ה שבתורה. </w:t>
      </w:r>
      <w:r w:rsidR="00775F92">
        <w:rPr>
          <w:rFonts w:hint="cs"/>
          <w:rtl/>
        </w:rPr>
        <w:t>הראשון שאליו פנה הנביא מ</w:t>
      </w:r>
      <w:r w:rsidR="00772026">
        <w:rPr>
          <w:rFonts w:hint="cs"/>
          <w:rtl/>
        </w:rPr>
        <w:t>י</w:t>
      </w:r>
      <w:r w:rsidR="00775F92">
        <w:rPr>
          <w:rFonts w:hint="cs"/>
          <w:rtl/>
        </w:rPr>
        <w:t>אן להכותו, אולי משום שלא האמין בנבואתו. וראה דיוננו על סצנה זו בעיון הנזכר בהערה הקודמת.</w:t>
      </w:r>
    </w:p>
  </w:footnote>
  <w:footnote w:id="4">
    <w:p w:rsidR="00D70555" w:rsidRPr="007E4211" w:rsidRDefault="00D70555" w:rsidP="00D70555">
      <w:pPr>
        <w:pStyle w:val="FootnoteText"/>
      </w:pPr>
      <w:r>
        <w:rPr>
          <w:rStyle w:val="FootnoteReference"/>
        </w:rPr>
        <w:footnoteRef/>
      </w:r>
      <w:r>
        <w:rPr>
          <w:rtl/>
        </w:rPr>
        <w:t xml:space="preserve"> </w:t>
      </w:r>
      <w:r>
        <w:rPr>
          <w:rFonts w:hint="cs"/>
          <w:rtl/>
        </w:rPr>
        <w:t>יש שפירשו כי אף לפני שהובא מיכיהו לשער שומרון ישב בבית הכלא, ומשם הובא (כך יוסף בן מתתיהו בקדמוניות היהודים ורד"ק בפירושו לפסוק כו). הם מדייקים זאת מהוראת אחאב בפסוק כו "</w:t>
      </w:r>
      <w:r w:rsidRPr="00E32E6D">
        <w:rPr>
          <w:rFonts w:hint="cs"/>
          <w:b/>
          <w:bCs/>
          <w:rtl/>
        </w:rPr>
        <w:t>וַהֲשִׁיבֵהוּ</w:t>
      </w:r>
      <w:r w:rsidRPr="00E32E6D">
        <w:rPr>
          <w:rFonts w:hint="cs"/>
          <w:rtl/>
        </w:rPr>
        <w:t xml:space="preserve"> אֶל אָמֹן שַׂר הָעִיר</w:t>
      </w:r>
      <w:r>
        <w:rPr>
          <w:rFonts w:hint="cs"/>
          <w:rtl/>
        </w:rPr>
        <w:t xml:space="preserve">". נראה לנו שזהו דיוק מיותר, ופשוטם של דברי אחאב הוא כפירוש רלב"ג לפסוק כו: "רוצה לומר: השיבהו </w:t>
      </w:r>
      <w:r>
        <w:rPr>
          <w:rFonts w:hint="cs"/>
          <w:b/>
          <w:bCs/>
          <w:rtl/>
        </w:rPr>
        <w:t>אל העיר</w:t>
      </w:r>
      <w:r>
        <w:rPr>
          <w:rFonts w:hint="cs"/>
          <w:rtl/>
        </w:rPr>
        <w:t>, והביאהו שם אל אמון שר העיר".</w:t>
      </w:r>
    </w:p>
  </w:footnote>
  <w:footnote w:id="5">
    <w:p w:rsidR="00D70555" w:rsidRPr="00886F0E" w:rsidRDefault="00D70555" w:rsidP="00D70555">
      <w:pPr>
        <w:pStyle w:val="FootnoteText"/>
      </w:pPr>
      <w:r>
        <w:rPr>
          <w:rStyle w:val="FootnoteReference"/>
        </w:rPr>
        <w:footnoteRef/>
      </w:r>
      <w:r>
        <w:rPr>
          <w:rtl/>
        </w:rPr>
        <w:t xml:space="preserve"> </w:t>
      </w:r>
      <w:r>
        <w:rPr>
          <w:rFonts w:hint="cs"/>
          <w:rtl/>
        </w:rPr>
        <w:t>האלימות כלפי מיכיהו אינה מתמצה בשלילת חירותו, אלא בתנאי קיום מינימליים בבית הכלא. מאסר כזה מכונה בלשון חכמים '</w:t>
      </w:r>
      <w:r w:rsidR="00486924">
        <w:rPr>
          <w:rFonts w:hint="cs"/>
          <w:rtl/>
        </w:rPr>
        <w:t>הכנסה ל</w:t>
      </w:r>
      <w:r>
        <w:rPr>
          <w:rFonts w:hint="cs"/>
          <w:rtl/>
        </w:rPr>
        <w:t xml:space="preserve">כיפה'. וכך נאמר במשנה סנהדרין פ"ט מ"ה: "ההורג נפש שלא בעדים, מכניסים אותו לכיפה, </w:t>
      </w:r>
      <w:r>
        <w:rPr>
          <w:rFonts w:hint="cs"/>
          <w:b/>
          <w:bCs/>
          <w:rtl/>
        </w:rPr>
        <w:t>ומאכילין אותו לחם צר ומים לחץ</w:t>
      </w:r>
      <w:r>
        <w:rPr>
          <w:rFonts w:hint="cs"/>
          <w:rtl/>
        </w:rPr>
        <w:t>".</w:t>
      </w:r>
    </w:p>
  </w:footnote>
  <w:footnote w:id="6">
    <w:p w:rsidR="00486924" w:rsidRPr="00486924" w:rsidRDefault="00486924" w:rsidP="00486924">
      <w:pPr>
        <w:pStyle w:val="FootnoteText"/>
        <w:rPr>
          <w:rtl/>
        </w:rPr>
      </w:pPr>
      <w:r>
        <w:rPr>
          <w:rStyle w:val="FootnoteReference"/>
        </w:rPr>
        <w:footnoteRef/>
      </w:r>
      <w:r>
        <w:rPr>
          <w:rtl/>
        </w:rPr>
        <w:t xml:space="preserve"> </w:t>
      </w:r>
      <w:r w:rsidRPr="00486924">
        <w:rPr>
          <w:rFonts w:hint="cs"/>
          <w:rtl/>
        </w:rPr>
        <w:t>המדרש (שיר השירים רבא א, מב) מדבר בשמה של כנסת ישראל המתמרמרת על התנהגותו זו של אחאב כנגד נביא ה':</w:t>
      </w:r>
    </w:p>
    <w:p w:rsidR="00486924" w:rsidRPr="00486924" w:rsidRDefault="00486924" w:rsidP="00486924">
      <w:pPr>
        <w:pStyle w:val="FootnoteText"/>
        <w:rPr>
          <w:rtl/>
        </w:rPr>
      </w:pPr>
      <w:r w:rsidRPr="00486924">
        <w:rPr>
          <w:rtl/>
        </w:rPr>
        <w:tab/>
      </w:r>
      <w:r w:rsidRPr="00486924">
        <w:rPr>
          <w:rFonts w:hint="cs"/>
          <w:rtl/>
        </w:rPr>
        <w:t>"</w:t>
      </w:r>
      <w:r w:rsidRPr="00486924">
        <w:rPr>
          <w:rFonts w:hint="cs"/>
          <w:b/>
          <w:bCs/>
          <w:rtl/>
        </w:rPr>
        <w:t>בְּנֵי אִמִּי</w:t>
      </w:r>
      <w:r w:rsidRPr="00486924">
        <w:rPr>
          <w:rFonts w:hint="cs"/>
          <w:rtl/>
        </w:rPr>
        <w:t xml:space="preserve"> נִחֲרוּ בִי" (שה"ש א', ו) </w:t>
      </w:r>
      <w:r w:rsidRPr="00486924">
        <w:rPr>
          <w:rtl/>
        </w:rPr>
        <w:t>–</w:t>
      </w:r>
      <w:r w:rsidRPr="00486924">
        <w:rPr>
          <w:rFonts w:hint="cs"/>
          <w:rtl/>
        </w:rPr>
        <w:t xml:space="preserve"> </w:t>
      </w:r>
      <w:r w:rsidRPr="00486924">
        <w:rPr>
          <w:rFonts w:hint="cs"/>
          <w:b/>
          <w:bCs/>
          <w:rtl/>
        </w:rPr>
        <w:t>בני אוּמתי</w:t>
      </w:r>
      <w:r w:rsidRPr="00486924">
        <w:rPr>
          <w:rFonts w:hint="cs"/>
          <w:rtl/>
        </w:rPr>
        <w:t>, זה אחאב.</w:t>
      </w:r>
    </w:p>
    <w:p w:rsidR="00486924" w:rsidRPr="00486924" w:rsidRDefault="00486924" w:rsidP="00486924">
      <w:pPr>
        <w:pStyle w:val="FootnoteText"/>
        <w:rPr>
          <w:rtl/>
        </w:rPr>
      </w:pPr>
      <w:r w:rsidRPr="00486924">
        <w:rPr>
          <w:rtl/>
        </w:rPr>
        <w:tab/>
      </w:r>
      <w:r w:rsidRPr="00486924">
        <w:rPr>
          <w:rFonts w:hint="cs"/>
          <w:rtl/>
        </w:rPr>
        <w:t>"</w:t>
      </w:r>
      <w:r w:rsidRPr="00486924">
        <w:rPr>
          <w:rFonts w:hint="cs"/>
          <w:b/>
          <w:bCs/>
          <w:rtl/>
        </w:rPr>
        <w:t>נִחֲרוּ בִי</w:t>
      </w:r>
      <w:r w:rsidRPr="00486924">
        <w:rPr>
          <w:rFonts w:hint="cs"/>
          <w:rtl/>
        </w:rPr>
        <w:t xml:space="preserve">" </w:t>
      </w:r>
      <w:r w:rsidRPr="00486924">
        <w:rPr>
          <w:rtl/>
        </w:rPr>
        <w:t>–</w:t>
      </w:r>
      <w:r w:rsidRPr="00486924">
        <w:rPr>
          <w:rFonts w:hint="cs"/>
          <w:rtl/>
        </w:rPr>
        <w:t xml:space="preserve"> נתגרו בי, מִלאו הדיין </w:t>
      </w:r>
      <w:r w:rsidRPr="00486924">
        <w:rPr>
          <w:rFonts w:hint="cs"/>
          <w:b/>
          <w:bCs/>
          <w:rtl/>
        </w:rPr>
        <w:t>חרון</w:t>
      </w:r>
      <w:r w:rsidRPr="00486924">
        <w:rPr>
          <w:rFonts w:hint="cs"/>
          <w:rtl/>
        </w:rPr>
        <w:t xml:space="preserve"> אף עלי.</w:t>
      </w:r>
    </w:p>
    <w:p w:rsidR="00486924" w:rsidRPr="00486924" w:rsidRDefault="00486924" w:rsidP="00486924">
      <w:pPr>
        <w:pStyle w:val="FootnoteText"/>
        <w:rPr>
          <w:rtl/>
        </w:rPr>
      </w:pPr>
      <w:r w:rsidRPr="00486924">
        <w:rPr>
          <w:rtl/>
        </w:rPr>
        <w:tab/>
      </w:r>
      <w:r w:rsidRPr="00486924">
        <w:rPr>
          <w:rFonts w:hint="cs"/>
          <w:rtl/>
        </w:rPr>
        <w:t xml:space="preserve">"שָׂמֻנִי נֹטֵרָה אֶת הַכְּרָמִים" </w:t>
      </w:r>
      <w:r w:rsidRPr="00486924">
        <w:rPr>
          <w:rtl/>
        </w:rPr>
        <w:t>–</w:t>
      </w:r>
      <w:r w:rsidRPr="00486924">
        <w:rPr>
          <w:rFonts w:hint="cs"/>
          <w:rtl/>
        </w:rPr>
        <w:t xml:space="preserve"> מפטם ומאכיל לצדקיהו בן כנענה וחבריו,</w:t>
      </w:r>
    </w:p>
    <w:p w:rsidR="00486924" w:rsidRPr="00486924" w:rsidRDefault="00486924" w:rsidP="00486924">
      <w:pPr>
        <w:pStyle w:val="FootnoteText"/>
        <w:rPr>
          <w:rtl/>
        </w:rPr>
      </w:pPr>
      <w:r w:rsidRPr="00486924">
        <w:rPr>
          <w:rtl/>
        </w:rPr>
        <w:tab/>
      </w:r>
      <w:r w:rsidRPr="00486924">
        <w:rPr>
          <w:rFonts w:hint="cs"/>
          <w:rtl/>
        </w:rPr>
        <w:t>ונביא אחד של אמת היה לי, זה מיכיהו, ופקיד הכי (- וציווה כך)</w:t>
      </w:r>
    </w:p>
    <w:p w:rsidR="00486924" w:rsidRPr="00486924" w:rsidRDefault="00486924" w:rsidP="00486924">
      <w:pPr>
        <w:pStyle w:val="FootnoteText"/>
        <w:rPr>
          <w:rtl/>
        </w:rPr>
      </w:pPr>
      <w:r w:rsidRPr="00486924">
        <w:rPr>
          <w:rtl/>
        </w:rPr>
        <w:tab/>
      </w:r>
      <w:r w:rsidRPr="00486924">
        <w:rPr>
          <w:rFonts w:hint="cs"/>
          <w:rtl/>
        </w:rPr>
        <w:t>ואמר: "וְהַאֲכִילֻהוּ לֶחֶם לַחַץ וּמַיִם לַחַץ עַד בֹּאִי בְשָׁלוֹם".</w:t>
      </w:r>
    </w:p>
    <w:p w:rsidR="00486924" w:rsidRPr="00486924" w:rsidRDefault="00486924" w:rsidP="00486924">
      <w:pPr>
        <w:pStyle w:val="FootnoteText"/>
        <w:rPr>
          <w:rtl/>
        </w:rPr>
      </w:pPr>
      <w:r w:rsidRPr="00486924">
        <w:rPr>
          <w:rtl/>
        </w:rPr>
        <w:tab/>
      </w:r>
      <w:r w:rsidRPr="00486924">
        <w:rPr>
          <w:rFonts w:hint="cs"/>
          <w:rtl/>
        </w:rPr>
        <w:t xml:space="preserve">הוי </w:t>
      </w:r>
      <w:r w:rsidRPr="00486924">
        <w:rPr>
          <w:rtl/>
        </w:rPr>
        <w:t>–</w:t>
      </w:r>
      <w:r w:rsidRPr="00486924">
        <w:rPr>
          <w:rFonts w:hint="cs"/>
          <w:rtl/>
        </w:rPr>
        <w:t xml:space="preserve"> "כַּרְמִי שֶׁלִּי לֹא נָטָרְתִּי".</w:t>
      </w:r>
    </w:p>
    <w:p w:rsidR="00486924" w:rsidRDefault="00486924" w:rsidP="00486924">
      <w:pPr>
        <w:pStyle w:val="FootnoteText"/>
        <w:rPr>
          <w:rtl/>
        </w:rPr>
      </w:pPr>
      <w:r w:rsidRPr="00486924">
        <w:rPr>
          <w:rFonts w:hint="cs"/>
          <w:rtl/>
        </w:rPr>
        <w:t xml:space="preserve">המדרש מנגיד בין 'כרמים' סתם שהם נביאי השקר הזוכים לשמירה ולטיפוח מ'בני אמי' </w:t>
      </w:r>
      <w:r w:rsidRPr="00486924">
        <w:rPr>
          <w:rtl/>
        </w:rPr>
        <w:t>–</w:t>
      </w:r>
      <w:r w:rsidRPr="00486924">
        <w:rPr>
          <w:rFonts w:hint="cs"/>
          <w:rtl/>
        </w:rPr>
        <w:t xml:space="preserve"> בני אומתי כגון אחאב; ולעומתם 'כרמי שלי' </w:t>
      </w:r>
      <w:r w:rsidRPr="00486924">
        <w:rPr>
          <w:rtl/>
        </w:rPr>
        <w:t>–</w:t>
      </w:r>
      <w:r w:rsidRPr="00486924">
        <w:rPr>
          <w:rFonts w:hint="cs"/>
          <w:rtl/>
        </w:rPr>
        <w:t xml:space="preserve"> נביא האמת שהיה בישראל, </w:t>
      </w:r>
      <w:r>
        <w:rPr>
          <w:rFonts w:hint="cs"/>
          <w:rtl/>
        </w:rPr>
        <w:t>אשר</w:t>
      </w:r>
      <w:r w:rsidRPr="00486924">
        <w:rPr>
          <w:rFonts w:hint="cs"/>
          <w:rtl/>
        </w:rPr>
        <w:t xml:space="preserve"> זוכה מאותו 'בן אומתי' לכליאה וחסרון צורכי הקיום. </w:t>
      </w:r>
    </w:p>
    <w:p w:rsidR="00486924" w:rsidRPr="00486924" w:rsidRDefault="00486924" w:rsidP="00486924">
      <w:pPr>
        <w:pStyle w:val="FootnoteText"/>
      </w:pPr>
      <w:r w:rsidRPr="00486924">
        <w:rPr>
          <w:rFonts w:hint="cs"/>
          <w:rtl/>
        </w:rPr>
        <w:t>בהמשך מנגיד המדרש הזה גם את יחסם של איזבל ושל צדקיה</w:t>
      </w:r>
      <w:r>
        <w:rPr>
          <w:rFonts w:hint="cs"/>
          <w:rtl/>
        </w:rPr>
        <w:t>ו מלך יהודה האחרון</w:t>
      </w:r>
      <w:r w:rsidRPr="00486924">
        <w:rPr>
          <w:rFonts w:hint="cs"/>
          <w:rtl/>
        </w:rPr>
        <w:t xml:space="preserve"> לנביאי השקר שאותם הם מטפחים, ולעומת</w:t>
      </w:r>
      <w:r>
        <w:rPr>
          <w:rFonts w:hint="cs"/>
          <w:rtl/>
        </w:rPr>
        <w:t xml:space="preserve"> זאת</w:t>
      </w:r>
      <w:r w:rsidR="00722D7C">
        <w:rPr>
          <w:rFonts w:hint="cs"/>
          <w:rtl/>
        </w:rPr>
        <w:t xml:space="preserve"> את נביאי האמת </w:t>
      </w:r>
      <w:r w:rsidR="00722D7C">
        <w:rPr>
          <w:rtl/>
        </w:rPr>
        <w:t>–</w:t>
      </w:r>
      <w:r w:rsidR="00722D7C">
        <w:rPr>
          <w:rFonts w:hint="cs"/>
          <w:rtl/>
        </w:rPr>
        <w:t xml:space="preserve"> אליהו וירמיהו </w:t>
      </w:r>
      <w:r w:rsidR="00722D7C">
        <w:rPr>
          <w:rtl/>
        </w:rPr>
        <w:t>–</w:t>
      </w:r>
      <w:r w:rsidRPr="00486924">
        <w:rPr>
          <w:rFonts w:hint="cs"/>
          <w:rtl/>
        </w:rPr>
        <w:t xml:space="preserve"> הם רודפים.</w:t>
      </w:r>
    </w:p>
  </w:footnote>
  <w:footnote w:id="7">
    <w:p w:rsidR="00D70555" w:rsidRDefault="00D70555" w:rsidP="00486924">
      <w:pPr>
        <w:pStyle w:val="FootnoteText"/>
      </w:pPr>
      <w:r>
        <w:rPr>
          <w:rStyle w:val="FootnoteReference"/>
        </w:rPr>
        <w:footnoteRef/>
      </w:r>
      <w:r>
        <w:rPr>
          <w:rtl/>
        </w:rPr>
        <w:t xml:space="preserve"> </w:t>
      </w:r>
      <w:r>
        <w:rPr>
          <w:rFonts w:hint="cs"/>
          <w:rtl/>
        </w:rPr>
        <w:t xml:space="preserve">עלבונו של צדקיה </w:t>
      </w:r>
      <w:r w:rsidR="00486924">
        <w:rPr>
          <w:rFonts w:hint="cs"/>
          <w:rtl/>
        </w:rPr>
        <w:t>נבע מ</w:t>
      </w:r>
      <w:r>
        <w:rPr>
          <w:rFonts w:hint="cs"/>
          <w:rtl/>
        </w:rPr>
        <w:t xml:space="preserve">האשמתו על ידי מיכיהו כנביא שרוח שקר היא המדברת בפיו; עלבונו של אחאב </w:t>
      </w:r>
      <w:r w:rsidR="00486924">
        <w:rPr>
          <w:rFonts w:hint="cs"/>
          <w:rtl/>
        </w:rPr>
        <w:t>נבע מה</w:t>
      </w:r>
      <w:r>
        <w:rPr>
          <w:rFonts w:hint="cs"/>
          <w:rtl/>
        </w:rPr>
        <w:t>צגתו כ'מבוקש' שתלוי כנגדו גזר דין מוות.</w:t>
      </w:r>
    </w:p>
  </w:footnote>
  <w:footnote w:id="8">
    <w:p w:rsidR="00D70555" w:rsidRDefault="00D70555" w:rsidP="00D70555">
      <w:pPr>
        <w:pStyle w:val="FootnoteText"/>
      </w:pPr>
      <w:r>
        <w:rPr>
          <w:rStyle w:val="FootnoteReference"/>
        </w:rPr>
        <w:footnoteRef/>
      </w:r>
      <w:r>
        <w:rPr>
          <w:rtl/>
        </w:rPr>
        <w:t xml:space="preserve"> </w:t>
      </w:r>
      <w:r>
        <w:rPr>
          <w:rFonts w:hint="cs"/>
          <w:rtl/>
        </w:rPr>
        <w:t>חוסר האמון של צדקיה בנבואתו של מיכיהו מתבטא בשאלתו האירונית "</w:t>
      </w:r>
      <w:r w:rsidRPr="00915CCC">
        <w:rPr>
          <w:rFonts w:hint="cs"/>
          <w:rtl/>
        </w:rPr>
        <w:t xml:space="preserve">אֵי זֶה עָבַר רוּחַ </w:t>
      </w:r>
      <w:r>
        <w:rPr>
          <w:rFonts w:hint="cs"/>
          <w:rtl/>
        </w:rPr>
        <w:t>ה</w:t>
      </w:r>
      <w:r>
        <w:rPr>
          <w:rtl/>
        </w:rPr>
        <w:t>'</w:t>
      </w:r>
      <w:r w:rsidRPr="00915CCC">
        <w:rPr>
          <w:rFonts w:hint="cs"/>
          <w:rtl/>
        </w:rPr>
        <w:t xml:space="preserve"> מֵאִתִּי לְדַבֵּר אוֹתָךְ</w:t>
      </w:r>
      <w:r>
        <w:rPr>
          <w:rFonts w:hint="cs"/>
          <w:rtl/>
        </w:rPr>
        <w:t>?"; חוסר האמון של אחאב מתבטא בסיום דבריו "</w:t>
      </w:r>
      <w:r w:rsidRPr="00915CCC">
        <w:rPr>
          <w:rFonts w:hint="cs"/>
          <w:rtl/>
        </w:rPr>
        <w:t>עַד בֹּאִי בְשָׁלוֹם</w:t>
      </w:r>
      <w:r>
        <w:rPr>
          <w:rFonts w:hint="cs"/>
          <w:rtl/>
        </w:rPr>
        <w:t>". ומאחר שלדעתם מיכיהו אינו נביא</w:t>
      </w:r>
      <w:r w:rsidR="00486924">
        <w:rPr>
          <w:rFonts w:hint="cs"/>
          <w:rtl/>
        </w:rPr>
        <w:t xml:space="preserve"> אמת</w:t>
      </w:r>
      <w:r>
        <w:rPr>
          <w:rFonts w:hint="cs"/>
          <w:rtl/>
        </w:rPr>
        <w:t>, לא נרתעו מפגיעה אלימה בו.</w:t>
      </w:r>
    </w:p>
  </w:footnote>
  <w:footnote w:id="9">
    <w:p w:rsidR="00D757DB" w:rsidRDefault="00D757DB" w:rsidP="004F12F2">
      <w:pPr>
        <w:pStyle w:val="FootnoteText"/>
      </w:pPr>
      <w:r>
        <w:rPr>
          <w:rStyle w:val="FootnoteReference"/>
        </w:rPr>
        <w:footnoteRef/>
      </w:r>
      <w:r>
        <w:rPr>
          <w:rtl/>
        </w:rPr>
        <w:t xml:space="preserve"> </w:t>
      </w:r>
      <w:r w:rsidR="00775F92">
        <w:rPr>
          <w:rFonts w:hint="cs"/>
          <w:rtl/>
        </w:rPr>
        <w:t xml:space="preserve">וכבר השוו חז"ל במדרשם את שני המקומות הללו: בירושלמי סנהדרין פרק י' הלכה א: "אמר רבי שמעון בן לקיש: </w:t>
      </w:r>
      <w:r w:rsidR="005D6678">
        <w:rPr>
          <w:rFonts w:hint="cs"/>
          <w:rtl/>
        </w:rPr>
        <w:t>שלושה כ</w:t>
      </w:r>
      <w:r w:rsidR="00722D7C">
        <w:rPr>
          <w:rFonts w:hint="cs"/>
          <w:rtl/>
        </w:rPr>
        <w:t>פרו בנבואתן מפני פּוֹנְרִיָיה (</w:t>
      </w:r>
      <w:r w:rsidR="00722D7C">
        <w:rPr>
          <w:rtl/>
        </w:rPr>
        <w:t>–</w:t>
      </w:r>
      <w:r w:rsidR="00722D7C">
        <w:rPr>
          <w:rFonts w:hint="cs"/>
          <w:rtl/>
        </w:rPr>
        <w:t xml:space="preserve"> </w:t>
      </w:r>
      <w:r w:rsidR="005D6678">
        <w:rPr>
          <w:rFonts w:hint="cs"/>
          <w:rtl/>
        </w:rPr>
        <w:t xml:space="preserve"> רֶשע), ואלו הן: משה ואליהו ומיכה. משה אמר: </w:t>
      </w:r>
      <w:r w:rsidR="00361420">
        <w:rPr>
          <w:rtl/>
        </w:rPr>
        <w:t>'</w:t>
      </w:r>
      <w:r w:rsidR="00361420">
        <w:rPr>
          <w:rFonts w:hint="cs"/>
          <w:rtl/>
        </w:rPr>
        <w:t>אִם</w:t>
      </w:r>
      <w:r w:rsidR="005D6678">
        <w:rPr>
          <w:rFonts w:hint="cs"/>
          <w:rtl/>
        </w:rPr>
        <w:t xml:space="preserve"> </w:t>
      </w:r>
      <w:r w:rsidR="00361420">
        <w:rPr>
          <w:rFonts w:hint="cs"/>
          <w:rtl/>
        </w:rPr>
        <w:t>כְּמוֹת</w:t>
      </w:r>
      <w:r w:rsidR="005D6678">
        <w:rPr>
          <w:rFonts w:hint="cs"/>
          <w:rtl/>
        </w:rPr>
        <w:t xml:space="preserve"> </w:t>
      </w:r>
      <w:r w:rsidR="00361420">
        <w:rPr>
          <w:rFonts w:hint="cs"/>
          <w:rtl/>
        </w:rPr>
        <w:t>כָּל</w:t>
      </w:r>
      <w:r w:rsidR="005D6678">
        <w:rPr>
          <w:rFonts w:hint="cs"/>
          <w:rtl/>
        </w:rPr>
        <w:t xml:space="preserve"> </w:t>
      </w:r>
      <w:r w:rsidR="00361420">
        <w:rPr>
          <w:rFonts w:hint="cs"/>
          <w:rtl/>
        </w:rPr>
        <w:t>הָאָדָם</w:t>
      </w:r>
      <w:r w:rsidR="005D6678">
        <w:rPr>
          <w:rFonts w:hint="cs"/>
          <w:rtl/>
        </w:rPr>
        <w:t xml:space="preserve"> </w:t>
      </w:r>
      <w:r w:rsidR="00361420">
        <w:rPr>
          <w:rFonts w:hint="cs"/>
          <w:rtl/>
        </w:rPr>
        <w:t>יְמוּתוּן</w:t>
      </w:r>
      <w:r w:rsidR="005D6678">
        <w:rPr>
          <w:rFonts w:hint="cs"/>
          <w:rtl/>
        </w:rPr>
        <w:t xml:space="preserve"> </w:t>
      </w:r>
      <w:r w:rsidR="00361420">
        <w:rPr>
          <w:rFonts w:hint="cs"/>
          <w:rtl/>
        </w:rPr>
        <w:t>אֵלֶּה</w:t>
      </w:r>
      <w:r w:rsidR="00361420">
        <w:rPr>
          <w:rtl/>
        </w:rPr>
        <w:t>'</w:t>
      </w:r>
      <w:r w:rsidR="005D6678">
        <w:rPr>
          <w:rFonts w:hint="cs"/>
          <w:rtl/>
        </w:rPr>
        <w:t xml:space="preserve"> וגו'... מיכה אמר: </w:t>
      </w:r>
      <w:r w:rsidR="00361420">
        <w:rPr>
          <w:rtl/>
        </w:rPr>
        <w:t>'</w:t>
      </w:r>
      <w:r w:rsidR="00361420">
        <w:rPr>
          <w:rFonts w:hint="cs"/>
          <w:rtl/>
        </w:rPr>
        <w:t>אִם</w:t>
      </w:r>
      <w:r w:rsidR="005D6678">
        <w:rPr>
          <w:rFonts w:hint="cs"/>
          <w:rtl/>
        </w:rPr>
        <w:t xml:space="preserve"> </w:t>
      </w:r>
      <w:r w:rsidR="00361420">
        <w:rPr>
          <w:rFonts w:hint="cs"/>
          <w:rtl/>
        </w:rPr>
        <w:t>שׁוּב תָּשׁוּב</w:t>
      </w:r>
      <w:r w:rsidR="005D6678">
        <w:rPr>
          <w:rFonts w:hint="cs"/>
          <w:rtl/>
        </w:rPr>
        <w:t xml:space="preserve"> </w:t>
      </w:r>
      <w:r w:rsidR="00361420">
        <w:rPr>
          <w:rFonts w:hint="cs"/>
          <w:rtl/>
        </w:rPr>
        <w:t>בְּשָׁלוֹם</w:t>
      </w:r>
      <w:r w:rsidR="005D6678">
        <w:rPr>
          <w:rFonts w:hint="cs"/>
          <w:rtl/>
        </w:rPr>
        <w:t xml:space="preserve"> </w:t>
      </w:r>
      <w:r w:rsidR="00361420">
        <w:rPr>
          <w:rFonts w:hint="cs"/>
          <w:rtl/>
        </w:rPr>
        <w:t>לֹא</w:t>
      </w:r>
      <w:r w:rsidR="005D6678">
        <w:rPr>
          <w:rFonts w:hint="cs"/>
          <w:rtl/>
        </w:rPr>
        <w:t xml:space="preserve"> </w:t>
      </w:r>
      <w:r w:rsidR="00361420">
        <w:rPr>
          <w:rFonts w:hint="cs"/>
          <w:rtl/>
        </w:rPr>
        <w:t>דִּבֶּר</w:t>
      </w:r>
      <w:r w:rsidR="005D6678">
        <w:rPr>
          <w:rFonts w:hint="cs"/>
          <w:rtl/>
        </w:rPr>
        <w:t xml:space="preserve"> </w:t>
      </w:r>
      <w:r w:rsidR="00361420">
        <w:rPr>
          <w:rFonts w:hint="cs"/>
          <w:rtl/>
        </w:rPr>
        <w:t>ה</w:t>
      </w:r>
      <w:r w:rsidR="00361420">
        <w:rPr>
          <w:rtl/>
        </w:rPr>
        <w:t>'</w:t>
      </w:r>
      <w:r w:rsidR="005D6678">
        <w:rPr>
          <w:rFonts w:hint="cs"/>
          <w:rtl/>
        </w:rPr>
        <w:t xml:space="preserve"> </w:t>
      </w:r>
      <w:r w:rsidR="00361420">
        <w:rPr>
          <w:rFonts w:hint="cs"/>
          <w:rtl/>
        </w:rPr>
        <w:t>בִּי</w:t>
      </w:r>
      <w:r w:rsidR="00361420">
        <w:rPr>
          <w:rtl/>
        </w:rPr>
        <w:t>'</w:t>
      </w:r>
      <w:r w:rsidR="005D6678">
        <w:rPr>
          <w:rFonts w:hint="cs"/>
          <w:rtl/>
        </w:rPr>
        <w:t xml:space="preserve">." </w:t>
      </w:r>
      <w:r w:rsidR="004F12F2">
        <w:rPr>
          <w:rFonts w:hint="cs"/>
          <w:rtl/>
        </w:rPr>
        <w:t>(ראה מקבילות ב</w:t>
      </w:r>
      <w:r w:rsidR="005D6678">
        <w:rPr>
          <w:rFonts w:hint="cs"/>
          <w:rtl/>
        </w:rPr>
        <w:t xml:space="preserve">במדבר רבה י"ח, יב; </w:t>
      </w:r>
      <w:r w:rsidR="004F12F2">
        <w:rPr>
          <w:rFonts w:hint="cs"/>
          <w:rtl/>
        </w:rPr>
        <w:t>וב</w:t>
      </w:r>
      <w:r w:rsidR="005D6678">
        <w:rPr>
          <w:rFonts w:hint="cs"/>
          <w:rtl/>
        </w:rPr>
        <w:t>תנחומא בובר הוספה לפרשת קרח סעיף ג</w:t>
      </w:r>
      <w:r w:rsidR="004F12F2">
        <w:rPr>
          <w:rFonts w:hint="cs"/>
          <w:rtl/>
        </w:rPr>
        <w:t xml:space="preserve">, </w:t>
      </w:r>
      <w:r w:rsidR="005D6678">
        <w:rPr>
          <w:rFonts w:hint="cs"/>
          <w:rtl/>
        </w:rPr>
        <w:t>עמוד 96). הראיה שמביא המדרש ביחס לאליהו היא על פי הדרש ו</w:t>
      </w:r>
      <w:r w:rsidR="004F12F2">
        <w:rPr>
          <w:rFonts w:hint="cs"/>
          <w:rtl/>
        </w:rPr>
        <w:t>על כן</w:t>
      </w:r>
      <w:r w:rsidR="005D6678">
        <w:rPr>
          <w:rFonts w:hint="cs"/>
          <w:rtl/>
        </w:rPr>
        <w:t xml:space="preserve"> השמטנו אותה.</w:t>
      </w:r>
    </w:p>
  </w:footnote>
  <w:footnote w:id="10">
    <w:p w:rsidR="001B2DFD" w:rsidRDefault="001B2DFD" w:rsidP="00AF5031">
      <w:pPr>
        <w:pStyle w:val="FootnoteText"/>
        <w:rPr>
          <w:rtl/>
        </w:rPr>
      </w:pPr>
      <w:r>
        <w:rPr>
          <w:rStyle w:val="FootnoteReference"/>
        </w:rPr>
        <w:footnoteRef/>
      </w:r>
      <w:r>
        <w:rPr>
          <w:rtl/>
        </w:rPr>
        <w:t xml:space="preserve"> </w:t>
      </w:r>
      <w:r w:rsidR="00A03B02">
        <w:rPr>
          <w:rFonts w:hint="cs"/>
          <w:rtl/>
        </w:rPr>
        <w:t xml:space="preserve">יש לשים לב </w:t>
      </w:r>
      <w:r w:rsidR="000F57F5">
        <w:rPr>
          <w:rFonts w:hint="cs"/>
          <w:rtl/>
        </w:rPr>
        <w:t>להבדל לשוני</w:t>
      </w:r>
      <w:r w:rsidR="00722D7C">
        <w:rPr>
          <w:rFonts w:hint="cs"/>
          <w:rtl/>
        </w:rPr>
        <w:t xml:space="preserve"> קל</w:t>
      </w:r>
      <w:r w:rsidR="000F57F5">
        <w:rPr>
          <w:rFonts w:hint="cs"/>
          <w:rtl/>
        </w:rPr>
        <w:t xml:space="preserve">: </w:t>
      </w:r>
      <w:r w:rsidR="00AF5031">
        <w:rPr>
          <w:rFonts w:hint="cs"/>
          <w:rtl/>
        </w:rPr>
        <w:t>מיכיהו בנבואתו הראשונה השתמש בפועל שו"ב ("</w:t>
      </w:r>
      <w:r w:rsidR="00AF5031" w:rsidRPr="000F57F5">
        <w:rPr>
          <w:rFonts w:hint="cs"/>
          <w:b/>
          <w:bCs/>
          <w:rtl/>
        </w:rPr>
        <w:t>יָשׁוּבוּ</w:t>
      </w:r>
      <w:r w:rsidR="00AF5031" w:rsidRPr="00A03B02">
        <w:rPr>
          <w:rFonts w:hint="cs"/>
          <w:rtl/>
        </w:rPr>
        <w:t xml:space="preserve"> אִישׁ לְבֵיתוֹ בְּשָׁלוֹם</w:t>
      </w:r>
      <w:r w:rsidR="00AF5031">
        <w:rPr>
          <w:rFonts w:hint="cs"/>
          <w:rtl/>
        </w:rPr>
        <w:t xml:space="preserve">") ולעומתו </w:t>
      </w:r>
      <w:r w:rsidR="000F57F5">
        <w:rPr>
          <w:rFonts w:hint="cs"/>
          <w:rtl/>
        </w:rPr>
        <w:t>אחאב השתמש בפועל בו"א</w:t>
      </w:r>
      <w:r w:rsidR="000F57F5" w:rsidRPr="000F57F5">
        <w:rPr>
          <w:rFonts w:hint="cs"/>
          <w:sz w:val="22"/>
          <w:szCs w:val="22"/>
          <w:rtl/>
        </w:rPr>
        <w:t xml:space="preserve"> </w:t>
      </w:r>
      <w:r w:rsidR="000F57F5">
        <w:rPr>
          <w:rFonts w:hint="cs"/>
          <w:sz w:val="22"/>
          <w:szCs w:val="22"/>
          <w:rtl/>
        </w:rPr>
        <w:t>("</w:t>
      </w:r>
      <w:r w:rsidR="000F57F5" w:rsidRPr="000F57F5">
        <w:rPr>
          <w:rFonts w:hint="cs"/>
          <w:rtl/>
        </w:rPr>
        <w:t xml:space="preserve">עַד </w:t>
      </w:r>
      <w:r w:rsidR="000F57F5" w:rsidRPr="000F57F5">
        <w:rPr>
          <w:rFonts w:hint="cs"/>
          <w:b/>
          <w:bCs/>
          <w:rtl/>
        </w:rPr>
        <w:t xml:space="preserve">בֹּאִי </w:t>
      </w:r>
      <w:r w:rsidR="000F57F5" w:rsidRPr="000F57F5">
        <w:rPr>
          <w:rFonts w:hint="cs"/>
          <w:rtl/>
        </w:rPr>
        <w:t>בְשָׁלוֹם"</w:t>
      </w:r>
      <w:r w:rsidR="000F57F5">
        <w:rPr>
          <w:rFonts w:hint="cs"/>
          <w:b/>
          <w:bCs/>
          <w:rtl/>
        </w:rPr>
        <w:t>)</w:t>
      </w:r>
      <w:r w:rsidR="000F57F5">
        <w:rPr>
          <w:rFonts w:hint="cs"/>
          <w:rtl/>
        </w:rPr>
        <w:t>. בתגובת</w:t>
      </w:r>
      <w:r w:rsidR="00A03B02">
        <w:rPr>
          <w:rFonts w:hint="cs"/>
          <w:rtl/>
        </w:rPr>
        <w:t xml:space="preserve"> מיכיהו </w:t>
      </w:r>
      <w:r w:rsidR="000F57F5">
        <w:rPr>
          <w:rFonts w:hint="cs"/>
          <w:rtl/>
        </w:rPr>
        <w:t xml:space="preserve">לאחאב אין הוא </w:t>
      </w:r>
      <w:r w:rsidR="00A03B02">
        <w:rPr>
          <w:rFonts w:hint="cs"/>
          <w:rtl/>
        </w:rPr>
        <w:t xml:space="preserve">אומר 'אם בוא תבוא בשלום...' </w:t>
      </w:r>
      <w:r w:rsidR="000F57F5">
        <w:rPr>
          <w:rFonts w:hint="cs"/>
          <w:rtl/>
        </w:rPr>
        <w:t>כ</w:t>
      </w:r>
      <w:r w:rsidR="00A03B02">
        <w:rPr>
          <w:rFonts w:hint="cs"/>
          <w:rtl/>
        </w:rPr>
        <w:t>לשון אחאב, אלא "</w:t>
      </w:r>
      <w:r w:rsidR="00A03B02" w:rsidRPr="00A03B02">
        <w:rPr>
          <w:rFonts w:hint="cs"/>
          <w:rtl/>
        </w:rPr>
        <w:t>אִם שׁוֹב תָּשׁוּב בְּשָׁלוֹם</w:t>
      </w:r>
      <w:r w:rsidR="00A03B02">
        <w:rPr>
          <w:rFonts w:hint="cs"/>
          <w:rtl/>
        </w:rPr>
        <w:t xml:space="preserve">", </w:t>
      </w:r>
      <w:r w:rsidR="000F57F5">
        <w:rPr>
          <w:rFonts w:hint="cs"/>
          <w:rtl/>
        </w:rPr>
        <w:t>כ</w:t>
      </w:r>
      <w:r w:rsidR="00A03B02">
        <w:rPr>
          <w:rFonts w:hint="cs"/>
          <w:rtl/>
        </w:rPr>
        <w:t>לשון נבואתו הראשונה</w:t>
      </w:r>
      <w:r w:rsidR="00C74078">
        <w:rPr>
          <w:rFonts w:hint="cs"/>
          <w:rtl/>
        </w:rPr>
        <w:t>. בכך ר</w:t>
      </w:r>
      <w:r w:rsidR="000F57F5">
        <w:rPr>
          <w:rFonts w:hint="cs"/>
          <w:rtl/>
        </w:rPr>
        <w:t>ומז מיכיהו</w:t>
      </w:r>
      <w:r w:rsidR="00C74078">
        <w:rPr>
          <w:rFonts w:hint="cs"/>
          <w:rtl/>
        </w:rPr>
        <w:t xml:space="preserve"> לנבואתו </w:t>
      </w:r>
      <w:r w:rsidR="000F57F5">
        <w:rPr>
          <w:rFonts w:hint="cs"/>
          <w:rtl/>
        </w:rPr>
        <w:t>שלו</w:t>
      </w:r>
      <w:r w:rsidR="00C74078">
        <w:rPr>
          <w:rFonts w:hint="cs"/>
          <w:rtl/>
        </w:rPr>
        <w:t>, שמכוחה הוא יודע כי אחאב לא ישוב בשלום.</w:t>
      </w:r>
    </w:p>
  </w:footnote>
  <w:footnote w:id="11">
    <w:p w:rsidR="001B2DFD" w:rsidRDefault="001B2DFD">
      <w:pPr>
        <w:pStyle w:val="FootnoteText"/>
      </w:pPr>
      <w:r>
        <w:rPr>
          <w:rStyle w:val="FootnoteReference"/>
        </w:rPr>
        <w:footnoteRef/>
      </w:r>
      <w:r>
        <w:rPr>
          <w:rtl/>
        </w:rPr>
        <w:t xml:space="preserve"> </w:t>
      </w:r>
      <w:r w:rsidR="00C74078">
        <w:rPr>
          <w:rFonts w:hint="cs"/>
          <w:rtl/>
        </w:rPr>
        <w:t>ראה הסבר דבר זה באריכות בעיון ט</w:t>
      </w:r>
      <w:r w:rsidR="00361420">
        <w:rPr>
          <w:rFonts w:hint="cs"/>
          <w:rtl/>
        </w:rPr>
        <w:t xml:space="preserve"> סעיפים </w:t>
      </w:r>
      <w:r w:rsidR="00C74078">
        <w:rPr>
          <w:rFonts w:hint="cs"/>
          <w:rtl/>
        </w:rPr>
        <w:t>4–5.</w:t>
      </w:r>
    </w:p>
  </w:footnote>
  <w:footnote w:id="12">
    <w:p w:rsidR="00A85373" w:rsidRDefault="00A85373" w:rsidP="00D91AC0">
      <w:pPr>
        <w:pStyle w:val="FootnoteText"/>
        <w:rPr>
          <w:rtl/>
        </w:rPr>
      </w:pPr>
      <w:r>
        <w:rPr>
          <w:rStyle w:val="FootnoteReference"/>
        </w:rPr>
        <w:footnoteRef/>
      </w:r>
      <w:r>
        <w:rPr>
          <w:rtl/>
        </w:rPr>
        <w:t xml:space="preserve"> </w:t>
      </w:r>
      <w:r w:rsidR="00C74078">
        <w:rPr>
          <w:rFonts w:hint="cs"/>
          <w:rtl/>
        </w:rPr>
        <w:t>דבריו רומזים לנבואת ירמיהו י"ח ז–ח: "</w:t>
      </w:r>
      <w:r w:rsidR="00C74078" w:rsidRPr="00C74078">
        <w:rPr>
          <w:rFonts w:hint="cs"/>
          <w:rtl/>
        </w:rPr>
        <w:t>רֶגַע אֲדַבֵּר עַל גּוֹי וְעַל מַמְלָכָה לִנְתוֹשׁ וְלִנְתוֹץ וּלְהַאֲבִיד</w:t>
      </w:r>
      <w:r w:rsidR="00D91AC0">
        <w:rPr>
          <w:rFonts w:hint="cs"/>
          <w:rtl/>
        </w:rPr>
        <w:t xml:space="preserve">. </w:t>
      </w:r>
      <w:r w:rsidR="00D91AC0" w:rsidRPr="00D91AC0">
        <w:rPr>
          <w:rFonts w:hint="cs"/>
          <w:rtl/>
        </w:rPr>
        <w:t>וְשָׁב הַגּוֹי הַהוּא מֵרָעָתוֹ אֲשֶׁר דִּבַּרְתִּי עָלָיו</w:t>
      </w:r>
      <w:r w:rsidR="00D91AC0">
        <w:rPr>
          <w:rFonts w:hint="cs"/>
          <w:rtl/>
        </w:rPr>
        <w:t>,</w:t>
      </w:r>
      <w:r w:rsidR="00D91AC0" w:rsidRPr="00D91AC0">
        <w:rPr>
          <w:rFonts w:hint="cs"/>
          <w:rtl/>
        </w:rPr>
        <w:t xml:space="preserve"> וְנִחַמְתִּי עַל הָרָעָה אֲשֶׁר חָשַׁבְתִּי לַעֲשׂוֹת לוֹ</w:t>
      </w:r>
      <w:r w:rsidR="00D91AC0">
        <w:rPr>
          <w:rFonts w:hint="cs"/>
          <w:rtl/>
        </w:rPr>
        <w:t>".</w:t>
      </w:r>
    </w:p>
  </w:footnote>
  <w:footnote w:id="13">
    <w:p w:rsidR="009C29EC" w:rsidRPr="00FA075E" w:rsidRDefault="009C29EC" w:rsidP="00722D7C">
      <w:pPr>
        <w:pStyle w:val="FootnoteText"/>
        <w:rPr>
          <w:rtl/>
        </w:rPr>
      </w:pPr>
      <w:r>
        <w:rPr>
          <w:rStyle w:val="FootnoteReference"/>
        </w:rPr>
        <w:footnoteRef/>
      </w:r>
      <w:r>
        <w:rPr>
          <w:rtl/>
        </w:rPr>
        <w:t xml:space="preserve"> </w:t>
      </w:r>
      <w:r w:rsidR="000F57F5">
        <w:rPr>
          <w:rFonts w:hint="cs"/>
          <w:rtl/>
        </w:rPr>
        <w:t>ר"</w:t>
      </w:r>
      <w:r w:rsidR="00D91AC0">
        <w:rPr>
          <w:rFonts w:hint="cs"/>
          <w:rtl/>
        </w:rPr>
        <w:t>ש לניאדו פירש את סיום נבואתו הראשונה של מיכיהו "</w:t>
      </w:r>
      <w:r w:rsidR="00D91AC0" w:rsidRPr="00D91AC0">
        <w:rPr>
          <w:rFonts w:hint="cs"/>
          <w:rtl/>
        </w:rPr>
        <w:t>יָשׁוּבוּ אִישׁ לְבֵיתוֹ בְּשָׁלוֹם</w:t>
      </w:r>
      <w:r w:rsidR="00D91AC0">
        <w:rPr>
          <w:rFonts w:hint="cs"/>
          <w:rtl/>
        </w:rPr>
        <w:t>"</w:t>
      </w:r>
      <w:r w:rsidR="00FA075E">
        <w:rPr>
          <w:rFonts w:hint="cs"/>
          <w:rtl/>
        </w:rPr>
        <w:t xml:space="preserve"> כהוראה לשעה זו שבה נאמרו הדברים, ולא כנבואה לעתיד. ראה עיון ט סוף סעיף 4 והערה 5</w:t>
      </w:r>
      <w:r w:rsidR="00722D7C">
        <w:rPr>
          <w:rFonts w:hint="cs"/>
          <w:vertAlign w:val="subscript"/>
          <w:rtl/>
        </w:rPr>
        <w:t>ב</w:t>
      </w:r>
      <w:r w:rsidR="00FA075E">
        <w:rPr>
          <w:rFonts w:hint="cs"/>
          <w:rtl/>
        </w:rPr>
        <w:t xml:space="preserve">. אולם אף לולי נפרש בדרכו, ברור שנבואותיו של מיכיהו </w:t>
      </w:r>
      <w:r w:rsidR="00FA075E">
        <w:rPr>
          <w:rFonts w:hint="cs"/>
          <w:b/>
          <w:bCs/>
          <w:rtl/>
        </w:rPr>
        <w:t>בכללן</w:t>
      </w:r>
      <w:r w:rsidR="00FA075E">
        <w:rPr>
          <w:rFonts w:hint="cs"/>
          <w:rtl/>
        </w:rPr>
        <w:t xml:space="preserve"> מכוונות להניא את אחאב מלצאת למלחמה. </w:t>
      </w:r>
    </w:p>
  </w:footnote>
  <w:footnote w:id="14">
    <w:p w:rsidR="00CD6982" w:rsidRDefault="00CD6982" w:rsidP="003753E2">
      <w:pPr>
        <w:pStyle w:val="FootnoteText"/>
        <w:rPr>
          <w:rtl/>
        </w:rPr>
      </w:pPr>
      <w:r>
        <w:rPr>
          <w:rStyle w:val="FootnoteReference"/>
        </w:rPr>
        <w:footnoteRef/>
      </w:r>
      <w:r>
        <w:rPr>
          <w:rtl/>
        </w:rPr>
        <w:t xml:space="preserve"> </w:t>
      </w:r>
      <w:r w:rsidR="003753E2">
        <w:rPr>
          <w:rFonts w:hint="cs"/>
          <w:rtl/>
        </w:rPr>
        <w:t>'עמים' במקום זה הכוונה לישראל וליהודה שהם כשני עמים, וכדברי יהושפט לאחאב בראש סיפורנו (פסוק ד) "</w:t>
      </w:r>
      <w:r w:rsidR="003753E2" w:rsidRPr="003753E2">
        <w:rPr>
          <w:rFonts w:hint="cs"/>
          <w:rtl/>
        </w:rPr>
        <w:t>כְּעַמִּי כְעַמֶּךָ</w:t>
      </w:r>
      <w:r w:rsidR="003753E2">
        <w:rPr>
          <w:rFonts w:hint="cs"/>
          <w:rtl/>
        </w:rPr>
        <w:t>"</w:t>
      </w:r>
      <w:r w:rsidR="0004758C">
        <w:rPr>
          <w:rFonts w:hint="cs"/>
          <w:rtl/>
        </w:rPr>
        <w:t>. אף כלל שבטי ישראל (ולא רק שתי הממלכות) קרויים במקרא בכמה מקומות 'עמים'.</w:t>
      </w:r>
    </w:p>
  </w:footnote>
  <w:footnote w:id="15">
    <w:p w:rsidR="00934551" w:rsidRDefault="00934551" w:rsidP="00934551">
      <w:pPr>
        <w:pStyle w:val="FootnoteText"/>
      </w:pPr>
      <w:r>
        <w:rPr>
          <w:rStyle w:val="FootnoteReference"/>
        </w:rPr>
        <w:footnoteRef/>
      </w:r>
      <w:r>
        <w:rPr>
          <w:rtl/>
        </w:rPr>
        <w:t xml:space="preserve"> </w:t>
      </w:r>
      <w:r>
        <w:rPr>
          <w:rFonts w:hint="cs"/>
          <w:rtl/>
        </w:rPr>
        <w:t>דברים אלו הם משל בני בכורי הרב אוֹרי.</w:t>
      </w:r>
    </w:p>
  </w:footnote>
  <w:footnote w:id="16">
    <w:p w:rsidR="00B51FB8" w:rsidRPr="0004758C" w:rsidRDefault="00B51FB8" w:rsidP="000632AF">
      <w:pPr>
        <w:pStyle w:val="FootnoteText"/>
        <w:rPr>
          <w:rtl/>
        </w:rPr>
      </w:pPr>
      <w:r>
        <w:rPr>
          <w:rStyle w:val="FootnoteReference"/>
        </w:rPr>
        <w:footnoteRef/>
      </w:r>
      <w:r>
        <w:rPr>
          <w:rtl/>
        </w:rPr>
        <w:t xml:space="preserve"> </w:t>
      </w:r>
      <w:r w:rsidR="0004758C">
        <w:rPr>
          <w:rFonts w:hint="cs"/>
          <w:rtl/>
        </w:rPr>
        <w:t>בסיומו של עיון המבוא הראשון לסיפורנו (סעיף 2</w:t>
      </w:r>
      <w:r w:rsidR="0004758C" w:rsidRPr="000632AF">
        <w:rPr>
          <w:rFonts w:hint="cs"/>
          <w:vertAlign w:val="subscript"/>
          <w:rtl/>
        </w:rPr>
        <w:t>ג</w:t>
      </w:r>
      <w:r w:rsidR="0004758C">
        <w:rPr>
          <w:rFonts w:hint="cs"/>
        </w:rPr>
        <w:t xml:space="preserve"> </w:t>
      </w:r>
      <w:r w:rsidR="0004758C">
        <w:t>(</w:t>
      </w:r>
      <w:r w:rsidR="00011827">
        <w:rPr>
          <w:rFonts w:hint="cs"/>
          <w:rtl/>
        </w:rPr>
        <w:t xml:space="preserve">שאלנו מדוע לא נזכר שמו של מיכיהו </w:t>
      </w:r>
      <w:r w:rsidR="000F57F5">
        <w:rPr>
          <w:rFonts w:hint="cs"/>
          <w:rtl/>
        </w:rPr>
        <w:t>ב</w:t>
      </w:r>
      <w:r w:rsidR="00011827">
        <w:rPr>
          <w:rFonts w:hint="cs"/>
          <w:rtl/>
        </w:rPr>
        <w:t>סיפור התגשמותה של נבואתו</w:t>
      </w:r>
      <w:r w:rsidR="00934551">
        <w:rPr>
          <w:rFonts w:hint="cs"/>
          <w:rtl/>
        </w:rPr>
        <w:t xml:space="preserve">, </w:t>
      </w:r>
      <w:r w:rsidR="00011827">
        <w:rPr>
          <w:rFonts w:hint="cs"/>
          <w:rtl/>
        </w:rPr>
        <w:t>מדוע לא נזכר שחרורו של מיכיהו מבית הכלא</w:t>
      </w:r>
      <w:r w:rsidR="00934551">
        <w:rPr>
          <w:rFonts w:hint="cs"/>
          <w:rtl/>
        </w:rPr>
        <w:t>,</w:t>
      </w:r>
      <w:r w:rsidR="00011827">
        <w:rPr>
          <w:rFonts w:hint="cs"/>
          <w:rtl/>
        </w:rPr>
        <w:t xml:space="preserve"> ומדוע לא נזכר</w:t>
      </w:r>
      <w:r w:rsidR="000F57F5">
        <w:rPr>
          <w:rFonts w:hint="cs"/>
          <w:rtl/>
        </w:rPr>
        <w:t>ה</w:t>
      </w:r>
      <w:r w:rsidR="00011827">
        <w:rPr>
          <w:rFonts w:hint="cs"/>
          <w:rtl/>
        </w:rPr>
        <w:t xml:space="preserve"> התגשמות נבואתו ביחס לצדקיה (כה) "</w:t>
      </w:r>
      <w:r w:rsidR="00011827" w:rsidRPr="00011827">
        <w:rPr>
          <w:rFonts w:hint="cs"/>
          <w:rtl/>
        </w:rPr>
        <w:t>הִנְּךָ רֹאֶה בַּיּוֹם הַהוּא אֲשֶׁר תָּבֹא חֶדֶר בְּחֶדֶר לְהֵחָבֵה</w:t>
      </w:r>
      <w:r w:rsidR="004B6CEF">
        <w:rPr>
          <w:rFonts w:hint="cs"/>
          <w:rtl/>
        </w:rPr>
        <w:t>"</w:t>
      </w:r>
      <w:r w:rsidR="00934551">
        <w:rPr>
          <w:rFonts w:hint="cs"/>
          <w:rtl/>
        </w:rPr>
        <w:t>.</w:t>
      </w:r>
      <w:r w:rsidR="004B6CEF">
        <w:rPr>
          <w:rFonts w:hint="cs"/>
          <w:rtl/>
        </w:rPr>
        <w:t xml:space="preserve"> התשובות על שאלות אלו קשורות בהגדרת נושא הסיפור</w:t>
      </w:r>
      <w:r w:rsidR="000F57F5">
        <w:rPr>
          <w:rFonts w:hint="cs"/>
          <w:rtl/>
        </w:rPr>
        <w:t xml:space="preserve"> שהדמות המרכזית בו היא אחאב. מיכיהו בסיפורנו הוא </w:t>
      </w:r>
      <w:r w:rsidR="004B6CEF">
        <w:rPr>
          <w:rFonts w:hint="cs"/>
          <w:rtl/>
        </w:rPr>
        <w:t>דמות משנית</w:t>
      </w:r>
      <w:r w:rsidR="000F57F5">
        <w:rPr>
          <w:rFonts w:hint="cs"/>
          <w:rtl/>
        </w:rPr>
        <w:t xml:space="preserve"> בלבד</w:t>
      </w:r>
      <w:r w:rsidR="004B6CEF">
        <w:rPr>
          <w:rFonts w:hint="cs"/>
          <w:rtl/>
        </w:rPr>
        <w:t>, ו</w:t>
      </w:r>
      <w:r w:rsidR="000F57F5">
        <w:rPr>
          <w:rFonts w:hint="cs"/>
          <w:rtl/>
        </w:rPr>
        <w:t xml:space="preserve">כך </w:t>
      </w:r>
      <w:r w:rsidR="004B6CEF">
        <w:rPr>
          <w:rFonts w:hint="cs"/>
          <w:rtl/>
        </w:rPr>
        <w:t xml:space="preserve">נוהג הסיפור המקראי ביחס לדמויות המשנה שבו. </w:t>
      </w:r>
      <w:r w:rsidR="009440E4">
        <w:rPr>
          <w:rFonts w:hint="cs"/>
          <w:rtl/>
        </w:rPr>
        <w:t>עיין שם בגוף העיון ובהערה 13.</w:t>
      </w:r>
    </w:p>
  </w:footnote>
  <w:footnote w:id="17">
    <w:p w:rsidR="00B51FB8" w:rsidRDefault="00B51FB8" w:rsidP="009440E4">
      <w:pPr>
        <w:pStyle w:val="FootnoteText"/>
        <w:rPr>
          <w:rtl/>
        </w:rPr>
      </w:pPr>
      <w:r>
        <w:rPr>
          <w:rStyle w:val="FootnoteReference"/>
        </w:rPr>
        <w:footnoteRef/>
      </w:r>
      <w:r>
        <w:rPr>
          <w:rtl/>
        </w:rPr>
        <w:t xml:space="preserve"> </w:t>
      </w:r>
      <w:r w:rsidR="009440E4">
        <w:rPr>
          <w:rFonts w:hint="cs"/>
          <w:rtl/>
        </w:rPr>
        <w:t xml:space="preserve">א. 'מיכה' אינו אלא קיצור של 'מיכיהו' </w:t>
      </w:r>
      <w:r w:rsidR="009440E4">
        <w:rPr>
          <w:rtl/>
        </w:rPr>
        <w:t>–</w:t>
      </w:r>
      <w:r w:rsidR="009440E4">
        <w:rPr>
          <w:rFonts w:hint="cs"/>
          <w:rtl/>
        </w:rPr>
        <w:t xml:space="preserve"> ראה כתיב שמו של נביא זה בירמיהו כ"ו, יח "</w:t>
      </w:r>
      <w:r w:rsidR="009440E4" w:rsidRPr="000632AF">
        <w:rPr>
          <w:rFonts w:hint="cs"/>
          <w:b/>
          <w:bCs/>
          <w:rtl/>
        </w:rPr>
        <w:t>מיכיה</w:t>
      </w:r>
      <w:r w:rsidR="009440E4" w:rsidRPr="009440E4">
        <w:rPr>
          <w:rFonts w:hint="cs"/>
          <w:rtl/>
        </w:rPr>
        <w:t> הַמּוֹרַשְׁתִּי</w:t>
      </w:r>
      <w:r w:rsidR="009440E4">
        <w:rPr>
          <w:rFonts w:hint="cs"/>
          <w:rtl/>
        </w:rPr>
        <w:t>"</w:t>
      </w:r>
      <w:r w:rsidR="0023692A">
        <w:rPr>
          <w:rFonts w:hint="cs"/>
          <w:rtl/>
        </w:rPr>
        <w:t>.</w:t>
      </w:r>
    </w:p>
    <w:p w:rsidR="0023692A" w:rsidRDefault="0023692A" w:rsidP="0023692A">
      <w:pPr>
        <w:pStyle w:val="FootnoteText"/>
      </w:pPr>
      <w:r>
        <w:rPr>
          <w:rFonts w:hint="cs"/>
          <w:rtl/>
        </w:rPr>
        <w:t>ב. שמו של מיכיהו בן ימלה בפי אחאב בסיפור המקביל בדהי"ב י"ח, יד הוא</w:t>
      </w:r>
      <w:r w:rsidR="000F57F5">
        <w:rPr>
          <w:rFonts w:hint="cs"/>
          <w:rtl/>
        </w:rPr>
        <w:t xml:space="preserve"> מיכה</w:t>
      </w:r>
      <w:r>
        <w:rPr>
          <w:rFonts w:hint="cs"/>
          <w:rtl/>
        </w:rPr>
        <w:t>: "</w:t>
      </w:r>
      <w:r w:rsidRPr="0023692A">
        <w:rPr>
          <w:rFonts w:hint="cs"/>
          <w:rtl/>
        </w:rPr>
        <w:t>וַיֹּאמֶר הַמֶּלֶךְ אֵלָיו</w:t>
      </w:r>
      <w:r w:rsidR="00D15D95">
        <w:rPr>
          <w:rFonts w:hint="cs"/>
          <w:rtl/>
        </w:rPr>
        <w:t>:</w:t>
      </w:r>
      <w:r w:rsidRPr="0023692A">
        <w:rPr>
          <w:rFonts w:hint="cs"/>
          <w:rtl/>
        </w:rPr>
        <w:t xml:space="preserve"> </w:t>
      </w:r>
      <w:r w:rsidRPr="00D15D95">
        <w:rPr>
          <w:rFonts w:hint="cs"/>
          <w:b/>
          <w:bCs/>
          <w:rtl/>
        </w:rPr>
        <w:t>מִיכָה</w:t>
      </w:r>
      <w:r w:rsidR="00D15D95">
        <w:rPr>
          <w:rFonts w:hint="cs"/>
          <w:rtl/>
        </w:rPr>
        <w:t xml:space="preserve">, </w:t>
      </w:r>
      <w:r w:rsidRPr="0023692A">
        <w:rPr>
          <w:rFonts w:hint="cs"/>
          <w:rtl/>
        </w:rPr>
        <w:t>הֲנֵלֵךְ אֶל רָמֹת גִּלְעָד לַמִּלְחָמָה אִם אֶחְדָּל</w:t>
      </w:r>
      <w:r w:rsidR="00D15D95">
        <w:rPr>
          <w:rFonts w:hint="cs"/>
          <w:rtl/>
        </w:rPr>
        <w:t>?"</w:t>
      </w:r>
    </w:p>
  </w:footnote>
  <w:footnote w:id="18">
    <w:p w:rsidR="00F02C44" w:rsidRDefault="00F02C44" w:rsidP="00D15D95">
      <w:pPr>
        <w:pStyle w:val="FootnoteText"/>
      </w:pPr>
      <w:r>
        <w:rPr>
          <w:rStyle w:val="FootnoteReference"/>
        </w:rPr>
        <w:footnoteRef/>
      </w:r>
      <w:r>
        <w:rPr>
          <w:rtl/>
        </w:rPr>
        <w:t xml:space="preserve"> </w:t>
      </w:r>
      <w:r w:rsidR="00D15D95">
        <w:rPr>
          <w:rFonts w:hint="cs"/>
          <w:rtl/>
        </w:rPr>
        <w:t>התקבולת בפסוק שבספר מיכה מלמדת ש"</w:t>
      </w:r>
      <w:r w:rsidR="00D15D95" w:rsidRPr="00D15D95">
        <w:rPr>
          <w:rFonts w:hint="cs"/>
          <w:rtl/>
        </w:rPr>
        <w:t>עַמִּים כֻּלָּם</w:t>
      </w:r>
      <w:r w:rsidR="00D15D95">
        <w:rPr>
          <w:rFonts w:hint="cs"/>
          <w:rtl/>
        </w:rPr>
        <w:t>" הם כל יושבי הארץ, כלל האנושות, ואם כן אין משמעותן של המילים הללו כמשמעותן בסיום דבריו של מיכיהו בן ימלה.</w:t>
      </w:r>
    </w:p>
  </w:footnote>
  <w:footnote w:id="19">
    <w:p w:rsidR="00227C21" w:rsidRDefault="00227C21" w:rsidP="00227C21">
      <w:pPr>
        <w:pStyle w:val="FootnoteText"/>
      </w:pPr>
      <w:r>
        <w:rPr>
          <w:rStyle w:val="FootnoteReference"/>
        </w:rPr>
        <w:footnoteRef/>
      </w:r>
      <w:r>
        <w:rPr>
          <w:rtl/>
        </w:rPr>
        <w:t xml:space="preserve"> </w:t>
      </w:r>
      <w:r>
        <w:rPr>
          <w:rFonts w:hint="cs"/>
          <w:rtl/>
        </w:rPr>
        <w:t>כתבי אפלטון בתרגום י' ליבס, כרך א עמודים 304–329.</w:t>
      </w:r>
    </w:p>
  </w:footnote>
  <w:footnote w:id="20">
    <w:p w:rsidR="000632AF" w:rsidRDefault="000632AF" w:rsidP="00016673">
      <w:pPr>
        <w:pStyle w:val="FootnoteText"/>
      </w:pPr>
      <w:r>
        <w:rPr>
          <w:rStyle w:val="FootnoteReference"/>
        </w:rPr>
        <w:footnoteRef/>
      </w:r>
      <w:r>
        <w:rPr>
          <w:rtl/>
        </w:rPr>
        <w:t xml:space="preserve"> </w:t>
      </w:r>
      <w:r>
        <w:rPr>
          <w:rFonts w:hint="cs"/>
          <w:rtl/>
        </w:rPr>
        <w:t xml:space="preserve">תיאור תופעה ספרותית </w:t>
      </w:r>
      <w:r w:rsidR="00016673">
        <w:rPr>
          <w:rFonts w:hint="cs"/>
          <w:rtl/>
        </w:rPr>
        <w:t>זו ב</w:t>
      </w:r>
      <w:r>
        <w:rPr>
          <w:rFonts w:hint="cs"/>
          <w:rtl/>
        </w:rPr>
        <w:t xml:space="preserve">שם שבה כינינו אותה </w:t>
      </w:r>
      <w:r w:rsidR="00016673">
        <w:rPr>
          <w:rFonts w:hint="cs"/>
          <w:rtl/>
        </w:rPr>
        <w:t>מופיע</w:t>
      </w:r>
      <w:r>
        <w:rPr>
          <w:rFonts w:hint="cs"/>
          <w:rtl/>
        </w:rPr>
        <w:t xml:space="preserve"> בספר 'פרקי אליהו', בסדרת העיונים 'אחזיה' ח</w:t>
      </w:r>
      <w:r w:rsidRPr="000F57F5">
        <w:rPr>
          <w:rFonts w:hint="cs"/>
          <w:vertAlign w:val="subscript"/>
          <w:rtl/>
        </w:rPr>
        <w:t>2–3</w:t>
      </w:r>
      <w:r>
        <w:rPr>
          <w:rFonts w:hint="cs"/>
          <w:rtl/>
        </w:rPr>
        <w:t xml:space="preserve"> עמודים 450–457, ובנספח הבא מיד לאחר מכן 'צמד הפכים מנחה במקרא', עמודים 458–459.</w:t>
      </w:r>
    </w:p>
  </w:footnote>
  <w:footnote w:id="21">
    <w:p w:rsidR="00227C21" w:rsidRDefault="00227C21" w:rsidP="00016673">
      <w:pPr>
        <w:pStyle w:val="FootnoteText"/>
        <w:rPr>
          <w:rtl/>
        </w:rPr>
      </w:pPr>
      <w:r>
        <w:rPr>
          <w:rStyle w:val="FootnoteReference"/>
        </w:rPr>
        <w:footnoteRef/>
      </w:r>
      <w:r>
        <w:rPr>
          <w:rtl/>
        </w:rPr>
        <w:t xml:space="preserve"> </w:t>
      </w:r>
      <w:r>
        <w:rPr>
          <w:rFonts w:hint="cs"/>
          <w:rtl/>
        </w:rPr>
        <w:t xml:space="preserve">א. מחוץ לפסוקים </w:t>
      </w:r>
      <w:r w:rsidR="00016673">
        <w:rPr>
          <w:rFonts w:hint="cs"/>
          <w:rtl/>
        </w:rPr>
        <w:t>ח</w:t>
      </w:r>
      <w:r w:rsidR="00016673">
        <w:rPr>
          <w:rtl/>
        </w:rPr>
        <w:t>–</w:t>
      </w:r>
      <w:r w:rsidR="00016673">
        <w:rPr>
          <w:rFonts w:hint="cs"/>
          <w:rtl/>
        </w:rPr>
        <w:t>כג</w:t>
      </w:r>
      <w:r>
        <w:rPr>
          <w:rFonts w:hint="cs"/>
          <w:rtl/>
        </w:rPr>
        <w:t xml:space="preserve"> אין המילים 'טוב' ו'רע' מופיעות עוד בסיפורנו.</w:t>
      </w:r>
    </w:p>
    <w:p w:rsidR="00227C21" w:rsidRDefault="00227C21" w:rsidP="00227C21">
      <w:pPr>
        <w:pStyle w:val="FootnoteText"/>
      </w:pPr>
      <w:r>
        <w:rPr>
          <w:rFonts w:hint="cs"/>
          <w:rtl/>
        </w:rPr>
        <w:t xml:space="preserve">ב. המילים 'טוב-רע' משמשות כ'צמד הפכים מנחה' נפוץ במקרא. בנספח שנזכר בהערה הקודמת </w:t>
      </w:r>
      <w:r w:rsidR="00016673">
        <w:rPr>
          <w:rFonts w:hint="cs"/>
          <w:rtl/>
        </w:rPr>
        <w:t>(ב</w:t>
      </w:r>
      <w:r>
        <w:rPr>
          <w:rFonts w:hint="cs"/>
          <w:rtl/>
        </w:rPr>
        <w:t xml:space="preserve">עמוד 459 </w:t>
      </w:r>
      <w:r w:rsidR="00016673">
        <w:rPr>
          <w:rFonts w:hint="cs"/>
          <w:rtl/>
        </w:rPr>
        <w:t xml:space="preserve">שם) </w:t>
      </w:r>
      <w:r>
        <w:rPr>
          <w:rFonts w:hint="cs"/>
          <w:rtl/>
        </w:rPr>
        <w:t>עמדנו על השימוש בצמד הפכים זה בסיפורנו ובעוד שלושה סיפורים בספר שמואל (ראה הערה 17 שם).</w:t>
      </w:r>
    </w:p>
  </w:footnote>
  <w:footnote w:id="22">
    <w:p w:rsidR="00227C21" w:rsidRPr="000B5EFF" w:rsidRDefault="00227C21" w:rsidP="00227C21">
      <w:pPr>
        <w:pStyle w:val="FootnoteText"/>
      </w:pPr>
      <w:r>
        <w:rPr>
          <w:rStyle w:val="FootnoteReference"/>
        </w:rPr>
        <w:footnoteRef/>
      </w:r>
      <w:r>
        <w:rPr>
          <w:rtl/>
        </w:rPr>
        <w:t xml:space="preserve"> </w:t>
      </w:r>
      <w:r>
        <w:rPr>
          <w:rFonts w:hint="cs"/>
          <w:rtl/>
        </w:rPr>
        <w:t>דברי אחאב בפסוק ח "</w:t>
      </w:r>
      <w:r w:rsidRPr="009409F0">
        <w:rPr>
          <w:rFonts w:hint="cs"/>
          <w:rtl/>
        </w:rPr>
        <w:t>וַאֲנִי שְׂנֵאתִיו כִּי לֹא יִתְנַבֵּא עָלַי טוֹב כִּי אִם רָע</w:t>
      </w:r>
      <w:r>
        <w:rPr>
          <w:rFonts w:hint="cs"/>
          <w:rtl/>
        </w:rPr>
        <w:t xml:space="preserve">" מבטאים את </w:t>
      </w:r>
      <w:r>
        <w:rPr>
          <w:rFonts w:hint="cs"/>
          <w:b/>
          <w:bCs/>
          <w:rtl/>
        </w:rPr>
        <w:t>חששו</w:t>
      </w:r>
      <w:r>
        <w:rPr>
          <w:rFonts w:hint="cs"/>
          <w:rtl/>
        </w:rPr>
        <w:t xml:space="preserve"> של אחאב מפני נבואה רעה שיתנבא מיכיהו כנגדו. אולם לאחר תגובת יהושפט לדבריו "</w:t>
      </w:r>
      <w:r w:rsidRPr="000B5EFF">
        <w:rPr>
          <w:rFonts w:hint="cs"/>
          <w:rtl/>
        </w:rPr>
        <w:t>אַל יֹאמַר הַמֶּלֶךְ כֵּן</w:t>
      </w:r>
      <w:r>
        <w:rPr>
          <w:rFonts w:hint="cs"/>
          <w:rtl/>
        </w:rPr>
        <w:t>", ולאחר שאחאב נענה לדבריו והזמין את מיכיהו, ברור שהוא מוכן לתת הזדמנות למיכיהו 'לשנות את דרכו' ולנבא לאחאב 'טוב'. ורק אחר שמיכיהו השמיע את נבואתו באזני אחאב, חוזר הלה על דבריו הראשונים "</w:t>
      </w:r>
      <w:r w:rsidRPr="00096303">
        <w:rPr>
          <w:rFonts w:hint="cs"/>
          <w:rtl/>
        </w:rPr>
        <w:t>הֲלוֹא אָמַרְתִּי אֵלֶיךָ</w:t>
      </w:r>
      <w:r>
        <w:rPr>
          <w:rFonts w:hint="cs"/>
          <w:rtl/>
        </w:rPr>
        <w:t>...", והפעם לא בתורת ספק וחשש אלא כתיאור התגשמות החשש הזה במציאות.</w:t>
      </w:r>
    </w:p>
  </w:footnote>
  <w:footnote w:id="23">
    <w:p w:rsidR="00227C21" w:rsidRDefault="00227C21" w:rsidP="000F57F5">
      <w:pPr>
        <w:pStyle w:val="FootnoteText"/>
      </w:pPr>
      <w:r>
        <w:rPr>
          <w:rStyle w:val="FootnoteReference"/>
        </w:rPr>
        <w:footnoteRef/>
      </w:r>
      <w:r>
        <w:rPr>
          <w:rtl/>
        </w:rPr>
        <w:t xml:space="preserve"> </w:t>
      </w:r>
      <w:r>
        <w:rPr>
          <w:rFonts w:hint="cs"/>
          <w:rtl/>
        </w:rPr>
        <w:t xml:space="preserve">דבר זה אופייני לאמצעי הספרותי </w:t>
      </w:r>
      <w:r w:rsidR="00FA1F38">
        <w:rPr>
          <w:rFonts w:hint="cs"/>
          <w:rtl/>
        </w:rPr>
        <w:t>של ה</w:t>
      </w:r>
      <w:r>
        <w:rPr>
          <w:rFonts w:hint="cs"/>
          <w:rtl/>
        </w:rPr>
        <w:t xml:space="preserve">מילה </w:t>
      </w:r>
      <w:r w:rsidR="00FA1F38">
        <w:rPr>
          <w:rFonts w:hint="cs"/>
          <w:rtl/>
        </w:rPr>
        <w:t>המנחה</w:t>
      </w:r>
      <w:r>
        <w:rPr>
          <w:rFonts w:hint="cs"/>
          <w:rtl/>
        </w:rPr>
        <w:t>, שהופעתה האחרונה שונה</w:t>
      </w:r>
      <w:r w:rsidR="00FA1F38">
        <w:rPr>
          <w:rFonts w:hint="cs"/>
          <w:rtl/>
        </w:rPr>
        <w:t xml:space="preserve"> לעתים</w:t>
      </w:r>
      <w:r>
        <w:rPr>
          <w:rFonts w:hint="cs"/>
          <w:rtl/>
        </w:rPr>
        <w:t xml:space="preserve"> מכל הופעותיה הקודמות.</w:t>
      </w:r>
    </w:p>
  </w:footnote>
  <w:footnote w:id="24">
    <w:p w:rsidR="00EB16AF" w:rsidRDefault="00EB16AF" w:rsidP="00EB16AF">
      <w:pPr>
        <w:pStyle w:val="FootnoteText"/>
      </w:pPr>
      <w:r>
        <w:rPr>
          <w:rStyle w:val="FootnoteReference"/>
        </w:rPr>
        <w:footnoteRef/>
      </w:r>
      <w:r>
        <w:rPr>
          <w:rtl/>
        </w:rPr>
        <w:t xml:space="preserve"> </w:t>
      </w:r>
      <w:r>
        <w:rPr>
          <w:rFonts w:hint="cs"/>
          <w:rtl/>
        </w:rPr>
        <w:t xml:space="preserve">כך פירש ר"י קיל ז"ל ב'דעת מקרא' את פסוק כ"ג: "כלומר, ולא אני הוא שדיברתי </w:t>
      </w:r>
      <w:r w:rsidRPr="00EB16AF">
        <w:rPr>
          <w:rFonts w:hint="cs"/>
          <w:rtl/>
        </w:rPr>
        <w:t>עליך רעה, אלא ה'</w:t>
      </w:r>
      <w:r w:rsidRPr="00EB16AF">
        <w:rPr>
          <w:rFonts w:hint="cs"/>
          <w:spacing w:val="20"/>
          <w:rtl/>
        </w:rPr>
        <w:t>"</w:t>
      </w:r>
      <w:r w:rsidRPr="00EB16AF">
        <w:rPr>
          <w:rFonts w:hint="cs"/>
          <w:rtl/>
        </w:rPr>
        <w:t>. ניגוד זה אינו קיים בגוף הפסוק, אלא כמו שכתבנו למעלה במה שנוגע לפירוש הפסוק.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D3010B" w:rsidRPr="00BC4313" w:rsidRDefault="00D3010B">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971089" w:rsidRPr="00971089">
          <w:rPr>
            <w:b/>
            <w:bCs/>
            <w:noProof/>
            <w:sz w:val="24"/>
            <w:szCs w:val="24"/>
            <w:rtl/>
            <w:lang w:val="he-IL"/>
          </w:rPr>
          <w:t>6</w:t>
        </w:r>
        <w:r w:rsidRPr="00BC4313">
          <w:rPr>
            <w:b/>
            <w:bCs/>
            <w:sz w:val="24"/>
            <w:szCs w:val="24"/>
          </w:rPr>
          <w:fldChar w:fldCharType="end"/>
        </w:r>
      </w:p>
    </w:sdtContent>
  </w:sdt>
  <w:p w:rsidR="00D3010B" w:rsidRDefault="00D301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D3010B" w:rsidRPr="00BC4313" w:rsidTr="00153DD2">
      <w:tc>
        <w:tcPr>
          <w:tcW w:w="4927" w:type="dxa"/>
          <w:tcBorders>
            <w:top w:val="nil"/>
            <w:left w:val="nil"/>
            <w:bottom w:val="double" w:sz="4" w:space="0" w:color="auto"/>
            <w:right w:val="nil"/>
          </w:tcBorders>
        </w:tcPr>
        <w:p w:rsidR="00D3010B" w:rsidRPr="00BC4313" w:rsidRDefault="00D3010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D3010B" w:rsidRPr="00BC4313" w:rsidRDefault="00D3010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sidR="00227C21">
            <w:rPr>
              <w:rFonts w:ascii="Times New Roman" w:eastAsia="Times New Roman" w:hAnsi="Times New Roman" w:hint="cs"/>
              <w:rtl/>
            </w:rPr>
            <w:t xml:space="preserve"> שיעור 55</w:t>
          </w:r>
        </w:p>
        <w:p w:rsidR="00D3010B" w:rsidRPr="00BC4313" w:rsidRDefault="00D3010B"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D3010B" w:rsidRPr="00BC4313" w:rsidRDefault="00D3010B"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D3010B" w:rsidRPr="00BC4313" w:rsidRDefault="00D301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1827"/>
    <w:rsid w:val="00016673"/>
    <w:rsid w:val="00026C22"/>
    <w:rsid w:val="00037997"/>
    <w:rsid w:val="00044F70"/>
    <w:rsid w:val="0004758C"/>
    <w:rsid w:val="00047F88"/>
    <w:rsid w:val="00050985"/>
    <w:rsid w:val="0006279B"/>
    <w:rsid w:val="000632AF"/>
    <w:rsid w:val="0008112A"/>
    <w:rsid w:val="00082CEB"/>
    <w:rsid w:val="00084F88"/>
    <w:rsid w:val="0009612B"/>
    <w:rsid w:val="000A1B68"/>
    <w:rsid w:val="000A30D9"/>
    <w:rsid w:val="000B5FD6"/>
    <w:rsid w:val="000C43ED"/>
    <w:rsid w:val="000F57F5"/>
    <w:rsid w:val="000F671F"/>
    <w:rsid w:val="001028F4"/>
    <w:rsid w:val="00116018"/>
    <w:rsid w:val="00120126"/>
    <w:rsid w:val="00135818"/>
    <w:rsid w:val="00142241"/>
    <w:rsid w:val="00153DD2"/>
    <w:rsid w:val="00197C15"/>
    <w:rsid w:val="001A2228"/>
    <w:rsid w:val="001A6A3D"/>
    <w:rsid w:val="001B2DFD"/>
    <w:rsid w:val="001C0323"/>
    <w:rsid w:val="001C050E"/>
    <w:rsid w:val="001C7F8B"/>
    <w:rsid w:val="002115C4"/>
    <w:rsid w:val="0021304D"/>
    <w:rsid w:val="002273BF"/>
    <w:rsid w:val="00227C21"/>
    <w:rsid w:val="0023692A"/>
    <w:rsid w:val="00251496"/>
    <w:rsid w:val="00257459"/>
    <w:rsid w:val="002A1FD5"/>
    <w:rsid w:val="002C40F2"/>
    <w:rsid w:val="00332995"/>
    <w:rsid w:val="00361420"/>
    <w:rsid w:val="003753E2"/>
    <w:rsid w:val="0037672F"/>
    <w:rsid w:val="003C13C5"/>
    <w:rsid w:val="00402459"/>
    <w:rsid w:val="0041537F"/>
    <w:rsid w:val="0042148F"/>
    <w:rsid w:val="004232BD"/>
    <w:rsid w:val="00430D18"/>
    <w:rsid w:val="00447BDC"/>
    <w:rsid w:val="004673EB"/>
    <w:rsid w:val="00486924"/>
    <w:rsid w:val="004A0CE3"/>
    <w:rsid w:val="004B6CEF"/>
    <w:rsid w:val="004D7AFD"/>
    <w:rsid w:val="004F12F2"/>
    <w:rsid w:val="005005EB"/>
    <w:rsid w:val="005120FC"/>
    <w:rsid w:val="00512924"/>
    <w:rsid w:val="00524FEE"/>
    <w:rsid w:val="0054160B"/>
    <w:rsid w:val="005521DE"/>
    <w:rsid w:val="005662CD"/>
    <w:rsid w:val="005C351D"/>
    <w:rsid w:val="005D0274"/>
    <w:rsid w:val="005D628B"/>
    <w:rsid w:val="005D6678"/>
    <w:rsid w:val="0061448F"/>
    <w:rsid w:val="0063766B"/>
    <w:rsid w:val="00651159"/>
    <w:rsid w:val="00651B84"/>
    <w:rsid w:val="00663A7F"/>
    <w:rsid w:val="00695E8D"/>
    <w:rsid w:val="006B33A0"/>
    <w:rsid w:val="006C7A5D"/>
    <w:rsid w:val="006D3B2A"/>
    <w:rsid w:val="006E233F"/>
    <w:rsid w:val="007165DF"/>
    <w:rsid w:val="00722D7C"/>
    <w:rsid w:val="0072464C"/>
    <w:rsid w:val="00734E5F"/>
    <w:rsid w:val="00772026"/>
    <w:rsid w:val="00775F92"/>
    <w:rsid w:val="007C2DC3"/>
    <w:rsid w:val="007E4211"/>
    <w:rsid w:val="007F52DE"/>
    <w:rsid w:val="008235F3"/>
    <w:rsid w:val="00834019"/>
    <w:rsid w:val="00835D3F"/>
    <w:rsid w:val="00847B15"/>
    <w:rsid w:val="0087166D"/>
    <w:rsid w:val="00886F0E"/>
    <w:rsid w:val="008D37B3"/>
    <w:rsid w:val="008F5B75"/>
    <w:rsid w:val="00900655"/>
    <w:rsid w:val="0090287B"/>
    <w:rsid w:val="00913202"/>
    <w:rsid w:val="00914CC0"/>
    <w:rsid w:val="00915CCC"/>
    <w:rsid w:val="009230CB"/>
    <w:rsid w:val="00934551"/>
    <w:rsid w:val="009440E4"/>
    <w:rsid w:val="00964150"/>
    <w:rsid w:val="00971089"/>
    <w:rsid w:val="009752F2"/>
    <w:rsid w:val="009A369A"/>
    <w:rsid w:val="009A550D"/>
    <w:rsid w:val="009C29EC"/>
    <w:rsid w:val="009C4CA5"/>
    <w:rsid w:val="009D340F"/>
    <w:rsid w:val="009F5C8D"/>
    <w:rsid w:val="00A03B02"/>
    <w:rsid w:val="00A11453"/>
    <w:rsid w:val="00A57655"/>
    <w:rsid w:val="00A66702"/>
    <w:rsid w:val="00A85269"/>
    <w:rsid w:val="00A85373"/>
    <w:rsid w:val="00AB44D2"/>
    <w:rsid w:val="00AE389D"/>
    <w:rsid w:val="00AF5031"/>
    <w:rsid w:val="00B07E5B"/>
    <w:rsid w:val="00B44874"/>
    <w:rsid w:val="00B47739"/>
    <w:rsid w:val="00B5086B"/>
    <w:rsid w:val="00B51FB8"/>
    <w:rsid w:val="00B62DB1"/>
    <w:rsid w:val="00B77B2D"/>
    <w:rsid w:val="00BA4C8E"/>
    <w:rsid w:val="00BC4313"/>
    <w:rsid w:val="00BC6D96"/>
    <w:rsid w:val="00BC7648"/>
    <w:rsid w:val="00BD2AFB"/>
    <w:rsid w:val="00C21C6D"/>
    <w:rsid w:val="00C224AD"/>
    <w:rsid w:val="00C259E9"/>
    <w:rsid w:val="00C27A0F"/>
    <w:rsid w:val="00C34735"/>
    <w:rsid w:val="00C408E8"/>
    <w:rsid w:val="00C56858"/>
    <w:rsid w:val="00C56FB1"/>
    <w:rsid w:val="00C74078"/>
    <w:rsid w:val="00C9281D"/>
    <w:rsid w:val="00CB2C7E"/>
    <w:rsid w:val="00CD6982"/>
    <w:rsid w:val="00D02200"/>
    <w:rsid w:val="00D13394"/>
    <w:rsid w:val="00D15D95"/>
    <w:rsid w:val="00D3010B"/>
    <w:rsid w:val="00D34224"/>
    <w:rsid w:val="00D5498F"/>
    <w:rsid w:val="00D70555"/>
    <w:rsid w:val="00D757DB"/>
    <w:rsid w:val="00D91AC0"/>
    <w:rsid w:val="00D9789F"/>
    <w:rsid w:val="00DC0D80"/>
    <w:rsid w:val="00DD7C1E"/>
    <w:rsid w:val="00DF1226"/>
    <w:rsid w:val="00DF2288"/>
    <w:rsid w:val="00E02C0F"/>
    <w:rsid w:val="00E2606D"/>
    <w:rsid w:val="00E26A0C"/>
    <w:rsid w:val="00E30D3B"/>
    <w:rsid w:val="00E32E6D"/>
    <w:rsid w:val="00E33380"/>
    <w:rsid w:val="00EA4994"/>
    <w:rsid w:val="00EB1645"/>
    <w:rsid w:val="00EB16AF"/>
    <w:rsid w:val="00EC33B2"/>
    <w:rsid w:val="00EC3C79"/>
    <w:rsid w:val="00ED0A1E"/>
    <w:rsid w:val="00ED65A0"/>
    <w:rsid w:val="00EE225B"/>
    <w:rsid w:val="00F02C44"/>
    <w:rsid w:val="00F237B4"/>
    <w:rsid w:val="00F64888"/>
    <w:rsid w:val="00FA075E"/>
    <w:rsid w:val="00FA1F3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3338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333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DBF9A6F-1C8F-477B-A8BC-ED1EE009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6</Pages>
  <Words>2083</Words>
  <Characters>11875</Characters>
  <Application>Microsoft Office Word</Application>
  <DocSecurity>0</DocSecurity>
  <Lines>98</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2</cp:revision>
  <dcterms:created xsi:type="dcterms:W3CDTF">2015-04-15T08:22:00Z</dcterms:created>
  <dcterms:modified xsi:type="dcterms:W3CDTF">2015-04-15T08:22:00Z</dcterms:modified>
</cp:coreProperties>
</file>