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0B" w:rsidRPr="00DC784E" w:rsidRDefault="00A75D0B" w:rsidP="007E585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C784E">
        <w:rPr>
          <w:rFonts w:asciiTheme="minorBidi" w:hAnsiTheme="minorBidi" w:cstheme="minorBidi"/>
          <w:b/>
          <w:bCs/>
          <w:sz w:val="24"/>
          <w:szCs w:val="24"/>
        </w:rPr>
        <w:t>YESHIVAT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HAR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ETZION</w:t>
      </w:r>
    </w:p>
    <w:p w:rsidR="00A75D0B" w:rsidRPr="00DC784E" w:rsidRDefault="00A75D0B" w:rsidP="007E585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C784E">
        <w:rPr>
          <w:rFonts w:asciiTheme="minorBidi" w:hAnsiTheme="minorBidi" w:cstheme="minorBidi"/>
          <w:b/>
          <w:bCs/>
          <w:sz w:val="24"/>
          <w:szCs w:val="24"/>
        </w:rPr>
        <w:t>ISRAEL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KOSCHITZKY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VIRTUAL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BEIT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MIDRASH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(VBM)</w:t>
      </w:r>
    </w:p>
    <w:p w:rsidR="00A75D0B" w:rsidRPr="00DC784E" w:rsidRDefault="00A75D0B" w:rsidP="007E5854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DC784E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A75D0B" w:rsidRPr="00DC784E" w:rsidRDefault="00A75D0B" w:rsidP="007E585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75D0B" w:rsidRPr="00DC784E" w:rsidRDefault="00A75D0B" w:rsidP="007E585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C784E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LAWS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BERAKHOT</w:t>
      </w:r>
    </w:p>
    <w:p w:rsidR="00A75D0B" w:rsidRPr="00DC784E" w:rsidRDefault="00A75D0B" w:rsidP="007E585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C784E">
        <w:rPr>
          <w:rFonts w:asciiTheme="minorBidi" w:hAnsiTheme="minorBidi" w:cstheme="minorBidi"/>
          <w:b/>
          <w:bCs/>
          <w:sz w:val="24"/>
          <w:szCs w:val="24"/>
        </w:rPr>
        <w:t>Rav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David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Brofsky</w:t>
      </w:r>
    </w:p>
    <w:p w:rsidR="00A75D0B" w:rsidRDefault="00A75D0B" w:rsidP="007E585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7E5854" w:rsidRPr="00DC784E" w:rsidRDefault="007E5854" w:rsidP="007E585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A75D0B" w:rsidRPr="00DC784E" w:rsidRDefault="00A75D0B" w:rsidP="007E585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E5854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sz w:val="24"/>
          <w:szCs w:val="24"/>
        </w:rPr>
        <w:t>#61: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i/>
          <w:iCs/>
          <w:sz w:val="24"/>
          <w:szCs w:val="24"/>
        </w:rPr>
        <w:t>Birkat</w:t>
      </w:r>
      <w:r w:rsidR="00DC784E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Pr="00DC784E">
        <w:rPr>
          <w:rFonts w:asciiTheme="minorBidi" w:hAnsiTheme="minorBidi" w:cstheme="minorBidi"/>
          <w:b/>
          <w:bCs/>
          <w:i/>
          <w:iCs/>
          <w:sz w:val="24"/>
          <w:szCs w:val="24"/>
        </w:rPr>
        <w:t>Ha-Mazon</w:t>
      </w:r>
      <w:r w:rsidR="00DC784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A75D0B" w:rsidRDefault="00A75D0B" w:rsidP="007E585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7E5854" w:rsidRPr="00DC784E" w:rsidRDefault="007E5854" w:rsidP="007E585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Introduction</w:t>
      </w:r>
    </w:p>
    <w:p w:rsidR="004766D7" w:rsidRDefault="004766D7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222222"/>
        </w:rPr>
      </w:pPr>
    </w:p>
    <w:p w:rsidR="00545F71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</w:t>
      </w:r>
      <w:r w:rsidR="00DC784E">
        <w:rPr>
          <w:rFonts w:ascii="Arial" w:hAnsi="Arial" w:cs="Arial"/>
          <w:color w:val="222222"/>
        </w:rPr>
        <w:t xml:space="preserve"> </w:t>
      </w:r>
      <w:r w:rsidR="00D61F62">
        <w:rPr>
          <w:rFonts w:ascii="Arial" w:hAnsi="Arial" w:cs="Arial"/>
          <w:color w:val="222222"/>
        </w:rPr>
        <w:t>commands</w:t>
      </w:r>
      <w:r w:rsidRPr="00DC784E">
        <w:rPr>
          <w:rFonts w:ascii="Arial" w:hAnsi="Arial" w:cs="Arial"/>
          <w:color w:val="222222"/>
        </w:rPr>
        <w:t>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satisfied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8:10).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48b)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derives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="00D61F62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recite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(Rambam,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Sefer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Ha-Mitzvot,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positive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commandment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19;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Sefer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Ha-Chinukh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430)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count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613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mitzvot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="00545F71" w:rsidRPr="00DC784E">
        <w:rPr>
          <w:rFonts w:ascii="Arial" w:hAnsi="Arial" w:cs="Arial"/>
          <w:color w:val="222222"/>
        </w:rPr>
        <w:t>T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origin</w:t>
      </w:r>
      <w:r w:rsidR="00D61F62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="00D61F62">
        <w:rPr>
          <w:rFonts w:ascii="Arial" w:hAnsi="Arial" w:cs="Arial"/>
          <w:color w:val="222222"/>
        </w:rPr>
        <w:t>S</w:t>
      </w:r>
      <w:r w:rsidRPr="00DC784E">
        <w:rPr>
          <w:rFonts w:ascii="Arial" w:hAnsi="Arial" w:cs="Arial"/>
          <w:color w:val="222222"/>
        </w:rPr>
        <w:t>ee,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Ramban’s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comments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Sefer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Ha-Mitzvot,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15,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Ha-Torah</w:t>
      </w:r>
      <w:r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</w:p>
    <w:p w:rsidR="00545F71" w:rsidRPr="00DC784E" w:rsidRDefault="00545F71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A75D0B" w:rsidRPr="00DC784E" w:rsidRDefault="00545F71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study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="001E3AD2" w:rsidRPr="00DC784E">
        <w:rPr>
          <w:rFonts w:ascii="Arial" w:hAnsi="Arial" w:cs="Arial"/>
          <w:i/>
          <w:iCs/>
          <w:color w:val="222222"/>
        </w:rPr>
        <w:t>B</w:t>
      </w:r>
      <w:r w:rsidRPr="00DC784E">
        <w:rPr>
          <w:rFonts w:ascii="Arial" w:hAnsi="Arial" w:cs="Arial"/>
          <w:i/>
          <w:iCs/>
          <w:color w:val="222222"/>
        </w:rPr>
        <w:t>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61F62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foods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quantity</w:t>
      </w:r>
      <w:r w:rsidR="00D61F62">
        <w:rPr>
          <w:rFonts w:ascii="Arial" w:hAnsi="Arial" w:cs="Arial"/>
          <w:color w:val="222222"/>
        </w:rPr>
        <w:t xml:space="preserve"> of them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generate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Ha-Mazon</w:t>
      </w:r>
      <w:r w:rsidR="00A75D0B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what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characteristics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61F62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="00D61F62">
        <w:rPr>
          <w:rFonts w:ascii="Arial" w:hAnsi="Arial" w:cs="Arial"/>
          <w:color w:val="222222"/>
        </w:rPr>
        <w:t xml:space="preserve">are, </w:t>
      </w:r>
      <w:r w:rsidR="00A75D0B"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how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fulfill</w:t>
      </w:r>
      <w:r w:rsidR="00D61F62">
        <w:rPr>
          <w:rFonts w:ascii="Arial" w:hAnsi="Arial" w:cs="Arial"/>
          <w:color w:val="222222"/>
        </w:rPr>
        <w:t>ed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61F62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before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Rabbis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formulated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Over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Which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Foods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="00D61F62">
        <w:rPr>
          <w:rFonts w:ascii="Arial" w:hAnsi="Arial" w:cs="Arial"/>
          <w:b/>
          <w:bCs/>
          <w:color w:val="222222"/>
        </w:rPr>
        <w:t>Is</w:t>
      </w:r>
      <w:r w:rsidR="00DC784E">
        <w:rPr>
          <w:rStyle w:val="apple-converted-space"/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Birkat</w:t>
      </w:r>
      <w:r w:rsidR="00DC784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Ha-Mazon</w:t>
      </w:r>
      <w:r w:rsidR="00D61F62">
        <w:rPr>
          <w:rFonts w:ascii="Arial" w:hAnsi="Arial" w:cs="Arial"/>
          <w:b/>
          <w:bCs/>
          <w:color w:val="222222"/>
        </w:rPr>
        <w:t xml:space="preserve"> Recited</w:t>
      </w:r>
      <w:r w:rsidRPr="00DC784E">
        <w:rPr>
          <w:rFonts w:ascii="Arial" w:hAnsi="Arial" w:cs="Arial"/>
          <w:b/>
          <w:bCs/>
          <w:color w:val="222222"/>
        </w:rPr>
        <w:t>?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difference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opinion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referred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mishna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“three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below),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foods.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mishna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teaches: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grapes,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figs,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pomegranates,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grace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Gamliel.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Chakhamim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includes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Ha-Michya</w:t>
      </w:r>
      <w:r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Akiva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boiled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vegetables,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meal,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While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Gamliel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maintains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species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37b)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Akiva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believes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“meal,”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content,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Chakhamim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lastRenderedPageBreak/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highlight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nature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Gamliel,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species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praised.”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(ibid.)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explains: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What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reason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Gamliel?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Because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written,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barley…”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8:8),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written,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wherein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without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scarceness”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(ibid.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8:9),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written,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satisfied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(ibid.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8:10).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Rabban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Gamliel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apparently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maintains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referred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10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modifies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previous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two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speak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species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blessed.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Indeed,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continues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recited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you.”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Although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suggest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Akiva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Chakhamim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view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foods),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second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certain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halakhot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related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48b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Yerushalayim;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Rashi,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20b,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o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derabannan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indicate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fundamentally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over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Israel..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61F62">
        <w:rPr>
          <w:rFonts w:ascii="Arial" w:hAnsi="Arial" w:cs="Arial"/>
          <w:i/>
          <w:iCs/>
          <w:color w:val="222222"/>
        </w:rPr>
        <w:t>halakha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accordance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view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Chakhamim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Hilkhot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3:11;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Yerushalmi,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6:1):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whatever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Ha-Motzi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before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[eating],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afterwards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.”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The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Quantity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="00301024" w:rsidRPr="00DC784E">
        <w:rPr>
          <w:rFonts w:ascii="Arial" w:hAnsi="Arial" w:cs="Arial"/>
          <w:b/>
          <w:bCs/>
          <w:color w:val="222222"/>
        </w:rPr>
        <w:t>of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="00301024" w:rsidRPr="00DC784E">
        <w:rPr>
          <w:rFonts w:ascii="Arial" w:hAnsi="Arial" w:cs="Arial"/>
          <w:b/>
          <w:bCs/>
          <w:color w:val="222222"/>
        </w:rPr>
        <w:t>Bread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="00301024" w:rsidRPr="00DC784E">
        <w:rPr>
          <w:rFonts w:ascii="Arial" w:hAnsi="Arial" w:cs="Arial"/>
          <w:b/>
          <w:bCs/>
          <w:color w:val="222222"/>
        </w:rPr>
        <w:t>for</w:t>
      </w:r>
      <w:r w:rsidR="00DC784E">
        <w:rPr>
          <w:rStyle w:val="apple-converted-space"/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Birkat</w:t>
      </w:r>
      <w:r w:rsidR="00DC784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Ha-Mazon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Although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assumes,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based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above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8:10),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origin,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teaches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becomes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under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certain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conditions.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mishna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45a)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order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recite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: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How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eaten]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count?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olive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ke-zayit</w:t>
      </w:r>
      <w:r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Yehuda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egg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ke-beitza</w:t>
      </w:r>
      <w:r w:rsidRPr="00DC784E">
        <w:rPr>
          <w:rFonts w:ascii="Arial" w:hAnsi="Arial" w:cs="Arial"/>
          <w:color w:val="222222"/>
        </w:rPr>
        <w:t>).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explains: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Meir's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standard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olive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Yehuda's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egg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…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Meir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holds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refers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satisfied”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drinking,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standard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olive.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Yehuda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holds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satisfied”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signifies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satisfaction,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egg.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lastRenderedPageBreak/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Meir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maintains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“eaten,”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define</w:t>
      </w:r>
      <w:r w:rsidR="00DE7808" w:rsidRPr="00DC784E">
        <w:rPr>
          <w:rFonts w:ascii="Arial" w:hAnsi="Arial" w:cs="Arial"/>
          <w:color w:val="222222"/>
        </w:rPr>
        <w:t>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having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equivalent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size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olive,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whereas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Yehuda,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“satisfied,”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assume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occurs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egg-size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quantity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point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out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implies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elsewhere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20b)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shiurim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ke-beitza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Rabbinic: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Avira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discoursed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sometimes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name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Ammi,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sometimes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name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Assi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follows: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ministering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angels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before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Sovereign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Universe,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written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law,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persons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take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bribes”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10:17).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But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people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lift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countenance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Bamidbar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6:26).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replied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lift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countenance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</w:t>
      </w:r>
      <w:r w:rsidR="00D61F62">
        <w:rPr>
          <w:rFonts w:ascii="Arial" w:hAnsi="Arial" w:cs="Arial"/>
          <w:color w:val="222222"/>
        </w:rPr>
        <w:t>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wrote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satisfied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8:10),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particular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grace]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quantity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but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olive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egg!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source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implies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becomes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large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quantity,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“satisfies.”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Jewish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People,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choose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smaller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quantities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ke-beitza</w:t>
      </w:r>
      <w:r w:rsidRPr="00DC784E">
        <w:rPr>
          <w:rFonts w:ascii="Arial" w:hAnsi="Arial" w:cs="Arial"/>
          <w:color w:val="222222"/>
        </w:rPr>
        <w:t>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How,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understand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mishna</w:t>
      </w:r>
      <w:r w:rsidRPr="00DC784E">
        <w:rPr>
          <w:rFonts w:ascii="Arial" w:hAnsi="Arial" w:cs="Arial"/>
          <w:color w:val="222222"/>
        </w:rPr>
        <w:t>?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Some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(Tosafot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49b,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rabbi</w:t>
      </w:r>
      <w:r w:rsidRPr="00DC784E">
        <w:rPr>
          <w:rFonts w:ascii="Arial" w:hAnsi="Arial" w:cs="Arial"/>
          <w:color w:val="222222"/>
        </w:rPr>
        <w:t>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Rosh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7:24;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1:1)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all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agree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incurs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enough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satiated.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above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refers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Rabbinic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incurs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either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ke-beitza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contrast,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others,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including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Ra’avad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(Hasagot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12a;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comments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Rambam,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Hilkhot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5:15)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(Milchamot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Hashem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12a)</w:t>
      </w:r>
      <w:r w:rsidR="0030102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</w:t>
      </w:r>
      <w:r w:rsidR="00EA514D"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Yehuda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Meir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Pr="00D61F62">
        <w:rPr>
          <w:rFonts w:ascii="Arial" w:hAnsi="Arial" w:cs="Arial"/>
          <w:i/>
          <w:iCs/>
          <w:color w:val="222222"/>
        </w:rPr>
        <w:t>gemara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20b)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accepted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opinions.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301024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Interestingly,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</w:t>
      </w:r>
      <w:r w:rsidR="00A75D0B"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debate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="00D61F62">
        <w:rPr>
          <w:rFonts w:ascii="Arial" w:hAnsi="Arial" w:cs="Arial"/>
          <w:color w:val="222222"/>
        </w:rPr>
        <w:t>affect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</w:t>
      </w:r>
      <w:r w:rsidR="00DC784E">
        <w:rPr>
          <w:rFonts w:ascii="Arial" w:hAnsi="Arial" w:cs="Arial"/>
          <w:color w:val="222222"/>
        </w:rPr>
        <w:t xml:space="preserve"> </w:t>
      </w:r>
      <w:r w:rsidR="001751C4" w:rsidRPr="00DC784E">
        <w:rPr>
          <w:rFonts w:ascii="Arial" w:hAnsi="Arial" w:cs="Arial"/>
          <w:color w:val="222222"/>
        </w:rPr>
        <w:t>these</w:t>
      </w:r>
      <w:r w:rsidR="00DC784E">
        <w:rPr>
          <w:rFonts w:ascii="Arial" w:hAnsi="Arial" w:cs="Arial"/>
          <w:color w:val="222222"/>
        </w:rPr>
        <w:t xml:space="preserve"> </w:t>
      </w:r>
      <w:r w:rsidR="001751C4" w:rsidRPr="00D61F62">
        <w:rPr>
          <w:rFonts w:ascii="Arial" w:hAnsi="Arial" w:cs="Arial"/>
          <w:i/>
          <w:iCs/>
          <w:color w:val="222222"/>
        </w:rPr>
        <w:t>Rishonim</w:t>
      </w:r>
      <w:r w:rsidR="00DC784E">
        <w:rPr>
          <w:rFonts w:ascii="Arial" w:hAnsi="Arial" w:cs="Arial"/>
          <w:color w:val="222222"/>
        </w:rPr>
        <w:t xml:space="preserve"> </w:t>
      </w:r>
      <w:r w:rsidR="001751C4" w:rsidRPr="00DC784E">
        <w:rPr>
          <w:rFonts w:ascii="Arial" w:hAnsi="Arial" w:cs="Arial"/>
          <w:color w:val="222222"/>
        </w:rPr>
        <w:t>understand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relationship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between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two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Talmudic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passages.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place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48a),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61F62">
        <w:rPr>
          <w:rFonts w:ascii="Arial" w:hAnsi="Arial" w:cs="Arial"/>
          <w:i/>
          <w:iCs/>
          <w:color w:val="222222"/>
        </w:rPr>
        <w:t>gemara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Yochanan,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</w:t>
      </w:r>
      <w:r w:rsidR="00567B20">
        <w:rPr>
          <w:rFonts w:ascii="Arial" w:hAnsi="Arial" w:cs="Arial"/>
          <w:i/>
          <w:iCs/>
          <w:color w:val="222222"/>
        </w:rPr>
        <w:t>-</w:t>
      </w:r>
      <w:r w:rsidRPr="00DC784E">
        <w:rPr>
          <w:rFonts w:ascii="Arial" w:hAnsi="Arial" w:cs="Arial"/>
          <w:i/>
          <w:iCs/>
          <w:color w:val="222222"/>
        </w:rPr>
        <w:t>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others.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somewhat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perplexing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20b)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states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mi-derabannan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mi-de’oraita</w:t>
      </w:r>
      <w:r w:rsidRPr="00DC784E">
        <w:rPr>
          <w:rFonts w:ascii="Arial" w:hAnsi="Arial" w:cs="Arial"/>
          <w:color w:val="222222"/>
        </w:rPr>
        <w:t>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lastRenderedPageBreak/>
        <w:t>Tosafot,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Rosh,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Behag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="00EA514D" w:rsidRPr="00DC784E">
        <w:rPr>
          <w:rFonts w:ascii="Arial" w:hAnsi="Arial" w:cs="Arial"/>
          <w:color w:val="222222"/>
        </w:rPr>
        <w:t>cited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Rabbeinu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Yona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35b,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u-veha</w:t>
      </w:r>
      <w:r w:rsidR="00EA514D" w:rsidRPr="00DC784E">
        <w:rPr>
          <w:rFonts w:ascii="Arial" w:hAnsi="Arial" w:cs="Arial"/>
          <w:color w:val="222222"/>
        </w:rPr>
        <w:t>),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maintain</w:t>
      </w:r>
      <w:r w:rsidR="00DC784E">
        <w:rPr>
          <w:rFonts w:ascii="Arial" w:hAnsi="Arial" w:cs="Arial"/>
          <w:color w:val="222222"/>
        </w:rPr>
        <w:t xml:space="preserve"> </w:t>
      </w:r>
      <w:r w:rsidR="00EA514D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all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agree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satiated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="004975A6" w:rsidRPr="00DC784E">
        <w:rPr>
          <w:rFonts w:ascii="Arial" w:hAnsi="Arial" w:cs="Arial"/>
          <w:i/>
          <w:iCs/>
          <w:color w:val="222222"/>
        </w:rPr>
        <w:t>mi-de’oraita</w:t>
      </w:r>
      <w:r w:rsidR="004975A6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person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theoretically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person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technically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mi-derabannan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</w:t>
      </w:r>
      <w:r w:rsidR="00567B20">
        <w:rPr>
          <w:rFonts w:ascii="Arial" w:hAnsi="Arial" w:cs="Arial"/>
          <w:i/>
          <w:iCs/>
          <w:color w:val="222222"/>
        </w:rPr>
        <w:t>-</w:t>
      </w:r>
      <w:r w:rsidRPr="00DC784E">
        <w:rPr>
          <w:rFonts w:ascii="Arial" w:hAnsi="Arial" w:cs="Arial"/>
          <w:i/>
          <w:iCs/>
          <w:color w:val="222222"/>
        </w:rPr>
        <w:t>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mi-derabannan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child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possibly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below),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mi-de’oraita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301024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Ra’avad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Ramban</w:t>
      </w:r>
      <w:r w:rsidR="0030102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maintain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Meir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Yehuda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di</w:t>
      </w:r>
      <w:r w:rsidR="00567B20">
        <w:rPr>
          <w:rFonts w:ascii="Arial" w:hAnsi="Arial" w:cs="Arial"/>
          <w:color w:val="222222"/>
        </w:rPr>
        <w:t>ffer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when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incurs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Ha-Mazon</w:t>
      </w:r>
      <w:r w:rsidR="0030102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disagree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accordance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view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Meir,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believes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</w:t>
      </w:r>
      <w:r w:rsidR="00567B20">
        <w:rPr>
          <w:rFonts w:ascii="Arial" w:hAnsi="Arial" w:cs="Arial"/>
          <w:i/>
          <w:iCs/>
          <w:color w:val="222222"/>
        </w:rPr>
        <w:t>-</w:t>
      </w:r>
      <w:r w:rsidRPr="00DC784E">
        <w:rPr>
          <w:rFonts w:ascii="Arial" w:hAnsi="Arial" w:cs="Arial"/>
          <w:i/>
          <w:iCs/>
          <w:color w:val="222222"/>
        </w:rPr>
        <w:t>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301024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Shulchan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Arukh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(186:2),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following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view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Tosafot,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Rabbinically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Elsewhere,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Shulchan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Arukh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(184:4)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adds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doubt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Ha-Mazon</w:t>
      </w:r>
      <w:r w:rsidR="0030102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it,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constitutes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safek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567B20">
        <w:rPr>
          <w:rFonts w:ascii="Arial" w:hAnsi="Arial" w:cs="Arial"/>
          <w:i/>
          <w:iCs/>
          <w:color w:val="222222"/>
        </w:rPr>
        <w:t>de-</w:t>
      </w:r>
      <w:r w:rsidR="00301024" w:rsidRPr="00DC784E">
        <w:rPr>
          <w:rFonts w:ascii="Arial" w:hAnsi="Arial" w:cs="Arial"/>
          <w:i/>
          <w:iCs/>
          <w:color w:val="222222"/>
        </w:rPr>
        <w:t>oraita</w:t>
      </w:r>
      <w:r w:rsidR="0030102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doubt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commandment.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Mishna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Berura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(15)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notes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true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“satiated,”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ate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smaller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amount,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Rabbinic,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and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safek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de</w:t>
      </w:r>
      <w:r w:rsidR="00567B20">
        <w:rPr>
          <w:rFonts w:ascii="Arial" w:hAnsi="Arial" w:cs="Arial"/>
          <w:i/>
          <w:iCs/>
          <w:color w:val="222222"/>
        </w:rPr>
        <w:t>-</w:t>
      </w:r>
      <w:r w:rsidR="00301024" w:rsidRPr="00DC784E">
        <w:rPr>
          <w:rFonts w:ascii="Arial" w:hAnsi="Arial" w:cs="Arial"/>
          <w:i/>
          <w:iCs/>
          <w:color w:val="222222"/>
        </w:rPr>
        <w:t>rabannan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le-kula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(i.e.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doubt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concerns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Rabbinic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manner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therefore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301024" w:rsidRPr="00DC784E">
        <w:rPr>
          <w:rFonts w:ascii="Arial" w:hAnsi="Arial" w:cs="Arial"/>
          <w:i/>
          <w:iCs/>
          <w:color w:val="222222"/>
        </w:rPr>
        <w:t>Ha-Mazon</w:t>
      </w:r>
      <w:r w:rsidR="00301024"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</w:p>
    <w:p w:rsidR="00301024" w:rsidRPr="00DC784E" w:rsidRDefault="00301024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A75D0B" w:rsidRPr="00DC784E" w:rsidRDefault="00301024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Incidentally,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</w:t>
      </w:r>
      <w:r w:rsidR="00A75D0B"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Rema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Mordekhai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(</w:t>
      </w:r>
      <w:r w:rsidR="00A75D0B"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177),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maintains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did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drink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obligated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mi-derabannan</w:t>
      </w:r>
      <w:r w:rsidR="00567B20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T</w:t>
      </w:r>
      <w:r w:rsidR="00A75D0B" w:rsidRPr="00DC784E">
        <w:rPr>
          <w:rFonts w:ascii="Arial" w:hAnsi="Arial" w:cs="Arial"/>
          <w:color w:val="222222"/>
        </w:rPr>
        <w:t>herefore</w:t>
      </w:r>
      <w:r w:rsidR="00567B20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says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drink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well.</w:t>
      </w:r>
    </w:p>
    <w:p w:rsidR="00301024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301024" w:rsidRPr="00DC784E" w:rsidRDefault="00301024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The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Time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in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Which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One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Must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Eat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teaches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numerous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contexts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order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violate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certain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prohibitions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order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certain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mitzvot</w:t>
      </w:r>
      <w:r w:rsidR="00DC784E">
        <w:rPr>
          <w:rStyle w:val="apple-converted-space"/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require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akhila</w:t>
      </w:r>
      <w:r w:rsidRPr="00DC784E">
        <w:rPr>
          <w:rFonts w:ascii="Arial" w:hAnsi="Arial" w:cs="Arial"/>
          <w:color w:val="222222"/>
        </w:rPr>
        <w:t>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(eating),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specific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shi’ur</w:t>
      </w:r>
      <w:r w:rsidRPr="00DC784E">
        <w:rPr>
          <w:rFonts w:ascii="Arial" w:hAnsi="Arial" w:cs="Arial"/>
          <w:color w:val="222222"/>
        </w:rPr>
        <w:t>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often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ke-zayit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size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olive),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certain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generally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referred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kedei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akhilat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peras</w:t>
      </w:r>
      <w:r w:rsidRPr="00DC784E">
        <w:rPr>
          <w:rFonts w:ascii="Arial" w:hAnsi="Arial" w:cs="Arial"/>
          <w:color w:val="222222"/>
        </w:rPr>
        <w:t>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takes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half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loaf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relevant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prohibited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foods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Keritut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12b),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fulfilling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mitzvot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matza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37b)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marror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Pesachim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114b).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relevant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Kippur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Tosefta,</w:t>
      </w:r>
      <w:r w:rsidR="00567B20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Yoma</w:t>
      </w:r>
      <w:r w:rsidR="00DC784E">
        <w:rPr>
          <w:rStyle w:val="apple-converted-space"/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4:3),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although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shi’ur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Kippur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ka-kotevet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size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date).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example,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Magen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Avraham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210:1;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Me’irot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2:27)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question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shi’ur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applies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suggest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since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dependent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“satisfaction”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sevi’a</w:t>
      </w:r>
      <w:r w:rsidRPr="00DC784E">
        <w:rPr>
          <w:rFonts w:ascii="Arial" w:hAnsi="Arial" w:cs="Arial"/>
          <w:color w:val="222222"/>
        </w:rPr>
        <w:t>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states,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“When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satisfied,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8:10),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“eating,”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lastRenderedPageBreak/>
        <w:t>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minimum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over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longer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period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kedei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akhilat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peras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required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accepted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view.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B76A54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hyperlink r:id="rId5" w:tgtFrame="_blank" w:history="1">
        <w:r w:rsidR="00A75D0B" w:rsidRPr="00DC784E">
          <w:rPr>
            <w:rStyle w:val="Hyperlink"/>
            <w:rFonts w:ascii="Arial" w:hAnsi="Arial" w:cs="Arial"/>
            <w:color w:val="1155CC"/>
          </w:rPr>
          <w:t>Elsewhere</w:t>
        </w:r>
      </w:hyperlink>
      <w:r w:rsidR="00A75D0B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discussed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measurements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ke-zayit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and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ke-baitza</w:t>
      </w:r>
      <w:r w:rsidR="00A75D0B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well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time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period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known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as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bi-kidei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akhilat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peras</w:t>
      </w:r>
      <w:r w:rsidR="00A75D0B" w:rsidRPr="00DC784E">
        <w:rPr>
          <w:rFonts w:ascii="Arial" w:hAnsi="Arial" w:cs="Arial"/>
          <w:color w:val="222222"/>
        </w:rPr>
        <w:t>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Women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and</w:t>
      </w:r>
      <w:r w:rsidR="00DC784E">
        <w:rPr>
          <w:rStyle w:val="apple-converted-space"/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Birkat</w:t>
      </w:r>
      <w:r w:rsidR="00DC784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Ha-Mazon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66DBD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Talmud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20b)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discusses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women’s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66DBD" w:rsidRPr="00DC784E">
        <w:rPr>
          <w:rFonts w:ascii="Arial" w:hAnsi="Arial" w:cs="Arial"/>
          <w:i/>
          <w:iCs/>
          <w:color w:val="222222"/>
        </w:rPr>
        <w:t>Ha-Mazon</w:t>
      </w:r>
      <w:r w:rsidR="00A66DBD"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First,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567B20">
        <w:rPr>
          <w:rFonts w:ascii="Arial" w:hAnsi="Arial" w:cs="Arial"/>
          <w:i/>
          <w:iCs/>
          <w:color w:val="222222"/>
        </w:rPr>
        <w:t>gemara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asserts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66DBD"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time-bound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commandment</w:t>
      </w:r>
      <w:r w:rsidR="00567B20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generally</w:t>
      </w:r>
      <w:r w:rsidR="00DC784E">
        <w:rPr>
          <w:rFonts w:ascii="Arial" w:hAnsi="Arial" w:cs="Arial"/>
          <w:color w:val="222222"/>
        </w:rPr>
        <w:t xml:space="preserve"> </w:t>
      </w:r>
      <w:r w:rsidR="00A66DBD" w:rsidRPr="00DC784E">
        <w:rPr>
          <w:rFonts w:ascii="Arial" w:hAnsi="Arial" w:cs="Arial"/>
          <w:color w:val="222222"/>
        </w:rPr>
        <w:t>exempt.</w:t>
      </w:r>
      <w:r w:rsidR="00DC784E">
        <w:rPr>
          <w:rFonts w:ascii="Arial" w:hAnsi="Arial" w:cs="Arial"/>
          <w:color w:val="222222"/>
        </w:rPr>
        <w:t xml:space="preserve"> </w:t>
      </w:r>
    </w:p>
    <w:p w:rsidR="00567B20" w:rsidRDefault="00567B20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A66DBD" w:rsidRPr="00DC784E" w:rsidRDefault="00A66DBD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…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subject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…of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…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Is this 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self-evident?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think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because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written,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“When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evening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flesh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morning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full”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567B20">
        <w:rPr>
          <w:rFonts w:ascii="Arial" w:hAnsi="Arial" w:cs="Arial"/>
          <w:i/>
          <w:iCs/>
          <w:color w:val="222222"/>
        </w:rPr>
        <w:t>Sh</w:t>
      </w:r>
      <w:r w:rsidR="00DC784E" w:rsidRPr="00567B20">
        <w:rPr>
          <w:rFonts w:ascii="Arial" w:hAnsi="Arial" w:cs="Arial"/>
          <w:i/>
          <w:iCs/>
          <w:color w:val="222222"/>
        </w:rPr>
        <w:t>e</w:t>
      </w:r>
      <w:r w:rsidRPr="00567B20">
        <w:rPr>
          <w:rFonts w:ascii="Arial" w:hAnsi="Arial" w:cs="Arial"/>
          <w:i/>
          <w:iCs/>
          <w:color w:val="222222"/>
        </w:rPr>
        <w:t>mot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16:8),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therefore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like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time-bound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commandment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mitzvat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aseh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she-hazeman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gerama</w:t>
      </w:r>
      <w:r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Therefore</w:t>
      </w:r>
      <w:r w:rsidR="00567B20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tells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so].</w:t>
      </w:r>
    </w:p>
    <w:p w:rsidR="00567B20" w:rsidRDefault="00567B20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A75D0B" w:rsidRPr="00DC784E" w:rsidRDefault="00A66DBD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Second,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gemara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questions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women’s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is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mi-de’oraita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or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mi-derabannan</w:t>
      </w:r>
      <w:r w:rsidR="00A75D0B"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halakhic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ramification,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gemara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man’s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“[only]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bound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the Torah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perform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duty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behalf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bound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the Torah</w:t>
      </w:r>
      <w:r w:rsidRPr="00DC784E">
        <w:rPr>
          <w:rFonts w:ascii="Arial" w:hAnsi="Arial" w:cs="Arial"/>
          <w:color w:val="222222"/>
        </w:rPr>
        <w:t>.”</w:t>
      </w:r>
      <w:r w:rsidR="00DC784E">
        <w:rPr>
          <w:rFonts w:ascii="Arial" w:hAnsi="Arial" w:cs="Arial"/>
          <w:color w:val="222222"/>
        </w:rPr>
        <w:t xml:space="preserve"> 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discuss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question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conclusion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A75D0B" w:rsidRPr="00DC784E">
        <w:rPr>
          <w:rFonts w:ascii="Arial" w:hAnsi="Arial" w:cs="Arial"/>
          <w:i/>
          <w:iCs/>
          <w:color w:val="222222"/>
        </w:rPr>
        <w:t>gemara</w:t>
      </w:r>
      <w:r w:rsidR="00A75D0B" w:rsidRPr="00DC784E">
        <w:rPr>
          <w:rFonts w:ascii="Arial" w:hAnsi="Arial" w:cs="Arial"/>
          <w:color w:val="222222"/>
        </w:rPr>
        <w:t>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Why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believe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mi-de’oraita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?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Rashi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(s.v.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de-rabannan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based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</w:t>
      </w:r>
      <w:r w:rsidR="00567B20">
        <w:rPr>
          <w:rFonts w:ascii="Arial" w:hAnsi="Arial" w:cs="Arial"/>
          <w:color w:val="222222"/>
        </w:rPr>
        <w:t>’s command that one bless God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divided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women,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exempt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Tosafot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(s.v.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nashim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disagrees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L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distributed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kohanim</w:t>
      </w:r>
      <w:r w:rsidRPr="00DC784E">
        <w:rPr>
          <w:rFonts w:ascii="Arial" w:hAnsi="Arial" w:cs="Arial"/>
          <w:color w:val="222222"/>
        </w:rPr>
        <w:t>!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Rather,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ve-Torah</w:t>
      </w:r>
      <w:r w:rsidRPr="00DC784E">
        <w:rPr>
          <w:rFonts w:ascii="Arial" w:hAnsi="Arial" w:cs="Arial"/>
          <w:color w:val="222222"/>
        </w:rPr>
        <w:t>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technically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exempt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both,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conclusion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12a),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Ra’avad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Rashba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(s.v.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ela</w:t>
      </w:r>
      <w:r w:rsidRPr="00DC784E">
        <w:rPr>
          <w:rFonts w:ascii="Arial" w:hAnsi="Arial" w:cs="Arial"/>
          <w:color w:val="222222"/>
        </w:rPr>
        <w:t>)</w:t>
      </w:r>
      <w:r w:rsidR="00567B20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equally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Hilkhot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5:1)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Pr="00DC784E">
        <w:rPr>
          <w:rFonts w:ascii="Arial" w:hAnsi="Arial" w:cs="Arial"/>
          <w:color w:val="222222"/>
        </w:rPr>
        <w:t>’s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question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left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unresolved.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Shulchan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Arukh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(186:1)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rules</w:t>
      </w:r>
      <w:r w:rsidRPr="00DC784E">
        <w:rPr>
          <w:rFonts w:ascii="Arial" w:hAnsi="Arial" w:cs="Arial" w:hint="cs"/>
          <w:color w:val="222222"/>
          <w:rtl/>
        </w:rPr>
        <w:t>: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</w:t>
      </w:r>
      <w:r w:rsidRPr="00DC784E">
        <w:rPr>
          <w:rFonts w:ascii="Arial" w:hAnsi="Arial" w:cs="Arial" w:hint="cs"/>
          <w:i/>
          <w:iCs/>
          <w:color w:val="222222"/>
          <w:rtl/>
        </w:rPr>
        <w:t>-</w:t>
      </w:r>
      <w:r w:rsidRPr="00DC784E">
        <w:rPr>
          <w:rFonts w:ascii="Arial" w:hAnsi="Arial" w:cs="Arial"/>
          <w:i/>
          <w:iCs/>
          <w:color w:val="222222"/>
        </w:rPr>
        <w:t>Mazon.</w:t>
      </w:r>
      <w:r w:rsidR="00DC784E">
        <w:rPr>
          <w:rStyle w:val="apple-converted-space"/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doubt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therefore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exempt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Rabinically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exempt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Rabinically.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Based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above,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woman</w:t>
      </w:r>
      <w:r w:rsidR="00567B20">
        <w:rPr>
          <w:rFonts w:ascii="Arial" w:hAnsi="Arial" w:cs="Arial"/>
          <w:color w:val="222222"/>
        </w:rPr>
        <w:t xml:space="preserve"> do if she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enough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satiated,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but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unsure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question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length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example,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Sha’</w:t>
      </w:r>
      <w:r w:rsidRPr="00DC784E">
        <w:rPr>
          <w:rFonts w:ascii="Arial" w:hAnsi="Arial" w:cs="Arial"/>
          <w:color w:val="222222"/>
        </w:rPr>
        <w:t>are</w:t>
      </w:r>
      <w:r w:rsidR="00567B20">
        <w:rPr>
          <w:rFonts w:ascii="Arial" w:hAnsi="Arial" w:cs="Arial"/>
          <w:color w:val="222222"/>
        </w:rPr>
        <w:t>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Teshuva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186:6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Mishna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Berura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199:3),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touches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broader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legal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principle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well,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including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definition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sefeik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sefeika</w:t>
      </w:r>
      <w:r w:rsidRPr="00DC784E">
        <w:rPr>
          <w:rFonts w:ascii="Arial" w:hAnsi="Arial" w:cs="Arial"/>
          <w:color w:val="222222"/>
        </w:rPr>
        <w:t>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(a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color w:val="222222"/>
        </w:rPr>
        <w:t>double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doubt</w:t>
      </w:r>
      <w:r w:rsidRPr="00DC784E">
        <w:rPr>
          <w:rFonts w:ascii="Arial" w:hAnsi="Arial" w:cs="Arial"/>
          <w:color w:val="222222"/>
        </w:rPr>
        <w:t>,</w:t>
      </w:r>
      <w:r w:rsidR="00567B20">
        <w:rPr>
          <w:rFonts w:ascii="Arial" w:hAnsi="Arial" w:cs="Arial"/>
          <w:color w:val="222222"/>
        </w:rPr>
        <w:t>”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in this context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Torah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question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remains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unresolved,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</w:t>
      </w:r>
      <w:r w:rsidR="00567B20">
        <w:rPr>
          <w:rFonts w:ascii="Arial" w:hAnsi="Arial" w:cs="Arial"/>
          <w:color w:val="222222"/>
        </w:rPr>
        <w:t xml:space="preserve"> authorities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example,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Kitzur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Shulchan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Arukh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44:11)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repeat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while others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Sha’ar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Efraim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11,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Chayyei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Adam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47:2)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insist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Mishna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Berura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(ibid.)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concludes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wishes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Sha’ar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Efraim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so.</w:t>
      </w:r>
    </w:p>
    <w:p w:rsidR="00A75D0B" w:rsidRPr="00DC784E" w:rsidRDefault="00DC784E" w:rsidP="007E58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A75D0B" w:rsidRPr="00DC784E" w:rsidRDefault="00A75D0B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mentioned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hyperlink r:id="rId6" w:tgtFrame="_blank" w:history="1">
        <w:r w:rsidRPr="00DC784E">
          <w:rPr>
            <w:rStyle w:val="Hyperlink"/>
            <w:rFonts w:ascii="Arial" w:hAnsi="Arial" w:cs="Arial"/>
            <w:color w:val="1155CC"/>
          </w:rPr>
          <w:t>previously</w:t>
        </w:r>
      </w:hyperlink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Sefer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Ha-Michtam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45a)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Yehonatan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Luneil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(Hilkhot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He-Rif,</w:t>
      </w:r>
      <w:r w:rsidR="00DC784E">
        <w:rPr>
          <w:rStyle w:val="apple-converted-space"/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45a)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claim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cannot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join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together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zimun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different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levels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Style w:val="apple-converted-space"/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offer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different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explanations.</w:t>
      </w:r>
    </w:p>
    <w:p w:rsidR="009D6214" w:rsidRPr="00DC784E" w:rsidRDefault="009D6214" w:rsidP="007E58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The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Text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of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the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Blessings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48b)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two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seemingly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contradictory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origins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hand,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relates: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Nachman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Moshe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instituted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Ha-Zan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first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manna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descended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Yehoshua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instituted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benediction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Ha-Aretz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second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entered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Israel].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David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Shlomo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instituted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closes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Boneh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Yerushalayim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blessing].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David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instituted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words,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Israel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people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Jerusalem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city”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Yisrael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amekha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ve-al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Yerushalayim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irekha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Shlomo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instituted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words,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great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house”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ha-bayit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ha-gadol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ve-ka-kadosh</w:t>
      </w:r>
      <w:r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Ha-Tov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Ve-Hameitiv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instituted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Sages]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Yavneh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reference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those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Betar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final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battle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Kochba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revolt].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Mattena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permission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granted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bury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those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Betar,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ordained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Yavneh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bestows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said.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because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bodies]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putrefy,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bestows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because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allowed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buried.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clearly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states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although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composed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later,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Moshe,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Yehoshua,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David,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Shlomo,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great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academy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Yavneh.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hand,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states: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lastRenderedPageBreak/>
        <w:t>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taught: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intimated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satisfied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8:10)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signifies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Ha-Zan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signifies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benediction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zimun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signifies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Ha-Aretz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signifies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Boneh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Yerushalayim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similarly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</w:t>
      </w:r>
      <w:r w:rsidR="00567B20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mountain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Lebanon</w:t>
      </w:r>
      <w:r w:rsidR="00567B20">
        <w:rPr>
          <w:rFonts w:ascii="Arial" w:hAnsi="Arial" w:cs="Arial"/>
          <w:color w:val="222222"/>
        </w:rPr>
        <w:t>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3:25).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signifies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Hu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Heitiv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Hu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Meitiv</w:t>
      </w:r>
      <w:r w:rsidRPr="00DC784E">
        <w:rPr>
          <w:rFonts w:ascii="Arial" w:hAnsi="Arial" w:cs="Arial"/>
          <w:color w:val="222222"/>
        </w:rPr>
        <w:t>.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implies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themselves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alluded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verses.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disagree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if,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reconcile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apparent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contradiction.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(35b)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Hilkhot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2:1)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first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describes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authored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Moshe,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Yehoshua,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David,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Shlomo.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fact,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(Sefer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Ha-Mitzvot,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i/>
          <w:iCs/>
          <w:color w:val="222222"/>
        </w:rPr>
        <w:t>s</w:t>
      </w:r>
      <w:r w:rsidRPr="00DC784E">
        <w:rPr>
          <w:rFonts w:ascii="Arial" w:hAnsi="Arial" w:cs="Arial"/>
          <w:i/>
          <w:iCs/>
          <w:color w:val="222222"/>
        </w:rPr>
        <w:t>horesh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writes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before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specific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instituted,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commanded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eating,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each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person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ability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kol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echad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lefi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da’ato</w:t>
      </w:r>
      <w:r w:rsidRPr="00DC784E">
        <w:rPr>
          <w:rFonts w:ascii="Arial" w:hAnsi="Arial" w:cs="Arial"/>
          <w:color w:val="222222"/>
        </w:rPr>
        <w:t>).”</w:t>
      </w:r>
    </w:p>
    <w:p w:rsidR="009D6214" w:rsidRPr="00DC784E" w:rsidRDefault="00DC784E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246311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disagree.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example,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Ritva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48b,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ha-tov</w:t>
      </w:r>
      <w:r w:rsidRPr="00DC784E">
        <w:rPr>
          <w:rFonts w:ascii="Arial" w:hAnsi="Arial" w:cs="Arial"/>
          <w:color w:val="222222"/>
        </w:rPr>
        <w:t>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Ra’ah,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ha-tov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argues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completely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authored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figures,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considered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Rabbinic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commandment,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like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prayer.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Rather,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explains:</w:t>
      </w:r>
    </w:p>
    <w:p w:rsidR="00DC784E" w:rsidRPr="00DC784E" w:rsidRDefault="00DC784E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Part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formula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origin,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[God]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Yerushalayim…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Therefore,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entire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considered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mi-de’oraita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formula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mentioned.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different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manner,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obligation.</w:t>
      </w:r>
    </w:p>
    <w:p w:rsid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Tosafot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16a,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ve-chotam</w:t>
      </w:r>
      <w:r w:rsidRPr="00DC784E">
        <w:rPr>
          <w:rFonts w:ascii="Arial" w:hAnsi="Arial" w:cs="Arial"/>
          <w:color w:val="222222"/>
        </w:rPr>
        <w:t>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Rosh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6:22)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imply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aspects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mi-de’oraita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imply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number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Tosafot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ibid.;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Bach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188).</w:t>
      </w:r>
    </w:p>
    <w:p w:rsidR="00DC784E" w:rsidRDefault="00DC784E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Mishna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Berura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(194:13)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me’akvin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zeh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et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zeh</w:t>
      </w:r>
      <w:r w:rsidRPr="00DC784E">
        <w:rPr>
          <w:rFonts w:ascii="Arial" w:hAnsi="Arial" w:cs="Arial"/>
          <w:color w:val="222222"/>
        </w:rPr>
        <w:t>,”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parts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value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finds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himself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without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siddur</w:t>
      </w:r>
      <w:r w:rsidR="00567B20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knows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two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heart,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Mishna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Berura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suggests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enough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kedei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sevi’a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knows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two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those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amount,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blessings.</w:t>
      </w:r>
    </w:p>
    <w:p w:rsid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Pr="00DC784E" w:rsidRDefault="00246311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ab/>
      </w:r>
      <w:r w:rsidR="009D6214" w:rsidRPr="00DC784E">
        <w:rPr>
          <w:rFonts w:ascii="Arial" w:hAnsi="Arial" w:cs="Arial"/>
          <w:color w:val="222222"/>
        </w:rPr>
        <w:t>Alternatively,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some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suggest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such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case,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Ha-Michya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possible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Piskei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Teshuvot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187:2).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Moreover,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discussed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previously,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although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most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(see,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example,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Shulchan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Arukh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202:11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lastRenderedPageBreak/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Mishna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Berura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202:55)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maintain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Borei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Nefashot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“general”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cannot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said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eating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foods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require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different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blessing,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such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Ha-Michya,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some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Kaf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Ha-Chaim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202:79)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maintain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be-di’avad</w:t>
      </w:r>
      <w:r w:rsidR="009D621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says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Borei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Nefashot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food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requires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Ha-Michya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fulfills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obligation.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Accordingly,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Moshe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Feinstein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(Iggerot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Moshe,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OC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1:74)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suggests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have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siddur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know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Ha-Michya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first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heart,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Borei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Nefashot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instead.</w:t>
      </w:r>
    </w:p>
    <w:p w:rsid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Other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Themes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of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Birkat</w:t>
      </w:r>
      <w:r w:rsidR="00DC784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Ha-Mazon</w:t>
      </w:r>
    </w:p>
    <w:p w:rsid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Pr="00DC784E" w:rsidRDefault="00246311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ab/>
      </w:r>
      <w:r w:rsidR="009D621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Talmud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(49a)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mentions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additional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themes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mentioned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Ha-Mazon</w:t>
      </w:r>
      <w:r w:rsidR="009D6214" w:rsidRPr="00DC784E">
        <w:rPr>
          <w:rFonts w:ascii="Arial" w:hAnsi="Arial" w:cs="Arial"/>
          <w:color w:val="222222"/>
        </w:rPr>
        <w:t>:</w:t>
      </w:r>
    </w:p>
    <w:p w:rsidR="00DC784E" w:rsidRDefault="00DC784E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taught: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words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desirable,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extensive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eretz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chemda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tova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u-rechava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Ha-Aretz</w:t>
      </w:r>
      <w:r w:rsidR="00567B20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kingdom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house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David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malkhut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567B20">
        <w:rPr>
          <w:rFonts w:ascii="Arial" w:hAnsi="Arial" w:cs="Arial"/>
          <w:i/>
          <w:iCs/>
          <w:color w:val="222222"/>
        </w:rPr>
        <w:t>B</w:t>
      </w:r>
      <w:r w:rsidRPr="00DC784E">
        <w:rPr>
          <w:rFonts w:ascii="Arial" w:hAnsi="Arial" w:cs="Arial"/>
          <w:i/>
          <w:iCs/>
          <w:color w:val="222222"/>
        </w:rPr>
        <w:t>eit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David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Boneh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Yerushalayim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performed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Nachum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Elder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covenant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[the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second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blessing].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Torah.</w:t>
      </w:r>
    </w:p>
    <w:p w:rsid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seemingly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describes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two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categories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mentioned.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those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relate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Kingdom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David,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Pr="00DC784E">
        <w:rPr>
          <w:rFonts w:ascii="Arial" w:hAnsi="Arial" w:cs="Arial"/>
          <w:color w:val="222222"/>
        </w:rPr>
        <w:t>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ve-al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beritkha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ve-al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Toratkha</w:t>
      </w:r>
      <w:r w:rsidRPr="00DC784E">
        <w:rPr>
          <w:rFonts w:ascii="Arial" w:hAnsi="Arial" w:cs="Arial"/>
          <w:color w:val="222222"/>
        </w:rPr>
        <w:t>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“must”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Indeed,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Rambam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Hilkhot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2:3)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Nachum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Elder.</w:t>
      </w:r>
    </w:p>
    <w:p w:rsidR="00DC784E" w:rsidRDefault="00DC784E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However,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elsewhere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49a)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gemara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teaches:</w:t>
      </w:r>
    </w:p>
    <w:p w:rsidR="00567B20" w:rsidRDefault="00567B20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whoever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covenant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Ha-Aretz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kingdom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house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David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malkhut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beit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David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Boneh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Yerushalayim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performed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obligation.</w:t>
      </w:r>
    </w:p>
    <w:p w:rsidR="00DC784E" w:rsidRDefault="00DC784E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implies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distinguish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between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themes;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integral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part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appears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view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Tosafot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(20b,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nashim</w:t>
      </w:r>
      <w:r w:rsidRPr="00DC784E">
        <w:rPr>
          <w:rFonts w:ascii="Arial" w:hAnsi="Arial" w:cs="Arial"/>
          <w:color w:val="222222"/>
        </w:rPr>
        <w:t>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women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exempt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because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Rashba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(20b,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rav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disagrees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insists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mi-derabannan</w:t>
      </w:r>
      <w:r w:rsidRPr="00DC784E">
        <w:rPr>
          <w:rFonts w:ascii="Arial" w:hAnsi="Arial" w:cs="Arial"/>
          <w:color w:val="222222"/>
        </w:rPr>
        <w:t>.</w:t>
      </w: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Finally,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disagree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repeat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accidentally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omits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(187)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brother,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Yechiel,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inclined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disagrees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repeat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</w:p>
    <w:p w:rsidR="00DC784E" w:rsidRDefault="00DC784E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lastRenderedPageBreak/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Shulchan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Arukh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(187:3-4)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omits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malkhut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567B20">
        <w:rPr>
          <w:rFonts w:ascii="Arial" w:hAnsi="Arial" w:cs="Arial"/>
          <w:i/>
          <w:iCs/>
          <w:color w:val="222222"/>
        </w:rPr>
        <w:t>B</w:t>
      </w:r>
      <w:r w:rsidRPr="00DC784E">
        <w:rPr>
          <w:rFonts w:ascii="Arial" w:hAnsi="Arial" w:cs="Arial"/>
          <w:i/>
          <w:iCs/>
          <w:color w:val="222222"/>
        </w:rPr>
        <w:t>eit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David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must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repeat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Bi’ur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Halakha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(s.v.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machzirin</w:t>
      </w:r>
      <w:r w:rsidRPr="00DC784E">
        <w:rPr>
          <w:rFonts w:ascii="Arial" w:hAnsi="Arial" w:cs="Arial"/>
          <w:color w:val="222222"/>
        </w:rPr>
        <w:t>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unsure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omitted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back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repeat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adds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nowadays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known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all,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highly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unlikely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omit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specific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phrases.</w:t>
      </w:r>
    </w:p>
    <w:p w:rsidR="004766D7" w:rsidRPr="00DC784E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Interestingly,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Magen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Avraham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(182)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abridged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includes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above.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Mishna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Berura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187:4)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suggest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times,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educate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child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abridged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version.</w:t>
      </w:r>
    </w:p>
    <w:p w:rsidR="004766D7" w:rsidRPr="00DC784E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All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agree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fourth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Ha-Tov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Ve-HaMeitiv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mi-derabannan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therefore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customary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answer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amen”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one’s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own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Boneh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Yerushalayim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(Shulchan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Arukh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188:1).</w:t>
      </w:r>
      <w:r w:rsidR="00DC784E">
        <w:rPr>
          <w:rFonts w:ascii="Arial" w:hAnsi="Arial" w:cs="Arial"/>
          <w:color w:val="222222"/>
        </w:rPr>
        <w:t xml:space="preserve">  </w:t>
      </w:r>
    </w:p>
    <w:p w:rsidR="004766D7" w:rsidRDefault="004766D7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b/>
          <w:bCs/>
          <w:color w:val="222222"/>
        </w:rPr>
        <w:t>Singing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Tzur</w:t>
      </w:r>
      <w:r w:rsidR="00DC784E">
        <w:rPr>
          <w:rFonts w:ascii="Arial" w:hAnsi="Arial" w:cs="Arial"/>
          <w:b/>
          <w:bCs/>
          <w:i/>
          <w:iCs/>
          <w:color w:val="222222"/>
        </w:rPr>
        <w:t xml:space="preserve"> </w:t>
      </w:r>
      <w:r w:rsidRPr="00DC784E">
        <w:rPr>
          <w:rFonts w:ascii="Arial" w:hAnsi="Arial" w:cs="Arial"/>
          <w:b/>
          <w:bCs/>
          <w:i/>
          <w:iCs/>
          <w:color w:val="222222"/>
        </w:rPr>
        <w:t>MiShelo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During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the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Shabbat</w:t>
      </w:r>
      <w:r w:rsidR="00DC784E">
        <w:rPr>
          <w:rFonts w:ascii="Arial" w:hAnsi="Arial" w:cs="Arial"/>
          <w:b/>
          <w:bCs/>
          <w:color w:val="222222"/>
        </w:rPr>
        <w:t xml:space="preserve"> </w:t>
      </w:r>
      <w:r w:rsidRPr="00DC784E">
        <w:rPr>
          <w:rFonts w:ascii="Arial" w:hAnsi="Arial" w:cs="Arial"/>
          <w:b/>
          <w:bCs/>
          <w:color w:val="222222"/>
        </w:rPr>
        <w:t>Meal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Rishonim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cited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above,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appears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thank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ate,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certainly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include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above,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derived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Lord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good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given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Devarim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8:10).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Indeed,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similar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idea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Kiddush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commandment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</w:t>
      </w:r>
      <w:r w:rsidRPr="00DC784E">
        <w:rPr>
          <w:rFonts w:ascii="Arial" w:hAnsi="Arial" w:cs="Arial"/>
          <w:i/>
          <w:iCs/>
          <w:color w:val="222222"/>
        </w:rPr>
        <w:t>zakhor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et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yom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ha-Shabbat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le-kadsho</w:t>
      </w:r>
      <w:r w:rsidRPr="00DC784E">
        <w:rPr>
          <w:rFonts w:ascii="Arial" w:hAnsi="Arial" w:cs="Arial"/>
          <w:color w:val="222222"/>
        </w:rPr>
        <w:t>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through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Friday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Shemoneh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Esrei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example,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Rashba,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Responsa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4:95,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Magen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Avraham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271,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Hagahot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Akiva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Eiger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ibid.),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tefilla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saying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supplications.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concern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apparently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lead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Chaim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Volozhin 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recorded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student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Ha-Kohen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Keter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Rosh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(94),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collection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Chaim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Volozhin’s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halakhic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spiritual</w:t>
      </w:r>
      <w:r w:rsidR="00DC784E">
        <w:rPr>
          <w:rFonts w:ascii="Arial" w:hAnsi="Arial" w:cs="Arial"/>
          <w:color w:val="222222"/>
        </w:rPr>
        <w:t xml:space="preserve"> </w:t>
      </w:r>
      <w:r w:rsidR="00567B20">
        <w:rPr>
          <w:rFonts w:ascii="Arial" w:hAnsi="Arial" w:cs="Arial"/>
          <w:color w:val="222222"/>
        </w:rPr>
        <w:t>practices –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refrain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singing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Tzur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Mi-Shelo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Shabbat.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Tzur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Mi-Shelo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zemer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modeled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after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blessings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Some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explain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view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maintains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mitzvot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einan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tzerikhot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kavanna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without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intention),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which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Shulchan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B76A54">
        <w:rPr>
          <w:rFonts w:ascii="Arial" w:hAnsi="Arial" w:cs="Arial"/>
          <w:color w:val="222222"/>
        </w:rPr>
        <w:t>r</w:t>
      </w:r>
      <w:bookmarkStart w:id="0" w:name="_GoBack"/>
      <w:bookmarkEnd w:id="0"/>
      <w:r w:rsidRPr="00DC784E">
        <w:rPr>
          <w:rFonts w:ascii="Arial" w:hAnsi="Arial" w:cs="Arial"/>
          <w:color w:val="222222"/>
        </w:rPr>
        <w:t>ukh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(OC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60:4)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rule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definitively,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sings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Tzur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Mi-Shelo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essence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Seemingly,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question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depend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number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halakhic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debates.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246311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Fi</w:t>
      </w:r>
      <w:r w:rsidR="009D6214" w:rsidRPr="00DC784E">
        <w:rPr>
          <w:rFonts w:ascii="Arial" w:hAnsi="Arial" w:cs="Arial"/>
          <w:color w:val="222222"/>
        </w:rPr>
        <w:t>rst,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even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those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maintain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mitzvot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einan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tzerikhot</w:t>
      </w:r>
      <w:r w:rsidR="00567B20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kavanna</w:t>
      </w:r>
      <w:r w:rsidR="009D621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some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maintain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if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clearly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has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mind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567B20">
        <w:rPr>
          <w:rFonts w:ascii="Arial" w:hAnsi="Arial" w:cs="Arial"/>
          <w:i/>
          <w:iCs/>
          <w:color w:val="222222"/>
        </w:rPr>
        <w:t>mitzva</w:t>
      </w:r>
      <w:r w:rsidR="009D6214"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then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567B20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fulfilled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Ritva,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Rosh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Ha-Shana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28a;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see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also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lastRenderedPageBreak/>
        <w:t>Rabbeinu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Shmuel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cited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by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Talmidei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Rabbeinu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Yona,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i/>
          <w:iCs/>
          <w:color w:val="222222"/>
        </w:rPr>
        <w:t>Berakhot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6a,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="009D6214" w:rsidRPr="00DC784E">
        <w:rPr>
          <w:rFonts w:ascii="Arial" w:hAnsi="Arial" w:cs="Arial"/>
          <w:color w:val="222222"/>
        </w:rPr>
        <w:t>disagrees).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Second,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above,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omits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certain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such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berit</w:t>
      </w:r>
      <w:r w:rsidR="00567B20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(OC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187:3),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malkhut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="00567B20">
        <w:rPr>
          <w:rFonts w:ascii="Arial" w:hAnsi="Arial" w:cs="Arial"/>
          <w:i/>
          <w:iCs/>
          <w:color w:val="222222"/>
        </w:rPr>
        <w:t>B</w:t>
      </w:r>
      <w:r w:rsidRPr="00DC784E">
        <w:rPr>
          <w:rFonts w:ascii="Arial" w:hAnsi="Arial" w:cs="Arial"/>
          <w:i/>
          <w:iCs/>
          <w:color w:val="222222"/>
        </w:rPr>
        <w:t>eit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David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(ibid.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4),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Retzei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addition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added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Shabbat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(188:6),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obligation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These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themes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mentioned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Tzur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Mi-Shelo</w:t>
      </w:r>
      <w:r w:rsidRPr="00DC784E">
        <w:rPr>
          <w:rFonts w:ascii="Arial" w:hAnsi="Arial" w:cs="Arial"/>
          <w:color w:val="222222"/>
        </w:rPr>
        <w:t>.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Pr="00DC784E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Finally,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worth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when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defined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how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should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fulfilled,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undermined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uprooted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fulfillment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commandment.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arises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statement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Sham</w:t>
      </w:r>
      <w:r w:rsidR="00567B20">
        <w:rPr>
          <w:rFonts w:ascii="Arial" w:hAnsi="Arial" w:cs="Arial"/>
          <w:color w:val="222222"/>
        </w:rPr>
        <w:t>m</w:t>
      </w:r>
      <w:r w:rsidRPr="00DC784E">
        <w:rPr>
          <w:rFonts w:ascii="Arial" w:hAnsi="Arial" w:cs="Arial"/>
          <w:color w:val="222222"/>
        </w:rPr>
        <w:t>ai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Sukka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28a)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regarding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sits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sukka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invalid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according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Rabbinic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gezeira</w:t>
      </w:r>
      <w:r w:rsidRPr="00DC784E">
        <w:rPr>
          <w:rFonts w:ascii="Arial" w:hAnsi="Arial" w:cs="Arial"/>
          <w:color w:val="222222"/>
        </w:rPr>
        <w:t>: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“You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your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lifetime”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(see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Tosafot,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Sukka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3a,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s.v.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de-amar</w:t>
      </w:r>
      <w:r w:rsidRPr="00DC784E">
        <w:rPr>
          <w:rFonts w:ascii="Arial" w:hAnsi="Arial" w:cs="Arial"/>
          <w:color w:val="222222"/>
        </w:rPr>
        <w:t>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Similarly,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Acharonim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scope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Talmudic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dictum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“the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have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authority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uproot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mitzva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from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Torah”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(</w:t>
      </w:r>
      <w:r w:rsidRPr="00DC784E">
        <w:rPr>
          <w:rFonts w:ascii="Arial" w:hAnsi="Arial" w:cs="Arial"/>
          <w:i/>
          <w:iCs/>
          <w:color w:val="222222"/>
        </w:rPr>
        <w:t>Yevamot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90b).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For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example,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who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blows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shofar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Shabbat,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despite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Rabbinic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prohibition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so,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Biblical</w:t>
      </w:r>
      <w:r w:rsidR="00DC784E">
        <w:rPr>
          <w:rFonts w:ascii="Arial" w:hAnsi="Arial" w:cs="Arial"/>
          <w:color w:val="222222"/>
        </w:rPr>
        <w:t xml:space="preserve"> </w:t>
      </w:r>
      <w:r w:rsidRPr="00567B20">
        <w:rPr>
          <w:rFonts w:ascii="Arial" w:hAnsi="Arial" w:cs="Arial"/>
          <w:i/>
          <w:iCs/>
          <w:color w:val="222222"/>
        </w:rPr>
        <w:t>mitzva</w:t>
      </w:r>
      <w:r w:rsidRPr="00DC784E">
        <w:rPr>
          <w:rFonts w:ascii="Arial" w:hAnsi="Arial" w:cs="Arial"/>
          <w:color w:val="222222"/>
        </w:rPr>
        <w:t>?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context,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might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suggest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that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once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Rabbis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established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set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fulfilled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other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manner.</w:t>
      </w:r>
    </w:p>
    <w:p w:rsidR="004766D7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9D6214" w:rsidRDefault="009D6214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>It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customary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sing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Tzur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Mi-Shelo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not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to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be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concerned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with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opinion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R.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Chaim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Volozhin.</w:t>
      </w:r>
      <w:r w:rsidR="00DC784E">
        <w:rPr>
          <w:rFonts w:ascii="Arial" w:hAnsi="Arial" w:cs="Arial"/>
          <w:color w:val="222222"/>
        </w:rPr>
        <w:t xml:space="preserve">  </w:t>
      </w:r>
    </w:p>
    <w:p w:rsidR="004766D7" w:rsidRPr="00DC784E" w:rsidRDefault="004766D7" w:rsidP="007E585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246311" w:rsidRPr="00DC784E" w:rsidRDefault="00246311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84E">
        <w:rPr>
          <w:rFonts w:ascii="Arial" w:hAnsi="Arial" w:cs="Arial"/>
          <w:color w:val="222222"/>
        </w:rPr>
        <w:tab/>
        <w:t>Next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week,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will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continue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our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discussion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text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of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Birkat</w:t>
      </w:r>
      <w:r w:rsidR="00DC784E">
        <w:rPr>
          <w:rFonts w:ascii="Arial" w:hAnsi="Arial" w:cs="Arial"/>
          <w:i/>
          <w:iCs/>
          <w:color w:val="222222"/>
        </w:rPr>
        <w:t xml:space="preserve"> </w:t>
      </w:r>
      <w:r w:rsidRPr="00DC784E">
        <w:rPr>
          <w:rFonts w:ascii="Arial" w:hAnsi="Arial" w:cs="Arial"/>
          <w:i/>
          <w:iCs/>
          <w:color w:val="222222"/>
        </w:rPr>
        <w:t>Ha-Mazon</w:t>
      </w:r>
      <w:r w:rsidRPr="00DC784E">
        <w:rPr>
          <w:rFonts w:ascii="Arial" w:hAnsi="Arial" w:cs="Arial"/>
          <w:color w:val="222222"/>
        </w:rPr>
        <w:t>,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and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discuss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the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numerous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passages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inserted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on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special</w:t>
      </w:r>
      <w:r w:rsidR="00DC784E">
        <w:rPr>
          <w:rFonts w:ascii="Arial" w:hAnsi="Arial" w:cs="Arial"/>
          <w:color w:val="222222"/>
        </w:rPr>
        <w:t xml:space="preserve"> </w:t>
      </w:r>
      <w:r w:rsidRPr="00DC784E">
        <w:rPr>
          <w:rFonts w:ascii="Arial" w:hAnsi="Arial" w:cs="Arial"/>
          <w:color w:val="222222"/>
        </w:rPr>
        <w:t>occasions.</w:t>
      </w:r>
      <w:r w:rsidR="00DC784E">
        <w:rPr>
          <w:rFonts w:ascii="Arial" w:hAnsi="Arial" w:cs="Arial"/>
          <w:color w:val="222222"/>
        </w:rPr>
        <w:t xml:space="preserve"> </w:t>
      </w:r>
    </w:p>
    <w:p w:rsidR="00246311" w:rsidRPr="00DC784E" w:rsidRDefault="00246311" w:rsidP="007E58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sectPr w:rsidR="00246311" w:rsidRPr="00DC784E" w:rsidSect="00DC784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0B"/>
    <w:rsid w:val="000A2E0C"/>
    <w:rsid w:val="00140CF6"/>
    <w:rsid w:val="001751C4"/>
    <w:rsid w:val="001E3AD2"/>
    <w:rsid w:val="001F5176"/>
    <w:rsid w:val="00243FDE"/>
    <w:rsid w:val="00246311"/>
    <w:rsid w:val="00301024"/>
    <w:rsid w:val="004766D7"/>
    <w:rsid w:val="004931A8"/>
    <w:rsid w:val="004975A6"/>
    <w:rsid w:val="00506D55"/>
    <w:rsid w:val="00545F71"/>
    <w:rsid w:val="00567B20"/>
    <w:rsid w:val="0060284D"/>
    <w:rsid w:val="007815BF"/>
    <w:rsid w:val="007E5854"/>
    <w:rsid w:val="008328E1"/>
    <w:rsid w:val="009D6214"/>
    <w:rsid w:val="00A472CD"/>
    <w:rsid w:val="00A66DBD"/>
    <w:rsid w:val="00A75D0B"/>
    <w:rsid w:val="00B76A54"/>
    <w:rsid w:val="00D52C49"/>
    <w:rsid w:val="00D61F62"/>
    <w:rsid w:val="00DC784E"/>
    <w:rsid w:val="00DE7808"/>
    <w:rsid w:val="00E425E4"/>
    <w:rsid w:val="00EA514D"/>
    <w:rsid w:val="00F0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D0B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5D0B"/>
  </w:style>
  <w:style w:type="character" w:styleId="Hyperlink">
    <w:name w:val="Hyperlink"/>
    <w:basedOn w:val="DefaultParagraphFont"/>
    <w:uiPriority w:val="99"/>
    <w:semiHidden/>
    <w:unhideWhenUsed/>
    <w:rsid w:val="00A75D0B"/>
    <w:rPr>
      <w:color w:val="0000FF"/>
      <w:u w:val="single"/>
    </w:rPr>
  </w:style>
  <w:style w:type="paragraph" w:customStyle="1" w:styleId="style2">
    <w:name w:val="style2"/>
    <w:basedOn w:val="Normal"/>
    <w:rsid w:val="00A75D0B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D0B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5D0B"/>
  </w:style>
  <w:style w:type="character" w:styleId="Hyperlink">
    <w:name w:val="Hyperlink"/>
    <w:basedOn w:val="DefaultParagraphFont"/>
    <w:uiPriority w:val="99"/>
    <w:semiHidden/>
    <w:unhideWhenUsed/>
    <w:rsid w:val="00A75D0B"/>
    <w:rPr>
      <w:color w:val="0000FF"/>
      <w:u w:val="single"/>
    </w:rPr>
  </w:style>
  <w:style w:type="paragraph" w:customStyle="1" w:styleId="style2">
    <w:name w:val="style2"/>
    <w:basedOn w:val="Normal"/>
    <w:rsid w:val="00A75D0B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zion.org.il./en/shiur-54-zimun-3-women-and-zimun" TargetMode="External"/><Relationship Id="rId5" Type="http://schemas.openxmlformats.org/officeDocument/2006/relationships/hyperlink" Target="http://etzion.org.il/en/summary-halakhot-berakha-achar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4</cp:revision>
  <dcterms:created xsi:type="dcterms:W3CDTF">2015-10-15T06:31:00Z</dcterms:created>
  <dcterms:modified xsi:type="dcterms:W3CDTF">2015-10-15T09:54:00Z</dcterms:modified>
</cp:coreProperties>
</file>