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29712147" w:rsidR="00437A07" w:rsidRDefault="00425C5E" w:rsidP="005E69C8">
      <w:pPr>
        <w:pStyle w:val="1"/>
        <w:rPr>
          <w:rtl/>
        </w:rPr>
      </w:pPr>
      <w:r>
        <w:rPr>
          <w:rtl/>
        </w:rPr>
        <w:t>71</w:t>
      </w:r>
      <w:r w:rsidRPr="00425C5E">
        <w:rPr>
          <w:rtl/>
        </w:rPr>
        <w:t xml:space="preserve"> ימי המילואים (א) – המשך או חטיבה חדשה?</w:t>
      </w:r>
    </w:p>
    <w:p w14:paraId="4C77BF67" w14:textId="77777777" w:rsidR="006D5CC5" w:rsidRDefault="006D5CC5" w:rsidP="006D5CC5">
      <w:pPr>
        <w:rPr>
          <w:rtl/>
        </w:rPr>
      </w:pPr>
      <w:bookmarkStart w:id="0" w:name="_Toc478423294"/>
    </w:p>
    <w:bookmarkEnd w:id="0"/>
    <w:p w14:paraId="6EFB71D7" w14:textId="77777777" w:rsidR="00425C5E" w:rsidRDefault="00425C5E" w:rsidP="00425C5E">
      <w:pPr>
        <w:rPr>
          <w:rtl/>
        </w:rPr>
      </w:pPr>
      <w:r w:rsidRPr="00A917EF">
        <w:rPr>
          <w:rFonts w:hint="cs"/>
          <w:rtl/>
        </w:rPr>
        <w:t>במשך השנתיים האחרונות שיעור</w:t>
      </w:r>
      <w:r>
        <w:rPr>
          <w:rFonts w:hint="cs"/>
          <w:rtl/>
        </w:rPr>
        <w:t>י</w:t>
      </w:r>
      <w:r w:rsidRPr="00A917EF">
        <w:rPr>
          <w:rFonts w:hint="cs"/>
          <w:rtl/>
        </w:rPr>
        <w:t xml:space="preserve">נו הוקדשו לחטיבת הקורבנות בספר ויקרא </w:t>
      </w:r>
      <w:r w:rsidRPr="00425C5E">
        <w:rPr>
          <w:rFonts w:hint="cs"/>
          <w:sz w:val="20"/>
          <w:szCs w:val="20"/>
          <w:rtl/>
        </w:rPr>
        <w:t>(א'-ז')</w:t>
      </w:r>
      <w:r w:rsidRPr="00A917EF">
        <w:rPr>
          <w:rFonts w:hint="cs"/>
          <w:rtl/>
        </w:rPr>
        <w:t>, ויש מקום להתלבט</w:t>
      </w:r>
      <w:r>
        <w:rPr>
          <w:rFonts w:hint="cs"/>
          <w:rtl/>
        </w:rPr>
        <w:t>ות</w:t>
      </w:r>
      <w:r w:rsidRPr="00A917EF">
        <w:rPr>
          <w:rFonts w:hint="cs"/>
          <w:rtl/>
        </w:rPr>
        <w:t xml:space="preserve"> אם במסגרת זו יש להמשיך ולנתח גם את ימי המילואים הבאים בעקבותיהם </w:t>
      </w:r>
      <w:r w:rsidRPr="00425C5E">
        <w:rPr>
          <w:rFonts w:hint="cs"/>
          <w:sz w:val="20"/>
          <w:szCs w:val="20"/>
          <w:rtl/>
        </w:rPr>
        <w:t>(ח'-י')</w:t>
      </w:r>
      <w:r w:rsidRPr="00A917EF">
        <w:rPr>
          <w:rFonts w:hint="cs"/>
          <w:rtl/>
        </w:rPr>
        <w:t xml:space="preserve">. יהיה מי שיטען שמדובר ביחידה חדשה, וכאן מתארת התורה את הביצוע של הצו שניתן למשה כשהיה בהר סיני </w:t>
      </w:r>
      <w:r w:rsidRPr="00425C5E">
        <w:rPr>
          <w:rFonts w:hint="cs"/>
          <w:sz w:val="20"/>
          <w:szCs w:val="20"/>
          <w:rtl/>
        </w:rPr>
        <w:t>(שמות כ"ט + שמות מ')</w:t>
      </w:r>
      <w:r w:rsidRPr="00A917EF">
        <w:rPr>
          <w:rFonts w:hint="cs"/>
          <w:rtl/>
        </w:rPr>
        <w:t xml:space="preserve">, ועל כן אין לראות בה </w:t>
      </w:r>
      <w:r>
        <w:rPr>
          <w:rFonts w:hint="cs"/>
          <w:rtl/>
        </w:rPr>
        <w:t>חלק מ</w:t>
      </w:r>
      <w:r w:rsidRPr="00A917EF">
        <w:rPr>
          <w:rFonts w:hint="cs"/>
          <w:rtl/>
        </w:rPr>
        <w:t>חטיבת הקורבנות.</w:t>
      </w:r>
      <w:r>
        <w:rPr>
          <w:rFonts w:hint="cs"/>
          <w:rtl/>
        </w:rPr>
        <w:t xml:space="preserve"> מאחר ששאלה זו נוגעת במגמת ימי המילואים ובתכליתם, ברצוני לעסוק בה עוד לפני שניגש לניתוחם ולפרשנותם. </w:t>
      </w:r>
    </w:p>
    <w:p w14:paraId="3F4B3952" w14:textId="77777777" w:rsidR="00425C5E" w:rsidRDefault="00425C5E" w:rsidP="00425C5E">
      <w:pPr>
        <w:rPr>
          <w:rtl/>
        </w:rPr>
      </w:pPr>
      <w:r>
        <w:rPr>
          <w:rFonts w:hint="cs"/>
          <w:rtl/>
        </w:rPr>
        <w:t xml:space="preserve">נציג בולט לעמדה המבדילה את ימי המילואים </w:t>
      </w:r>
      <w:r w:rsidRPr="00425C5E">
        <w:rPr>
          <w:rFonts w:hint="cs"/>
          <w:sz w:val="20"/>
          <w:szCs w:val="20"/>
          <w:rtl/>
        </w:rPr>
        <w:t>(ח'-י')</w:t>
      </w:r>
      <w:r>
        <w:rPr>
          <w:rFonts w:hint="cs"/>
          <w:rtl/>
        </w:rPr>
        <w:t xml:space="preserve"> מחטיבת הקורבנות </w:t>
      </w:r>
      <w:r w:rsidRPr="00425C5E">
        <w:rPr>
          <w:rFonts w:hint="cs"/>
          <w:sz w:val="20"/>
          <w:szCs w:val="20"/>
          <w:rtl/>
        </w:rPr>
        <w:t>(א'-ז')</w:t>
      </w:r>
      <w:r>
        <w:rPr>
          <w:rFonts w:hint="cs"/>
          <w:rtl/>
        </w:rPr>
        <w:t xml:space="preserve"> הוא ג'ון </w:t>
      </w:r>
      <w:proofErr w:type="spellStart"/>
      <w:r>
        <w:rPr>
          <w:rFonts w:hint="cs"/>
          <w:rtl/>
        </w:rPr>
        <w:t>הרטלי</w:t>
      </w:r>
      <w:proofErr w:type="spellEnd"/>
      <w:r>
        <w:rPr>
          <w:rFonts w:hint="cs"/>
          <w:rtl/>
        </w:rPr>
        <w:t xml:space="preserve">, שעמד על פערים בין שתי חטיבות אלו </w:t>
      </w:r>
      <w:r>
        <w:rPr>
          <w:rtl/>
        </w:rPr>
        <w:t>–</w:t>
      </w:r>
      <w:r>
        <w:rPr>
          <w:rFonts w:hint="cs"/>
          <w:rtl/>
        </w:rPr>
        <w:t xml:space="preserve"> הן במרקם המילים והן בהלכות שונות:</w:t>
      </w:r>
    </w:p>
    <w:p w14:paraId="43E2CE23" w14:textId="526F9C1C" w:rsidR="00425C5E" w:rsidRDefault="00425C5E" w:rsidP="00425C5E">
      <w:pPr>
        <w:ind w:left="720"/>
        <w:rPr>
          <w:rtl/>
        </w:rPr>
      </w:pPr>
      <w:r>
        <w:rPr>
          <w:rFonts w:hint="cs"/>
          <w:rtl/>
        </w:rPr>
        <w:t>"יש סימנים רבים לכך שפרקים ח'-י' עומדים בנפרד מא'-ז'. אוצר המילים הליטורגי של פרקים ח'-י' שונה ממה שנמצא בא'-ז': 'נגש' (ח', יד) במקום 'קרב' (א', א-ב);</w:t>
      </w:r>
      <w:r>
        <w:rPr>
          <w:rStyle w:val="a5"/>
          <w:rFonts w:eastAsia="Calibri"/>
          <w:rtl/>
        </w:rPr>
        <w:footnoteReference w:id="1"/>
      </w:r>
      <w:r>
        <w:rPr>
          <w:rFonts w:hint="cs"/>
          <w:rtl/>
        </w:rPr>
        <w:t xml:space="preserve"> השימוש במונח הכללי 'יצק' (ח', טו; ט', ט) במקום 'שפך' (ד', ז). כך גם היעדר הביטויים 'לפני ה'' (למעט בתהליך התנופה </w:t>
      </w:r>
      <w:r>
        <w:rPr>
          <w:rtl/>
        </w:rPr>
        <w:t>–</w:t>
      </w:r>
      <w:r>
        <w:rPr>
          <w:rFonts w:hint="cs"/>
          <w:rtl/>
        </w:rPr>
        <w:t xml:space="preserve"> ח', </w:t>
      </w:r>
      <w:proofErr w:type="spellStart"/>
      <w:r>
        <w:rPr>
          <w:rFonts w:hint="cs"/>
          <w:rtl/>
        </w:rPr>
        <w:t>כו</w:t>
      </w:r>
      <w:proofErr w:type="spellEnd"/>
      <w:r>
        <w:rPr>
          <w:rFonts w:hint="cs"/>
          <w:rtl/>
        </w:rPr>
        <w:t xml:space="preserve">, </w:t>
      </w:r>
      <w:proofErr w:type="spellStart"/>
      <w:r>
        <w:rPr>
          <w:rFonts w:hint="cs"/>
          <w:rtl/>
        </w:rPr>
        <w:t>כז</w:t>
      </w:r>
      <w:proofErr w:type="spellEnd"/>
      <w:r>
        <w:rPr>
          <w:rFonts w:hint="cs"/>
          <w:rtl/>
        </w:rPr>
        <w:t xml:space="preserve">, </w:t>
      </w:r>
      <w:proofErr w:type="spellStart"/>
      <w:r>
        <w:rPr>
          <w:rFonts w:hint="cs"/>
          <w:rtl/>
        </w:rPr>
        <w:t>כט</w:t>
      </w:r>
      <w:proofErr w:type="spellEnd"/>
      <w:r>
        <w:rPr>
          <w:rFonts w:hint="cs"/>
          <w:rtl/>
        </w:rPr>
        <w:t>) ו'אוהל מועד' בתיאור הקרבת הקורבנות.</w:t>
      </w:r>
    </w:p>
    <w:p w14:paraId="6F0AFC43" w14:textId="25C8E685" w:rsidR="00425C5E" w:rsidRDefault="00425C5E" w:rsidP="00425C5E">
      <w:pPr>
        <w:ind w:left="720"/>
        <w:rPr>
          <w:rtl/>
        </w:rPr>
      </w:pPr>
      <w:r>
        <w:rPr>
          <w:rFonts w:hint="cs"/>
          <w:rtl/>
        </w:rPr>
        <w:t>"</w:t>
      </w:r>
      <w:r>
        <w:rPr>
          <w:rFonts w:hint="cs"/>
          <w:rtl/>
        </w:rPr>
        <w:t xml:space="preserve">יתר על כן: יש שינויים בתהליך ההקרבה. בפרקים ח' וט' הקטרת העולה מתרחשת בשני שלבים (ח', </w:t>
      </w:r>
      <w:proofErr w:type="spellStart"/>
      <w:r>
        <w:rPr>
          <w:rFonts w:hint="cs"/>
          <w:rtl/>
        </w:rPr>
        <w:t>יח</w:t>
      </w:r>
      <w:proofErr w:type="spellEnd"/>
      <w:r>
        <w:rPr>
          <w:rFonts w:hint="cs"/>
          <w:rtl/>
        </w:rPr>
        <w:t xml:space="preserve">-כה; ט', </w:t>
      </w:r>
      <w:proofErr w:type="spellStart"/>
      <w:r>
        <w:rPr>
          <w:rFonts w:hint="cs"/>
          <w:rtl/>
        </w:rPr>
        <w:t>יב</w:t>
      </w:r>
      <w:proofErr w:type="spellEnd"/>
      <w:r>
        <w:rPr>
          <w:rFonts w:hint="cs"/>
          <w:rtl/>
        </w:rPr>
        <w:t>-יד),</w:t>
      </w:r>
      <w:r w:rsidRPr="00425C5E">
        <w:rPr>
          <w:rStyle w:val="a5"/>
          <w:rFonts w:eastAsia="Calibri"/>
          <w:rtl/>
        </w:rPr>
        <w:footnoteReference w:id="2"/>
      </w:r>
      <w:r>
        <w:rPr>
          <w:rFonts w:hint="cs"/>
          <w:rtl/>
        </w:rPr>
        <w:t xml:space="preserve"> ואילו בחוק הבסיסי היא נעשית בבת אחת (א', ט). קורבן החטאת שהוגש ביום הראשון של קורבנות ציבור, מובא ככפרה כללית, ולא על חטא מסוים שבוצע על ידי הכוהן הגדול, כמתואר בד', </w:t>
      </w:r>
      <w:proofErr w:type="spellStart"/>
      <w:r>
        <w:rPr>
          <w:rFonts w:hint="cs"/>
          <w:rtl/>
        </w:rPr>
        <w:t>יב</w:t>
      </w:r>
      <w:proofErr w:type="spellEnd"/>
      <w:r>
        <w:rPr>
          <w:rFonts w:hint="cs"/>
          <w:rtl/>
        </w:rPr>
        <w:t xml:space="preserve">. העובדה שיש הבדל משמעותי בין שני </w:t>
      </w:r>
      <w:r>
        <w:rPr>
          <w:rFonts w:hint="cs"/>
          <w:rtl/>
        </w:rPr>
        <w:t xml:space="preserve">סוגים אלו של חיטוי </w:t>
      </w:r>
      <w:r>
        <w:rPr>
          <w:rtl/>
        </w:rPr>
        <w:t>–</w:t>
      </w:r>
      <w:r>
        <w:rPr>
          <w:rFonts w:hint="cs"/>
          <w:rtl/>
        </w:rPr>
        <w:t xml:space="preserve"> ניכר בעבודת הדם. בטקס הכללי, יש לשים את הדם על קרנות המזבח (ח', טו), והוא לא נלקח את הקודש, בכדי להיות מוזה על הפרוכת ועל קרני מזבח הקטורת </w:t>
      </w:r>
      <w:r>
        <w:rPr>
          <w:rtl/>
        </w:rPr>
        <w:t>–</w:t>
      </w:r>
      <w:r>
        <w:rPr>
          <w:rFonts w:hint="cs"/>
          <w:rtl/>
        </w:rPr>
        <w:t xml:space="preserve"> כפי שיש לעשות בחיטוי חטא ספציפי (ד', ו-ז).</w:t>
      </w:r>
    </w:p>
    <w:p w14:paraId="137C9798" w14:textId="27403603" w:rsidR="00425C5E" w:rsidRDefault="00425C5E" w:rsidP="00425C5E">
      <w:pPr>
        <w:ind w:left="720"/>
        <w:rPr>
          <w:rtl/>
        </w:rPr>
      </w:pPr>
      <w:r>
        <w:rPr>
          <w:rFonts w:hint="cs"/>
          <w:rtl/>
        </w:rPr>
        <w:t>"</w:t>
      </w:r>
      <w:r>
        <w:rPr>
          <w:rFonts w:hint="cs"/>
          <w:rtl/>
        </w:rPr>
        <w:t xml:space="preserve">יתר על כן: ברשימת חלקי הפר שנשרפים בחוץ, אין כל אזכור לראש הפר (ח', </w:t>
      </w:r>
      <w:proofErr w:type="spellStart"/>
      <w:r>
        <w:rPr>
          <w:rFonts w:hint="cs"/>
          <w:rtl/>
        </w:rPr>
        <w:t>יז</w:t>
      </w:r>
      <w:proofErr w:type="spellEnd"/>
      <w:r>
        <w:rPr>
          <w:rFonts w:hint="cs"/>
          <w:rtl/>
        </w:rPr>
        <w:t xml:space="preserve">; ט', י), כפי שכתוב בד', יא. גם ההבחנה בין 'תנופה ל'תרומה' נעלמה (ט', </w:t>
      </w:r>
      <w:proofErr w:type="spellStart"/>
      <w:r>
        <w:rPr>
          <w:rFonts w:hint="cs"/>
          <w:rtl/>
        </w:rPr>
        <w:t>כא</w:t>
      </w:r>
      <w:proofErr w:type="spellEnd"/>
      <w:r>
        <w:rPr>
          <w:rFonts w:hint="cs"/>
          <w:rtl/>
        </w:rPr>
        <w:t xml:space="preserve">; י', יד-טו; השוו </w:t>
      </w:r>
      <w:proofErr w:type="spellStart"/>
      <w:r>
        <w:rPr>
          <w:rFonts w:hint="cs"/>
          <w:rtl/>
        </w:rPr>
        <w:t>לז</w:t>
      </w:r>
      <w:proofErr w:type="spellEnd"/>
      <w:r>
        <w:rPr>
          <w:rFonts w:hint="cs"/>
          <w:rtl/>
        </w:rPr>
        <w:t xml:space="preserve">', ל-לד). יתר על כן: תיאור קורבן המנחה (ח', </w:t>
      </w:r>
      <w:proofErr w:type="spellStart"/>
      <w:r>
        <w:rPr>
          <w:rFonts w:hint="cs"/>
          <w:rtl/>
        </w:rPr>
        <w:t>כו-כח</w:t>
      </w:r>
      <w:proofErr w:type="spellEnd"/>
      <w:r>
        <w:rPr>
          <w:rFonts w:hint="cs"/>
          <w:rtl/>
        </w:rPr>
        <w:t xml:space="preserve">) שונה באופן משמעותי מחוק קורבן המנחה שצריך אהרן להביא ביום חניכתו (ו', </w:t>
      </w:r>
      <w:proofErr w:type="spellStart"/>
      <w:r>
        <w:rPr>
          <w:rFonts w:hint="cs"/>
          <w:rtl/>
        </w:rPr>
        <w:t>יג</w:t>
      </w:r>
      <w:proofErr w:type="spellEnd"/>
      <w:r>
        <w:rPr>
          <w:rFonts w:hint="cs"/>
          <w:rtl/>
        </w:rPr>
        <w:t>-יד)".</w:t>
      </w:r>
      <w:r w:rsidRPr="00425C5E">
        <w:rPr>
          <w:rStyle w:val="a5"/>
          <w:rFonts w:eastAsia="Calibri"/>
          <w:rtl/>
        </w:rPr>
        <w:footnoteReference w:id="3"/>
      </w:r>
    </w:p>
    <w:p w14:paraId="2DD0626F" w14:textId="022192BB" w:rsidR="00425C5E" w:rsidRDefault="00425C5E" w:rsidP="00425C5E">
      <w:pPr>
        <w:rPr>
          <w:rtl/>
        </w:rPr>
      </w:pPr>
      <w:r>
        <w:rPr>
          <w:rFonts w:hint="cs"/>
          <w:rtl/>
        </w:rPr>
        <w:t xml:space="preserve">הארכתי בדבריו כי טענתו אכן מאתגרת. אומנם, מכמה מן ההבדלים שהוא מזכיר קשה להסיק שאין קשר בין הפרקים. כך למשל, 'אוהל מועד' אומנם איננו נזכר בתיאור מקום השחיטה, אך הוא נזכר פעמיים בתחילת ימי המילואים </w:t>
      </w:r>
      <w:r w:rsidRPr="00425C5E">
        <w:rPr>
          <w:rFonts w:hint="cs"/>
          <w:sz w:val="20"/>
          <w:szCs w:val="20"/>
          <w:rtl/>
        </w:rPr>
        <w:t>(</w:t>
      </w:r>
      <w:r>
        <w:rPr>
          <w:rFonts w:hint="cs"/>
          <w:sz w:val="20"/>
          <w:szCs w:val="20"/>
          <w:rtl/>
        </w:rPr>
        <w:t>ח', ג-</w:t>
      </w:r>
      <w:r w:rsidRPr="00425C5E">
        <w:rPr>
          <w:rFonts w:hint="cs"/>
          <w:sz w:val="20"/>
          <w:szCs w:val="20"/>
          <w:rtl/>
        </w:rPr>
        <w:t>ד)</w:t>
      </w:r>
      <w:r>
        <w:rPr>
          <w:rFonts w:hint="cs"/>
          <w:rtl/>
        </w:rPr>
        <w:t xml:space="preserve"> ועוד שלוש פעמים בחתימתם </w:t>
      </w:r>
      <w:r w:rsidRPr="00425C5E">
        <w:rPr>
          <w:rFonts w:hint="cs"/>
          <w:sz w:val="20"/>
          <w:szCs w:val="20"/>
          <w:rtl/>
        </w:rPr>
        <w:t>(לא-לה)</w:t>
      </w:r>
      <w:r>
        <w:rPr>
          <w:rFonts w:hint="cs"/>
          <w:rtl/>
        </w:rPr>
        <w:t>, ונראה שהיעדר הגדרת המקום בשחיטה איננה אלא כתיבה מקצרת שמניחה שהקורא מודע לדיני שחיטת הקורבנות. כך גם חסרון "</w:t>
      </w:r>
      <w:r w:rsidRPr="006E7260">
        <w:rPr>
          <w:rFonts w:hint="cs"/>
          <w:rtl/>
        </w:rPr>
        <w:t>עַל</w:t>
      </w:r>
      <w:r w:rsidRPr="006E7260">
        <w:rPr>
          <w:rtl/>
        </w:rPr>
        <w:t xml:space="preserve"> </w:t>
      </w:r>
      <w:r w:rsidRPr="006E7260">
        <w:rPr>
          <w:rFonts w:hint="cs"/>
          <w:rtl/>
        </w:rPr>
        <w:t>רֹאשׁוֹ</w:t>
      </w:r>
      <w:r w:rsidRPr="006E7260">
        <w:rPr>
          <w:rtl/>
        </w:rPr>
        <w:t xml:space="preserve"> </w:t>
      </w:r>
      <w:r w:rsidRPr="006E7260">
        <w:rPr>
          <w:rFonts w:hint="cs"/>
          <w:rtl/>
        </w:rPr>
        <w:t>וְעַל</w:t>
      </w:r>
      <w:r w:rsidRPr="006E7260">
        <w:rPr>
          <w:rtl/>
        </w:rPr>
        <w:t xml:space="preserve"> </w:t>
      </w:r>
      <w:r w:rsidRPr="006E7260">
        <w:rPr>
          <w:rFonts w:hint="cs"/>
          <w:rtl/>
        </w:rPr>
        <w:t>כְּרָעָיו</w:t>
      </w:r>
      <w:r w:rsidRPr="006E7260">
        <w:rPr>
          <w:rtl/>
        </w:rPr>
        <w:t xml:space="preserve"> </w:t>
      </w:r>
      <w:r w:rsidRPr="006E7260">
        <w:rPr>
          <w:rFonts w:hint="cs"/>
          <w:rtl/>
        </w:rPr>
        <w:t>וְקִרְבּוֹ</w:t>
      </w:r>
      <w:r w:rsidRPr="006E7260">
        <w:rPr>
          <w:rtl/>
        </w:rPr>
        <w:t xml:space="preserve"> </w:t>
      </w:r>
      <w:r w:rsidRPr="006E7260">
        <w:rPr>
          <w:rFonts w:hint="cs"/>
          <w:rtl/>
        </w:rPr>
        <w:t>וּפִרְשׁוֹ</w:t>
      </w:r>
      <w:r>
        <w:rPr>
          <w:rFonts w:hint="cs"/>
          <w:rtl/>
        </w:rPr>
        <w:t xml:space="preserve">" </w:t>
      </w:r>
      <w:r w:rsidRPr="00425C5E">
        <w:rPr>
          <w:rFonts w:hint="cs"/>
          <w:sz w:val="20"/>
          <w:szCs w:val="20"/>
          <w:rtl/>
        </w:rPr>
        <w:t>(ד', יא)</w:t>
      </w:r>
      <w:r>
        <w:rPr>
          <w:rFonts w:hint="cs"/>
          <w:rtl/>
        </w:rPr>
        <w:t xml:space="preserve"> בתיאור שריפת פר החטאת איננו מטריד, שהרי הצירוף שכן נאמר </w:t>
      </w:r>
      <w:r>
        <w:rPr>
          <w:rtl/>
        </w:rPr>
        <w:t>–</w:t>
      </w:r>
      <w:r>
        <w:rPr>
          <w:rFonts w:hint="cs"/>
          <w:rtl/>
        </w:rPr>
        <w:t xml:space="preserve"> "</w:t>
      </w:r>
      <w:r w:rsidRPr="006E7260">
        <w:rPr>
          <w:rFonts w:hint="cs"/>
          <w:rtl/>
        </w:rPr>
        <w:t>וְאֶת</w:t>
      </w:r>
      <w:r w:rsidRPr="006E7260">
        <w:rPr>
          <w:rtl/>
        </w:rPr>
        <w:t xml:space="preserve"> </w:t>
      </w:r>
      <w:r w:rsidRPr="006E7260">
        <w:rPr>
          <w:rFonts w:hint="cs"/>
          <w:rtl/>
        </w:rPr>
        <w:t>הַבָּשָׂר</w:t>
      </w:r>
      <w:r w:rsidRPr="006E7260">
        <w:rPr>
          <w:rtl/>
        </w:rPr>
        <w:t xml:space="preserve"> </w:t>
      </w:r>
      <w:r w:rsidRPr="006E7260">
        <w:rPr>
          <w:rFonts w:hint="cs"/>
          <w:rtl/>
        </w:rPr>
        <w:t>וְאֶת</w:t>
      </w:r>
      <w:r w:rsidRPr="006E7260">
        <w:rPr>
          <w:rtl/>
        </w:rPr>
        <w:t xml:space="preserve"> </w:t>
      </w:r>
      <w:r w:rsidRPr="006E7260">
        <w:rPr>
          <w:rFonts w:hint="cs"/>
          <w:rtl/>
        </w:rPr>
        <w:t>הָעוֹר</w:t>
      </w:r>
      <w:r w:rsidRPr="006E7260">
        <w:rPr>
          <w:rtl/>
        </w:rPr>
        <w:t xml:space="preserve"> </w:t>
      </w:r>
      <w:r w:rsidRPr="006E7260">
        <w:rPr>
          <w:rFonts w:hint="cs"/>
          <w:rtl/>
        </w:rPr>
        <w:t>שָׂרַף</w:t>
      </w:r>
      <w:r w:rsidRPr="006E7260">
        <w:rPr>
          <w:rtl/>
        </w:rPr>
        <w:t xml:space="preserve"> </w:t>
      </w:r>
      <w:r w:rsidRPr="006E7260">
        <w:rPr>
          <w:rFonts w:hint="cs"/>
          <w:rtl/>
        </w:rPr>
        <w:t>בָּאֵשׁ</w:t>
      </w:r>
      <w:r w:rsidRPr="006E7260">
        <w:rPr>
          <w:rtl/>
        </w:rPr>
        <w:t xml:space="preserve"> </w:t>
      </w:r>
      <w:r w:rsidRPr="006E7260">
        <w:rPr>
          <w:rFonts w:hint="cs"/>
          <w:rtl/>
        </w:rPr>
        <w:t>מִחוּץ</w:t>
      </w:r>
      <w:r w:rsidRPr="006E7260">
        <w:rPr>
          <w:rtl/>
        </w:rPr>
        <w:t xml:space="preserve"> </w:t>
      </w:r>
      <w:r w:rsidRPr="006E7260">
        <w:rPr>
          <w:rFonts w:hint="cs"/>
          <w:rtl/>
        </w:rPr>
        <w:t>לַמַּחֲנֶה</w:t>
      </w:r>
      <w:r>
        <w:rPr>
          <w:rFonts w:hint="cs"/>
          <w:rtl/>
        </w:rPr>
        <w:t xml:space="preserve">" </w:t>
      </w:r>
      <w:r w:rsidRPr="00425C5E">
        <w:rPr>
          <w:rFonts w:hint="cs"/>
          <w:sz w:val="20"/>
          <w:szCs w:val="20"/>
          <w:rtl/>
        </w:rPr>
        <w:t>(ט', יא)</w:t>
      </w:r>
      <w:r>
        <w:rPr>
          <w:rFonts w:hint="cs"/>
          <w:rtl/>
        </w:rPr>
        <w:t xml:space="preserve"> כולל את הפר כולו ("הבשר" </w:t>
      </w:r>
      <w:r>
        <w:rPr>
          <w:rtl/>
        </w:rPr>
        <w:t>–</w:t>
      </w:r>
      <w:r>
        <w:rPr>
          <w:rFonts w:hint="cs"/>
          <w:rtl/>
        </w:rPr>
        <w:t xml:space="preserve"> כולל הרי גם את הראש וגם את הכרעיים), וקשה להוכיח מהסגנון הקצר שאכן הכוונה שהראש לא נשרף. אולם פערים אחרים שהוא הצביע עליהם אכן דורשים פשר ומחזקים את האפשרות שיש לקרוא את ימי המילואים במנותק מחטיבת הקורבנות שקדמה להם.</w:t>
      </w:r>
    </w:p>
    <w:p w14:paraId="2E5D095A" w14:textId="77777777" w:rsidR="00425C5E" w:rsidRDefault="00425C5E" w:rsidP="00425C5E">
      <w:pPr>
        <w:rPr>
          <w:rtl/>
        </w:rPr>
      </w:pPr>
      <w:r w:rsidRPr="00A917EF">
        <w:rPr>
          <w:rtl/>
        </w:rPr>
        <w:tab/>
      </w:r>
      <w:r w:rsidRPr="00A917EF">
        <w:rPr>
          <w:rFonts w:hint="cs"/>
          <w:rtl/>
        </w:rPr>
        <w:t xml:space="preserve">אולם, </w:t>
      </w:r>
      <w:r>
        <w:rPr>
          <w:rFonts w:hint="cs"/>
          <w:rtl/>
        </w:rPr>
        <w:t xml:space="preserve">למרות הפיתוי שבדבר, לא ניתן לאמץ את מסקנתו של </w:t>
      </w:r>
      <w:proofErr w:type="spellStart"/>
      <w:r>
        <w:rPr>
          <w:rFonts w:hint="cs"/>
          <w:rtl/>
        </w:rPr>
        <w:t>הרטלי</w:t>
      </w:r>
      <w:proofErr w:type="spellEnd"/>
      <w:r>
        <w:rPr>
          <w:rFonts w:hint="cs"/>
          <w:rtl/>
        </w:rPr>
        <w:t xml:space="preserve">. </w:t>
      </w:r>
      <w:r w:rsidRPr="00A917EF">
        <w:rPr>
          <w:rFonts w:hint="cs"/>
          <w:rtl/>
        </w:rPr>
        <w:t xml:space="preserve">כפי שראינו בדיון בפסוקי החתימה של חטיבת הקורבנות, הכתוב קושר את תורת הקורבנות שבפרשת צו עם קורבן המילואים </w:t>
      </w:r>
      <w:r w:rsidRPr="00425C5E">
        <w:rPr>
          <w:rFonts w:hint="cs"/>
          <w:sz w:val="20"/>
          <w:szCs w:val="20"/>
          <w:rtl/>
        </w:rPr>
        <w:t xml:space="preserve">(ז', </w:t>
      </w:r>
      <w:proofErr w:type="spellStart"/>
      <w:r w:rsidRPr="00425C5E">
        <w:rPr>
          <w:rFonts w:hint="cs"/>
          <w:sz w:val="20"/>
          <w:szCs w:val="20"/>
          <w:rtl/>
        </w:rPr>
        <w:t>לז</w:t>
      </w:r>
      <w:proofErr w:type="spellEnd"/>
      <w:r w:rsidRPr="00425C5E">
        <w:rPr>
          <w:rFonts w:hint="cs"/>
          <w:sz w:val="20"/>
          <w:szCs w:val="20"/>
          <w:rtl/>
        </w:rPr>
        <w:t>)</w:t>
      </w:r>
      <w:r w:rsidRPr="00A917EF">
        <w:rPr>
          <w:rFonts w:hint="cs"/>
          <w:rtl/>
        </w:rPr>
        <w:t>, וכבר הערנו שיש שיטות שסבורות שכל רשימת הקורבנות השנייה נאמרה למשה כחלק מהציווי על ימי המילואים שבהם הובאו קורבנות מגוונים.</w:t>
      </w:r>
      <w:r w:rsidRPr="00425C5E">
        <w:rPr>
          <w:rStyle w:val="a5"/>
          <w:rFonts w:eastAsia="Calibri"/>
          <w:rtl/>
        </w:rPr>
        <w:footnoteReference w:id="4"/>
      </w:r>
      <w:r w:rsidRPr="00425C5E">
        <w:rPr>
          <w:rStyle w:val="a5"/>
          <w:rFonts w:eastAsia="Calibri" w:hint="cs"/>
          <w:rtl/>
        </w:rPr>
        <w:t xml:space="preserve"> </w:t>
      </w:r>
      <w:r>
        <w:rPr>
          <w:rFonts w:hint="cs"/>
          <w:rtl/>
        </w:rPr>
        <w:t xml:space="preserve">לפיכך, גם אם צודק </w:t>
      </w:r>
      <w:proofErr w:type="spellStart"/>
      <w:r>
        <w:rPr>
          <w:rFonts w:hint="cs"/>
          <w:rtl/>
        </w:rPr>
        <w:t>הרטלי</w:t>
      </w:r>
      <w:proofErr w:type="spellEnd"/>
      <w:r>
        <w:rPr>
          <w:rFonts w:hint="cs"/>
          <w:rtl/>
        </w:rPr>
        <w:t xml:space="preserve"> שיש בימי המילואים דברים ייחודיים </w:t>
      </w:r>
      <w:r>
        <w:rPr>
          <w:rFonts w:hint="cs"/>
          <w:rtl/>
        </w:rPr>
        <w:lastRenderedPageBreak/>
        <w:t>שאיננו מכירים מדיני הקורבנות הרגילים, אין בדבר שיקוף של חטיבה אחרת בעלת עקרונות אחרים, אלא שיש להבין את פשר ההבדלים לאור מגמת ימי המילואים ולאור תכליתם.</w:t>
      </w:r>
    </w:p>
    <w:p w14:paraId="423C910B" w14:textId="77777777" w:rsidR="00425C5E" w:rsidRDefault="00425C5E" w:rsidP="00425C5E">
      <w:pPr>
        <w:rPr>
          <w:rtl/>
        </w:rPr>
      </w:pPr>
      <w:r>
        <w:rPr>
          <w:rtl/>
        </w:rPr>
        <w:tab/>
      </w:r>
      <w:r>
        <w:rPr>
          <w:rFonts w:hint="cs"/>
          <w:rtl/>
        </w:rPr>
        <w:t xml:space="preserve">חלק מן ההבדלים בין המתואר </w:t>
      </w:r>
      <w:proofErr w:type="spellStart"/>
      <w:r>
        <w:rPr>
          <w:rFonts w:hint="cs"/>
          <w:rtl/>
        </w:rPr>
        <w:t>בויקרא</w:t>
      </w:r>
      <w:proofErr w:type="spellEnd"/>
      <w:r>
        <w:rPr>
          <w:rFonts w:hint="cs"/>
          <w:rtl/>
        </w:rPr>
        <w:t xml:space="preserve"> א'-ז' למתואר בימי המילואים נובע מפערים טכניים. כך למשל, צודק </w:t>
      </w:r>
      <w:proofErr w:type="spellStart"/>
      <w:r>
        <w:rPr>
          <w:rFonts w:hint="cs"/>
          <w:rtl/>
        </w:rPr>
        <w:t>הרטלי</w:t>
      </w:r>
      <w:proofErr w:type="spellEnd"/>
      <w:r>
        <w:rPr>
          <w:rFonts w:hint="cs"/>
          <w:rtl/>
        </w:rPr>
        <w:t xml:space="preserve"> בזיהוי הפועל החריג בתיאור משה המביא את פר החטאת: "</w:t>
      </w:r>
      <w:proofErr w:type="spellStart"/>
      <w:r w:rsidRPr="0005789D">
        <w:rPr>
          <w:rFonts w:hint="cs"/>
          <w:b/>
          <w:bCs/>
          <w:rtl/>
        </w:rPr>
        <w:t>וַיַּגֵּש</w:t>
      </w:r>
      <w:proofErr w:type="spellEnd"/>
      <w:r w:rsidRPr="0005789D">
        <w:rPr>
          <w:rFonts w:hint="cs"/>
          <w:b/>
          <w:bCs/>
          <w:rtl/>
        </w:rPr>
        <w:t>ׁ</w:t>
      </w:r>
      <w:r w:rsidRPr="0005789D">
        <w:rPr>
          <w:rtl/>
        </w:rPr>
        <w:t xml:space="preserve"> </w:t>
      </w:r>
      <w:r w:rsidRPr="0005789D">
        <w:rPr>
          <w:rFonts w:hint="cs"/>
          <w:rtl/>
        </w:rPr>
        <w:t>אֵת</w:t>
      </w:r>
      <w:r w:rsidRPr="0005789D">
        <w:rPr>
          <w:rtl/>
        </w:rPr>
        <w:t xml:space="preserve"> </w:t>
      </w:r>
      <w:r w:rsidRPr="0005789D">
        <w:rPr>
          <w:rFonts w:hint="cs"/>
          <w:rtl/>
        </w:rPr>
        <w:t>פַּר</w:t>
      </w:r>
      <w:r w:rsidRPr="0005789D">
        <w:rPr>
          <w:rtl/>
        </w:rPr>
        <w:t xml:space="preserve"> </w:t>
      </w:r>
      <w:r w:rsidRPr="0005789D">
        <w:rPr>
          <w:rFonts w:hint="cs"/>
          <w:rtl/>
        </w:rPr>
        <w:t>הַחַטָּאת</w:t>
      </w:r>
      <w:r w:rsidRPr="0005789D">
        <w:rPr>
          <w:rtl/>
        </w:rPr>
        <w:t xml:space="preserve"> </w:t>
      </w:r>
      <w:proofErr w:type="spellStart"/>
      <w:r w:rsidRPr="0005789D">
        <w:rPr>
          <w:rFonts w:hint="cs"/>
          <w:rtl/>
        </w:rPr>
        <w:t>וַיִּסְמֹך</w:t>
      </w:r>
      <w:proofErr w:type="spellEnd"/>
      <w:r w:rsidRPr="0005789D">
        <w:rPr>
          <w:rFonts w:hint="cs"/>
          <w:rtl/>
        </w:rPr>
        <w:t>ְ</w:t>
      </w:r>
      <w:r w:rsidRPr="0005789D">
        <w:rPr>
          <w:rtl/>
        </w:rPr>
        <w:t xml:space="preserve"> </w:t>
      </w:r>
      <w:r w:rsidRPr="0005789D">
        <w:rPr>
          <w:rFonts w:hint="cs"/>
          <w:rtl/>
        </w:rPr>
        <w:t>אַהֲרֹן</w:t>
      </w:r>
      <w:r w:rsidRPr="0005789D">
        <w:rPr>
          <w:rtl/>
        </w:rPr>
        <w:t xml:space="preserve"> </w:t>
      </w:r>
      <w:r w:rsidRPr="0005789D">
        <w:rPr>
          <w:rFonts w:hint="cs"/>
          <w:rtl/>
        </w:rPr>
        <w:t>וּבָנָיו</w:t>
      </w:r>
      <w:r w:rsidRPr="0005789D">
        <w:rPr>
          <w:rtl/>
        </w:rPr>
        <w:t xml:space="preserve"> </w:t>
      </w:r>
      <w:r w:rsidRPr="0005789D">
        <w:rPr>
          <w:rFonts w:hint="cs"/>
          <w:rtl/>
        </w:rPr>
        <w:t>אֶת</w:t>
      </w:r>
      <w:r w:rsidRPr="0005789D">
        <w:rPr>
          <w:rtl/>
        </w:rPr>
        <w:t xml:space="preserve"> </w:t>
      </w:r>
      <w:r w:rsidRPr="0005789D">
        <w:rPr>
          <w:rFonts w:hint="cs"/>
          <w:rtl/>
        </w:rPr>
        <w:t>יְדֵיהֶם</w:t>
      </w:r>
      <w:r w:rsidRPr="0005789D">
        <w:rPr>
          <w:rtl/>
        </w:rPr>
        <w:t xml:space="preserve"> </w:t>
      </w:r>
      <w:r w:rsidRPr="0005789D">
        <w:rPr>
          <w:rFonts w:hint="cs"/>
          <w:rtl/>
        </w:rPr>
        <w:t>עַל</w:t>
      </w:r>
      <w:r w:rsidRPr="0005789D">
        <w:rPr>
          <w:rtl/>
        </w:rPr>
        <w:t xml:space="preserve"> </w:t>
      </w:r>
      <w:r w:rsidRPr="0005789D">
        <w:rPr>
          <w:rFonts w:hint="cs"/>
          <w:rtl/>
        </w:rPr>
        <w:t>רֹאשׁ</w:t>
      </w:r>
      <w:r w:rsidRPr="0005789D">
        <w:rPr>
          <w:rtl/>
        </w:rPr>
        <w:t xml:space="preserve"> </w:t>
      </w:r>
      <w:r w:rsidRPr="0005789D">
        <w:rPr>
          <w:rFonts w:hint="cs"/>
          <w:rtl/>
        </w:rPr>
        <w:t>פַּר</w:t>
      </w:r>
      <w:r w:rsidRPr="0005789D">
        <w:rPr>
          <w:rtl/>
        </w:rPr>
        <w:t xml:space="preserve"> </w:t>
      </w:r>
      <w:r w:rsidRPr="0005789D">
        <w:rPr>
          <w:rFonts w:hint="cs"/>
          <w:rtl/>
        </w:rPr>
        <w:t>הַחַטָּאת</w:t>
      </w:r>
      <w:r>
        <w:rPr>
          <w:rFonts w:hint="cs"/>
          <w:rtl/>
        </w:rPr>
        <w:t xml:space="preserve">" </w:t>
      </w:r>
      <w:r w:rsidRPr="00425C5E">
        <w:rPr>
          <w:rFonts w:hint="cs"/>
          <w:sz w:val="20"/>
          <w:szCs w:val="20"/>
          <w:rtl/>
        </w:rPr>
        <w:t>(ח', יד)</w:t>
      </w:r>
      <w:r>
        <w:rPr>
          <w:rFonts w:hint="cs"/>
          <w:rtl/>
        </w:rPr>
        <w:t xml:space="preserve">. אולם, לא דייק </w:t>
      </w:r>
      <w:proofErr w:type="spellStart"/>
      <w:r>
        <w:rPr>
          <w:rFonts w:hint="cs"/>
          <w:rtl/>
        </w:rPr>
        <w:t>הרטלי</w:t>
      </w:r>
      <w:proofErr w:type="spellEnd"/>
      <w:r>
        <w:rPr>
          <w:rFonts w:hint="cs"/>
          <w:rtl/>
        </w:rPr>
        <w:t xml:space="preserve"> בטענה שהפועל הרגיל בהקשר זה הוא 'ויקרב'. זהו אומנם הפועל המלווה את קורבן העולה, אך דווקא בתיאור פר החטאת </w:t>
      </w:r>
      <w:r>
        <w:rPr>
          <w:rtl/>
        </w:rPr>
        <w:t>–</w:t>
      </w:r>
      <w:r>
        <w:rPr>
          <w:rFonts w:hint="cs"/>
          <w:rtl/>
        </w:rPr>
        <w:t xml:space="preserve"> הקרוב יותר לענייננו </w:t>
      </w:r>
      <w:r>
        <w:rPr>
          <w:rtl/>
        </w:rPr>
        <w:t>–</w:t>
      </w:r>
      <w:r>
        <w:rPr>
          <w:rFonts w:hint="cs"/>
          <w:rtl/>
        </w:rPr>
        <w:t xml:space="preserve"> משולב פועל אחר: "</w:t>
      </w:r>
      <w:r w:rsidRPr="002A00C6">
        <w:rPr>
          <w:rFonts w:hint="cs"/>
          <w:b/>
          <w:bCs/>
          <w:rtl/>
        </w:rPr>
        <w:t>וְהֵבִיא</w:t>
      </w:r>
      <w:r w:rsidRPr="0005789D">
        <w:rPr>
          <w:rtl/>
        </w:rPr>
        <w:t xml:space="preserve"> </w:t>
      </w:r>
      <w:r w:rsidRPr="0005789D">
        <w:rPr>
          <w:rFonts w:hint="cs"/>
          <w:rtl/>
        </w:rPr>
        <w:t>אֶת</w:t>
      </w:r>
      <w:r w:rsidRPr="0005789D">
        <w:rPr>
          <w:rtl/>
        </w:rPr>
        <w:t xml:space="preserve"> </w:t>
      </w:r>
      <w:r w:rsidRPr="0005789D">
        <w:rPr>
          <w:rFonts w:hint="cs"/>
          <w:rtl/>
        </w:rPr>
        <w:t>הַפָּר</w:t>
      </w:r>
      <w:r w:rsidRPr="0005789D">
        <w:rPr>
          <w:rtl/>
        </w:rPr>
        <w:t xml:space="preserve"> </w:t>
      </w:r>
      <w:r w:rsidRPr="0005789D">
        <w:rPr>
          <w:rFonts w:hint="cs"/>
          <w:rtl/>
        </w:rPr>
        <w:t>אֶל</w:t>
      </w:r>
      <w:r w:rsidRPr="0005789D">
        <w:rPr>
          <w:rtl/>
        </w:rPr>
        <w:t xml:space="preserve"> </w:t>
      </w:r>
      <w:r w:rsidRPr="0005789D">
        <w:rPr>
          <w:rFonts w:hint="cs"/>
          <w:rtl/>
        </w:rPr>
        <w:t>פֶּתַח</w:t>
      </w:r>
      <w:r w:rsidRPr="0005789D">
        <w:rPr>
          <w:rtl/>
        </w:rPr>
        <w:t xml:space="preserve"> </w:t>
      </w:r>
      <w:r w:rsidRPr="0005789D">
        <w:rPr>
          <w:rFonts w:hint="cs"/>
          <w:rtl/>
        </w:rPr>
        <w:t>אֹהֶל</w:t>
      </w:r>
      <w:r w:rsidRPr="0005789D">
        <w:rPr>
          <w:rtl/>
        </w:rPr>
        <w:t xml:space="preserve"> </w:t>
      </w:r>
      <w:r w:rsidRPr="0005789D">
        <w:rPr>
          <w:rFonts w:hint="cs"/>
          <w:rtl/>
        </w:rPr>
        <w:t>מוֹעֵד</w:t>
      </w:r>
      <w:r w:rsidRPr="0005789D">
        <w:rPr>
          <w:rtl/>
        </w:rPr>
        <w:t xml:space="preserve"> </w:t>
      </w:r>
      <w:r w:rsidRPr="0005789D">
        <w:rPr>
          <w:rFonts w:hint="cs"/>
          <w:rtl/>
        </w:rPr>
        <w:t>לִפְנֵי</w:t>
      </w:r>
      <w:r w:rsidRPr="0005789D">
        <w:rPr>
          <w:rtl/>
        </w:rPr>
        <w:t xml:space="preserve"> </w:t>
      </w:r>
      <w:r>
        <w:rPr>
          <w:rFonts w:hint="cs"/>
          <w:rtl/>
        </w:rPr>
        <w:t xml:space="preserve">ה'" </w:t>
      </w:r>
      <w:r w:rsidRPr="00425C5E">
        <w:rPr>
          <w:rFonts w:hint="cs"/>
          <w:sz w:val="20"/>
          <w:szCs w:val="20"/>
          <w:rtl/>
        </w:rPr>
        <w:t>(ד', ד)</w:t>
      </w:r>
      <w:r>
        <w:rPr>
          <w:rFonts w:hint="cs"/>
          <w:rtl/>
        </w:rPr>
        <w:t xml:space="preserve">. בחטאת כל העדה נאמר אומנם "והקריבו" </w:t>
      </w:r>
      <w:r w:rsidRPr="00425C5E">
        <w:rPr>
          <w:rFonts w:hint="cs"/>
          <w:sz w:val="20"/>
          <w:szCs w:val="20"/>
          <w:rtl/>
        </w:rPr>
        <w:t>(ד', יד)</w:t>
      </w:r>
      <w:r>
        <w:rPr>
          <w:rFonts w:hint="cs"/>
          <w:rtl/>
        </w:rPr>
        <w:t xml:space="preserve">, אך בחטאת הנשיא ובחטאת היחיד שוב נאמר: "והביא" </w:t>
      </w:r>
      <w:r w:rsidRPr="00425C5E">
        <w:rPr>
          <w:rFonts w:hint="cs"/>
          <w:sz w:val="20"/>
          <w:szCs w:val="20"/>
          <w:rtl/>
        </w:rPr>
        <w:t xml:space="preserve">(ד', </w:t>
      </w:r>
      <w:proofErr w:type="spellStart"/>
      <w:r w:rsidRPr="00425C5E">
        <w:rPr>
          <w:rFonts w:hint="cs"/>
          <w:sz w:val="20"/>
          <w:szCs w:val="20"/>
          <w:rtl/>
        </w:rPr>
        <w:t>כג</w:t>
      </w:r>
      <w:proofErr w:type="spellEnd"/>
      <w:r w:rsidRPr="00425C5E">
        <w:rPr>
          <w:rFonts w:hint="cs"/>
          <w:sz w:val="20"/>
          <w:szCs w:val="20"/>
          <w:rtl/>
        </w:rPr>
        <w:t xml:space="preserve">, </w:t>
      </w:r>
      <w:proofErr w:type="spellStart"/>
      <w:r w:rsidRPr="00425C5E">
        <w:rPr>
          <w:rFonts w:hint="cs"/>
          <w:sz w:val="20"/>
          <w:szCs w:val="20"/>
          <w:rtl/>
        </w:rPr>
        <w:t>כח</w:t>
      </w:r>
      <w:proofErr w:type="spellEnd"/>
      <w:r w:rsidRPr="00425C5E">
        <w:rPr>
          <w:rFonts w:hint="cs"/>
          <w:sz w:val="20"/>
          <w:szCs w:val="20"/>
          <w:rtl/>
        </w:rPr>
        <w:t>)</w:t>
      </w:r>
      <w:r>
        <w:rPr>
          <w:rFonts w:hint="cs"/>
          <w:rtl/>
        </w:rPr>
        <w:t xml:space="preserve">. נמצאנו למדים שבכל מקרה יש גיוון בפועל המתאר את הבאת הבהמה אל חצר המשכן לשם סמיכת הידיים עליה. </w:t>
      </w:r>
    </w:p>
    <w:p w14:paraId="28953A8C" w14:textId="77777777" w:rsidR="00425C5E" w:rsidRDefault="00425C5E" w:rsidP="00425C5E">
      <w:pPr>
        <w:rPr>
          <w:rtl/>
        </w:rPr>
      </w:pPr>
      <w:r>
        <w:rPr>
          <w:rtl/>
        </w:rPr>
        <w:tab/>
      </w:r>
      <w:r>
        <w:rPr>
          <w:rFonts w:hint="cs"/>
          <w:rtl/>
        </w:rPr>
        <w:t>ומדוע נבחר דווקא הפועל "</w:t>
      </w:r>
      <w:proofErr w:type="spellStart"/>
      <w:r>
        <w:rPr>
          <w:rFonts w:hint="cs"/>
          <w:rtl/>
        </w:rPr>
        <w:t>ויגש</w:t>
      </w:r>
      <w:proofErr w:type="spellEnd"/>
      <w:r>
        <w:rPr>
          <w:rFonts w:hint="cs"/>
          <w:rtl/>
        </w:rPr>
        <w:t xml:space="preserve">" בתיאור משה בימי המילואים? דומה שהתשובה קשורה בכך שמשה הוא הנושא של הפעולה ולא הבעלים של הקורבן. משום מה </w:t>
      </w:r>
      <w:r>
        <w:rPr>
          <w:rtl/>
        </w:rPr>
        <w:t>–</w:t>
      </w:r>
      <w:r>
        <w:rPr>
          <w:rFonts w:hint="cs"/>
          <w:rtl/>
        </w:rPr>
        <w:t xml:space="preserve"> ודבר זה קשור לדיון רחב יותר כמובן </w:t>
      </w:r>
      <w:r>
        <w:rPr>
          <w:rtl/>
        </w:rPr>
        <w:t>–</w:t>
      </w:r>
      <w:r>
        <w:rPr>
          <w:rFonts w:hint="cs"/>
          <w:rtl/>
        </w:rPr>
        <w:t xml:space="preserve"> משה פועל בימים אלו באינטנסיביות מרובה, וגם את פר החטאת הוא זה שמגיש לפני אהרן ובניו כדי שיסמכו את ידיהם על ראשו של הקורבן. הכתוב נמנע מלכנות פעולה זו בפעלים הרגילים שבהם מתוארים הבעלים שמביאים את קורבנותיהם </w:t>
      </w:r>
      <w:r>
        <w:rPr>
          <w:rtl/>
        </w:rPr>
        <w:t>–</w:t>
      </w:r>
      <w:r>
        <w:rPr>
          <w:rFonts w:hint="cs"/>
          <w:rtl/>
        </w:rPr>
        <w:t xml:space="preserve"> 'ויקרב' / 'ויבא' </w:t>
      </w:r>
      <w:r>
        <w:rPr>
          <w:rtl/>
        </w:rPr>
        <w:t>–</w:t>
      </w:r>
      <w:r>
        <w:rPr>
          <w:rFonts w:hint="cs"/>
          <w:rtl/>
        </w:rPr>
        <w:t xml:space="preserve"> מפני שמשה מביא קורבן לאחרים ולא בשם עצמו.</w:t>
      </w:r>
    </w:p>
    <w:p w14:paraId="7FF3E7BE" w14:textId="77777777" w:rsidR="00425C5E" w:rsidRDefault="00425C5E" w:rsidP="00425C5E">
      <w:pPr>
        <w:rPr>
          <w:rtl/>
        </w:rPr>
      </w:pPr>
      <w:r>
        <w:rPr>
          <w:rtl/>
        </w:rPr>
        <w:tab/>
      </w:r>
      <w:r>
        <w:rPr>
          <w:rFonts w:hint="cs"/>
          <w:rtl/>
        </w:rPr>
        <w:t>למעשה, ניתן להפוך את הקערה על פיה, ולראות בשילוב הפועל "</w:t>
      </w:r>
      <w:proofErr w:type="spellStart"/>
      <w:r>
        <w:rPr>
          <w:rFonts w:hint="cs"/>
          <w:rtl/>
        </w:rPr>
        <w:t>ויגש</w:t>
      </w:r>
      <w:proofErr w:type="spellEnd"/>
      <w:r>
        <w:rPr>
          <w:rFonts w:hint="cs"/>
          <w:rtl/>
        </w:rPr>
        <w:t xml:space="preserve">" ראיה להסתמכות פרקים אלו על חטיבת הקורבנות שפתחה את הספר. גם שם, בשעה שאדם קירב למקום מסוים קורבן שהוא לא בעליו </w:t>
      </w:r>
      <w:r>
        <w:rPr>
          <w:rtl/>
        </w:rPr>
        <w:t>–</w:t>
      </w:r>
      <w:r>
        <w:rPr>
          <w:rFonts w:hint="cs"/>
          <w:rtl/>
        </w:rPr>
        <w:t xml:space="preserve"> נעשה שימוש בפועל 'להגיש': "</w:t>
      </w:r>
      <w:r w:rsidRPr="00975E83">
        <w:rPr>
          <w:rFonts w:hint="cs"/>
          <w:rtl/>
        </w:rPr>
        <w:t>וְהֵבֵאתָ</w:t>
      </w:r>
      <w:r w:rsidRPr="00975E83">
        <w:rPr>
          <w:rtl/>
        </w:rPr>
        <w:t xml:space="preserve"> </w:t>
      </w:r>
      <w:r w:rsidRPr="00975E83">
        <w:rPr>
          <w:rFonts w:hint="cs"/>
          <w:rtl/>
        </w:rPr>
        <w:t>אֶת</w:t>
      </w:r>
      <w:r w:rsidRPr="00975E83">
        <w:rPr>
          <w:rtl/>
        </w:rPr>
        <w:t xml:space="preserve"> </w:t>
      </w:r>
      <w:r w:rsidRPr="00975E83">
        <w:rPr>
          <w:rFonts w:hint="cs"/>
          <w:rtl/>
        </w:rPr>
        <w:t>הַמִּנְחָה</w:t>
      </w:r>
      <w:r w:rsidRPr="00975E83">
        <w:rPr>
          <w:rtl/>
        </w:rPr>
        <w:t xml:space="preserve"> </w:t>
      </w:r>
      <w:r w:rsidRPr="00975E83">
        <w:rPr>
          <w:rFonts w:hint="cs"/>
          <w:rtl/>
        </w:rPr>
        <w:t>אֲשֶׁר</w:t>
      </w:r>
      <w:r w:rsidRPr="00975E83">
        <w:rPr>
          <w:rtl/>
        </w:rPr>
        <w:t xml:space="preserve"> </w:t>
      </w:r>
      <w:r w:rsidRPr="00975E83">
        <w:rPr>
          <w:rFonts w:hint="cs"/>
          <w:rtl/>
        </w:rPr>
        <w:t>יֵעָשֶׂה</w:t>
      </w:r>
      <w:r w:rsidRPr="00975E83">
        <w:rPr>
          <w:rtl/>
        </w:rPr>
        <w:t xml:space="preserve"> </w:t>
      </w:r>
      <w:r w:rsidRPr="00975E83">
        <w:rPr>
          <w:rFonts w:hint="cs"/>
          <w:rtl/>
        </w:rPr>
        <w:t>מֵאֵלֶּה</w:t>
      </w:r>
      <w:r w:rsidRPr="00975E83">
        <w:rPr>
          <w:rtl/>
        </w:rPr>
        <w:t xml:space="preserve"> </w:t>
      </w:r>
      <w:r w:rsidRPr="00975E83">
        <w:rPr>
          <w:rFonts w:hint="cs"/>
          <w:rtl/>
        </w:rPr>
        <w:t>לַ</w:t>
      </w:r>
      <w:r>
        <w:rPr>
          <w:rFonts w:hint="cs"/>
          <w:rtl/>
        </w:rPr>
        <w:t xml:space="preserve">ה' </w:t>
      </w:r>
      <w:r w:rsidRPr="00975E83">
        <w:rPr>
          <w:rFonts w:hint="cs"/>
          <w:rtl/>
        </w:rPr>
        <w:t>וְהִקְרִיבָהּ</w:t>
      </w:r>
      <w:r w:rsidRPr="00975E83">
        <w:rPr>
          <w:rtl/>
        </w:rPr>
        <w:t xml:space="preserve"> </w:t>
      </w:r>
      <w:r w:rsidRPr="00975E83">
        <w:rPr>
          <w:rFonts w:hint="cs"/>
          <w:rtl/>
        </w:rPr>
        <w:t>אֶל</w:t>
      </w:r>
      <w:r w:rsidRPr="00975E83">
        <w:rPr>
          <w:rtl/>
        </w:rPr>
        <w:t xml:space="preserve"> </w:t>
      </w:r>
      <w:r w:rsidRPr="00975E83">
        <w:rPr>
          <w:rFonts w:hint="cs"/>
          <w:rtl/>
        </w:rPr>
        <w:t>הַכֹּהֵן</w:t>
      </w:r>
      <w:r w:rsidRPr="00975E83">
        <w:rPr>
          <w:rtl/>
        </w:rPr>
        <w:t xml:space="preserve"> </w:t>
      </w:r>
      <w:r w:rsidRPr="00975E83">
        <w:rPr>
          <w:rFonts w:hint="cs"/>
          <w:rtl/>
        </w:rPr>
        <w:t>וְהִגִּישָׁהּ</w:t>
      </w:r>
      <w:r w:rsidRPr="00975E83">
        <w:rPr>
          <w:rtl/>
        </w:rPr>
        <w:t xml:space="preserve"> </w:t>
      </w:r>
      <w:r w:rsidRPr="00975E83">
        <w:rPr>
          <w:rFonts w:hint="cs"/>
          <w:rtl/>
        </w:rPr>
        <w:t>אֶל</w:t>
      </w:r>
      <w:r w:rsidRPr="00975E83">
        <w:rPr>
          <w:rtl/>
        </w:rPr>
        <w:t xml:space="preserve"> </w:t>
      </w:r>
      <w:r w:rsidRPr="00975E83">
        <w:rPr>
          <w:rFonts w:hint="cs"/>
          <w:rtl/>
        </w:rPr>
        <w:t>הַמִּזְבֵּחַ</w:t>
      </w:r>
      <w:r>
        <w:rPr>
          <w:rFonts w:hint="cs"/>
          <w:rtl/>
        </w:rPr>
        <w:t xml:space="preserve">" </w:t>
      </w:r>
      <w:r w:rsidRPr="00425C5E">
        <w:rPr>
          <w:rFonts w:hint="cs"/>
          <w:sz w:val="20"/>
          <w:szCs w:val="20"/>
          <w:rtl/>
        </w:rPr>
        <w:t>(ויקרא ב', ח)</w:t>
      </w:r>
      <w:r>
        <w:rPr>
          <w:rFonts w:hint="cs"/>
          <w:rtl/>
        </w:rPr>
        <w:t xml:space="preserve">. הבעלים 'מביא' את המנחה ו'מקריב' אותה אל הכוהן, אך הכוהן, שאיננו הבעלים של הקורבן, 'מגיש' אותה אל המזבח. לפיכך, הפועל שמלווה את </w:t>
      </w:r>
      <w:r>
        <w:rPr>
          <w:rFonts w:hint="cs"/>
          <w:rtl/>
        </w:rPr>
        <w:t>הגשת הפר לפני הכוהנים מותאם דווקא לכתיבה בפרשת הקורבנות.</w:t>
      </w:r>
    </w:p>
    <w:p w14:paraId="4B0E70E3" w14:textId="77777777" w:rsidR="00425C5E" w:rsidRDefault="00425C5E" w:rsidP="00425C5E">
      <w:pPr>
        <w:rPr>
          <w:rtl/>
        </w:rPr>
      </w:pPr>
      <w:r>
        <w:rPr>
          <w:rFonts w:hint="cs"/>
          <w:rtl/>
        </w:rPr>
        <w:t>יש פערים נוספים שמתבארים בנקל כשלוקחים בחשבון את ההבדלים שבתהליכי ההקרבה.</w:t>
      </w:r>
      <w:r w:rsidRPr="00425C5E">
        <w:rPr>
          <w:rStyle w:val="a5"/>
          <w:rFonts w:eastAsia="Calibri"/>
          <w:rtl/>
        </w:rPr>
        <w:footnoteReference w:id="5"/>
      </w:r>
      <w:r>
        <w:rPr>
          <w:rFonts w:hint="cs"/>
          <w:rtl/>
        </w:rPr>
        <w:t xml:space="preserve"> עם זאת, יש גם פערים דרמטיים שיהיה קשה לפטור אותם בהבדל טכני כזה או אחר. במיוחד כוונתי לקורותיו של קורבן חטאת אהרן ובניו. בדבר זה צודק </w:t>
      </w:r>
      <w:proofErr w:type="spellStart"/>
      <w:r>
        <w:rPr>
          <w:rFonts w:hint="cs"/>
          <w:rtl/>
        </w:rPr>
        <w:t>הרטלי</w:t>
      </w:r>
      <w:proofErr w:type="spellEnd"/>
      <w:r>
        <w:rPr>
          <w:rFonts w:hint="cs"/>
          <w:rtl/>
        </w:rPr>
        <w:t xml:space="preserve"> שיש פער מהותי בין דיני החטאת הידועים לנו מפרשות ויקרא וצו ובין אלו המצויים בימי המילואים </w:t>
      </w:r>
      <w:r>
        <w:rPr>
          <w:rtl/>
        </w:rPr>
        <w:t>–</w:t>
      </w:r>
      <w:r>
        <w:rPr>
          <w:rFonts w:hint="cs"/>
          <w:rtl/>
        </w:rPr>
        <w:t xml:space="preserve"> דמה של החטאת אינו נכנס פנימה (אף שעל פניו מדובר בחטאת כוהן משיח), ולמרות שדמה ניתן על המזבח החיצון היא נשרפת כולה מחוץ למחנה ובשרה לא נאכל. על דבר זה כבר העיר רש"י: "</w:t>
      </w:r>
      <w:r w:rsidRPr="00597D16">
        <w:rPr>
          <w:rFonts w:hint="cs"/>
          <w:rtl/>
        </w:rPr>
        <w:t>לא</w:t>
      </w:r>
      <w:r w:rsidRPr="00597D16">
        <w:rPr>
          <w:rtl/>
        </w:rPr>
        <w:t xml:space="preserve"> </w:t>
      </w:r>
      <w:r w:rsidRPr="00597D16">
        <w:rPr>
          <w:rFonts w:hint="cs"/>
          <w:rtl/>
        </w:rPr>
        <w:t>מצינו</w:t>
      </w:r>
      <w:r w:rsidRPr="00597D16">
        <w:rPr>
          <w:rtl/>
        </w:rPr>
        <w:t xml:space="preserve"> </w:t>
      </w:r>
      <w:r w:rsidRPr="00597D16">
        <w:rPr>
          <w:rFonts w:hint="cs"/>
          <w:rtl/>
        </w:rPr>
        <w:t>חטאת</w:t>
      </w:r>
      <w:r w:rsidRPr="00597D16">
        <w:rPr>
          <w:rtl/>
        </w:rPr>
        <w:t xml:space="preserve"> </w:t>
      </w:r>
      <w:r w:rsidRPr="00597D16">
        <w:rPr>
          <w:rFonts w:hint="cs"/>
          <w:rtl/>
        </w:rPr>
        <w:t>חיצונה</w:t>
      </w:r>
      <w:r w:rsidRPr="00597D16">
        <w:rPr>
          <w:rtl/>
        </w:rPr>
        <w:t xml:space="preserve"> </w:t>
      </w:r>
      <w:r w:rsidRPr="00597D16">
        <w:rPr>
          <w:rFonts w:hint="cs"/>
          <w:rtl/>
        </w:rPr>
        <w:t>נשרפת</w:t>
      </w:r>
      <w:r w:rsidRPr="00597D16">
        <w:rPr>
          <w:rtl/>
        </w:rPr>
        <w:t xml:space="preserve"> </w:t>
      </w:r>
      <w:r w:rsidRPr="00597D16">
        <w:rPr>
          <w:rFonts w:hint="cs"/>
          <w:rtl/>
        </w:rPr>
        <w:t>אלא</w:t>
      </w:r>
      <w:r w:rsidRPr="00597D16">
        <w:rPr>
          <w:rtl/>
        </w:rPr>
        <w:t xml:space="preserve"> </w:t>
      </w:r>
      <w:r w:rsidRPr="00597D16">
        <w:rPr>
          <w:rFonts w:hint="cs"/>
          <w:rtl/>
        </w:rPr>
        <w:t>זו</w:t>
      </w:r>
      <w:r w:rsidRPr="00597D16">
        <w:rPr>
          <w:rtl/>
        </w:rPr>
        <w:t xml:space="preserve"> </w:t>
      </w:r>
      <w:r>
        <w:rPr>
          <w:rFonts w:hint="cs"/>
          <w:rtl/>
        </w:rPr>
        <w:t xml:space="preserve">[=היום השמיני למילואים] </w:t>
      </w:r>
      <w:r w:rsidRPr="00597D16">
        <w:rPr>
          <w:rFonts w:hint="cs"/>
          <w:rtl/>
        </w:rPr>
        <w:t>ושל</w:t>
      </w:r>
      <w:r w:rsidRPr="00597D16">
        <w:rPr>
          <w:rtl/>
        </w:rPr>
        <w:t xml:space="preserve"> </w:t>
      </w:r>
      <w:proofErr w:type="spellStart"/>
      <w:r w:rsidRPr="00597D16">
        <w:rPr>
          <w:rFonts w:hint="cs"/>
          <w:rtl/>
        </w:rPr>
        <w:t>מלואים</w:t>
      </w:r>
      <w:proofErr w:type="spellEnd"/>
      <w:r>
        <w:rPr>
          <w:rFonts w:hint="cs"/>
          <w:rtl/>
        </w:rPr>
        <w:t xml:space="preserve"> [=שבעת ימי המילואים]</w:t>
      </w:r>
      <w:r w:rsidRPr="00597D16">
        <w:rPr>
          <w:rtl/>
        </w:rPr>
        <w:t xml:space="preserve"> </w:t>
      </w:r>
      <w:r w:rsidRPr="00597D16">
        <w:rPr>
          <w:rFonts w:hint="cs"/>
          <w:rtl/>
        </w:rPr>
        <w:t>וכולן</w:t>
      </w:r>
      <w:r w:rsidRPr="00597D16">
        <w:rPr>
          <w:rtl/>
        </w:rPr>
        <w:t xml:space="preserve"> </w:t>
      </w:r>
      <w:r w:rsidRPr="00597D16">
        <w:rPr>
          <w:rFonts w:hint="cs"/>
          <w:rtl/>
        </w:rPr>
        <w:t>ע</w:t>
      </w:r>
      <w:r>
        <w:rPr>
          <w:rFonts w:hint="cs"/>
          <w:rtl/>
        </w:rPr>
        <w:t>ל פי</w:t>
      </w:r>
      <w:r w:rsidRPr="00597D16">
        <w:rPr>
          <w:rtl/>
        </w:rPr>
        <w:t xml:space="preserve"> </w:t>
      </w:r>
      <w:r w:rsidRPr="00597D16">
        <w:rPr>
          <w:rFonts w:hint="cs"/>
          <w:rtl/>
        </w:rPr>
        <w:t>ה</w:t>
      </w:r>
      <w:r>
        <w:rPr>
          <w:rFonts w:hint="cs"/>
          <w:rtl/>
        </w:rPr>
        <w:t xml:space="preserve">דיבור" </w:t>
      </w:r>
      <w:r w:rsidRPr="00425C5E">
        <w:rPr>
          <w:rFonts w:hint="cs"/>
          <w:sz w:val="20"/>
          <w:szCs w:val="20"/>
          <w:rtl/>
        </w:rPr>
        <w:t xml:space="preserve">(פירושו </w:t>
      </w:r>
      <w:proofErr w:type="spellStart"/>
      <w:r w:rsidRPr="00425C5E">
        <w:rPr>
          <w:rFonts w:hint="cs"/>
          <w:sz w:val="20"/>
          <w:szCs w:val="20"/>
          <w:rtl/>
        </w:rPr>
        <w:t>לויקרא</w:t>
      </w:r>
      <w:proofErr w:type="spellEnd"/>
      <w:r w:rsidRPr="00425C5E">
        <w:rPr>
          <w:rFonts w:hint="cs"/>
          <w:sz w:val="20"/>
          <w:szCs w:val="20"/>
          <w:rtl/>
        </w:rPr>
        <w:t xml:space="preserve"> ט', יא)</w:t>
      </w:r>
      <w:r>
        <w:rPr>
          <w:rFonts w:hint="cs"/>
          <w:rtl/>
        </w:rPr>
        <w:t>.</w:t>
      </w:r>
    </w:p>
    <w:p w14:paraId="040DA0E4" w14:textId="77777777" w:rsidR="00425C5E" w:rsidRDefault="00425C5E" w:rsidP="00425C5E">
      <w:pPr>
        <w:rPr>
          <w:rtl/>
        </w:rPr>
      </w:pPr>
      <w:r>
        <w:rPr>
          <w:rFonts w:hint="cs"/>
          <w:rtl/>
        </w:rPr>
        <w:t xml:space="preserve">דבר זה אכן דורש ביאור, ונתייחס לכך בהמשך, אך בכל מקרה קשה להסתפק בטענה של </w:t>
      </w:r>
      <w:proofErr w:type="spellStart"/>
      <w:r>
        <w:rPr>
          <w:rFonts w:hint="cs"/>
          <w:rtl/>
        </w:rPr>
        <w:t>הרטלי</w:t>
      </w:r>
      <w:proofErr w:type="spellEnd"/>
      <w:r>
        <w:rPr>
          <w:rFonts w:hint="cs"/>
          <w:rtl/>
        </w:rPr>
        <w:t xml:space="preserve"> שלפנינו חטיבה אחרת. סוף כל סוף, דין החטאת משתנה כאן והדבר דורש פשר </w:t>
      </w:r>
      <w:r>
        <w:rPr>
          <w:rtl/>
        </w:rPr>
        <w:t>–</w:t>
      </w:r>
      <w:r>
        <w:rPr>
          <w:rFonts w:hint="cs"/>
          <w:rtl/>
        </w:rPr>
        <w:t xml:space="preserve"> בין אם לפנינו המשך רציף מחטיבת הקורבנות ובין אם לפנינו יחידה חדשה.</w:t>
      </w:r>
    </w:p>
    <w:p w14:paraId="19E1F7F0" w14:textId="77777777" w:rsidR="00425C5E" w:rsidRDefault="00425C5E" w:rsidP="00425C5E">
      <w:pPr>
        <w:rPr>
          <w:rtl/>
        </w:rPr>
      </w:pPr>
      <w:r>
        <w:rPr>
          <w:rFonts w:hint="cs"/>
          <w:rtl/>
        </w:rPr>
        <w:t xml:space="preserve">לאור כך, נקדיש את השיעורים הבאים לימי המילואים, אך נעשה זאת בסקירה רחבה, מבלי לרדת לעומקם של כל פרטי הדינים. לאורך הדיונים נתייחס לפערים החשובים </w:t>
      </w:r>
      <w:proofErr w:type="spellStart"/>
      <w:r>
        <w:rPr>
          <w:rFonts w:hint="cs"/>
          <w:rtl/>
        </w:rPr>
        <w:t>שהרטלי</w:t>
      </w:r>
      <w:proofErr w:type="spellEnd"/>
      <w:r>
        <w:rPr>
          <w:rFonts w:hint="cs"/>
          <w:rtl/>
        </w:rPr>
        <w:t xml:space="preserve"> עמד עליהם, ונבקש לתת להם פשר.</w:t>
      </w:r>
    </w:p>
    <w:p w14:paraId="0CF17301" w14:textId="77777777" w:rsidR="00425C5E" w:rsidRDefault="00425C5E" w:rsidP="00425C5E">
      <w:pPr>
        <w:rPr>
          <w:rtl/>
        </w:rPr>
      </w:pPr>
      <w:r w:rsidRPr="00A917EF">
        <w:rPr>
          <w:rFonts w:hint="cs"/>
          <w:rtl/>
        </w:rPr>
        <w:t xml:space="preserve">ההכרעה לדון גם בפרקים אלו, איננה רק הכרעה טכנית של שייכות או </w:t>
      </w:r>
      <w:r>
        <w:rPr>
          <w:rFonts w:hint="cs"/>
          <w:rtl/>
        </w:rPr>
        <w:t xml:space="preserve">של </w:t>
      </w:r>
      <w:r w:rsidRPr="00A917EF">
        <w:rPr>
          <w:rFonts w:hint="cs"/>
          <w:rtl/>
        </w:rPr>
        <w:t>קשר בין ימי המילואים לרשימה השנייה, אלא הכרעה מהותית הנוגעת באופיים של ימים אלו ובמטר</w:t>
      </w:r>
      <w:r>
        <w:rPr>
          <w:rFonts w:hint="cs"/>
          <w:rtl/>
        </w:rPr>
        <w:t>תם</w:t>
      </w:r>
      <w:r w:rsidRPr="00A917EF">
        <w:rPr>
          <w:rFonts w:hint="cs"/>
          <w:rtl/>
        </w:rPr>
        <w:t xml:space="preserve">. דבר זה יובהר לאורך ניתוח </w:t>
      </w:r>
      <w:r>
        <w:rPr>
          <w:rFonts w:hint="cs"/>
          <w:rtl/>
        </w:rPr>
        <w:t xml:space="preserve">שני </w:t>
      </w:r>
      <w:r w:rsidRPr="00A917EF">
        <w:rPr>
          <w:rFonts w:hint="cs"/>
          <w:rtl/>
        </w:rPr>
        <w:t>הפרק</w:t>
      </w:r>
      <w:r>
        <w:rPr>
          <w:rFonts w:hint="cs"/>
          <w:rtl/>
        </w:rPr>
        <w:t>ים, אך כבר כעת יש לתת את הדעת על עצם חתימת חטיבת הקורבנות בסיפור חנוכת המשכן ומילוי ידי הכוהנים. אכן מדובר בסגנון כתיבה אחר, ובשני פרקים אלו אנו שבים אל הסגנון הסיפורי שליווה אותנו בספר שמות. אולם שילוב חוקי הקורבנות בתוך מסגרת סיפורית היא עמדה מכוננת בתפיסה המקראית. הקורבנות אינם רק 'חוק מקראי' אלא חלק מסיפור השראת שכינה בתוך מחנה ישראל.</w:t>
      </w:r>
      <w:r w:rsidRPr="00425C5E">
        <w:rPr>
          <w:rStyle w:val="a5"/>
          <w:rFonts w:eastAsia="Calibri"/>
          <w:rtl/>
        </w:rPr>
        <w:footnoteReference w:id="6"/>
      </w:r>
      <w:r>
        <w:rPr>
          <w:rFonts w:hint="cs"/>
          <w:rtl/>
        </w:rPr>
        <w:t xml:space="preserve"> החוק המקראי משולב תמיד בתוך מסגרת סיפורית שנותנת לו הקשר </w:t>
      </w:r>
      <w:r>
        <w:rPr>
          <w:rFonts w:hint="cs"/>
          <w:rtl/>
        </w:rPr>
        <w:lastRenderedPageBreak/>
        <w:t xml:space="preserve">עלילתי </w:t>
      </w:r>
      <w:r>
        <w:rPr>
          <w:rtl/>
        </w:rPr>
        <w:t>–</w:t>
      </w:r>
      <w:r>
        <w:rPr>
          <w:rFonts w:hint="cs"/>
          <w:rtl/>
        </w:rPr>
        <w:t xml:space="preserve"> היכן היו ישראל כשקיבלו את החוק ובאיזה הקשר הוא ניתן. יפים בהקשר זה דבריו של </w:t>
      </w:r>
      <w:proofErr w:type="spellStart"/>
      <w:r>
        <w:rPr>
          <w:rFonts w:hint="cs"/>
          <w:rtl/>
        </w:rPr>
        <w:t>ונהאם</w:t>
      </w:r>
      <w:proofErr w:type="spellEnd"/>
      <w:r>
        <w:rPr>
          <w:rFonts w:hint="cs"/>
          <w:rtl/>
        </w:rPr>
        <w:t>:</w:t>
      </w:r>
    </w:p>
    <w:p w14:paraId="25D5A569" w14:textId="77777777" w:rsidR="00425C5E" w:rsidRDefault="00425C5E" w:rsidP="00425C5E">
      <w:pPr>
        <w:ind w:left="720"/>
        <w:rPr>
          <w:rtl/>
        </w:rPr>
      </w:pPr>
      <w:r>
        <w:rPr>
          <w:rFonts w:hint="cs"/>
          <w:rtl/>
        </w:rPr>
        <w:t>"הסיפור לא רק מבאר היכן ומתי כל חוק ניתן. הוא עושה זאת, אבל האירועים חשובים באותה מידה כמו החוק. פעולת ההצלה האלוהית היא בעלת משמעות כמו מילותיו. ההתגלות המקראית היא יותר מתקשורת הנוגעת באמיתות על אלוהים ורצונו. המקרא משקף את התפיסה שאלוהים מביים את מהלך ההיסטוריה על מנת ליצור עם קדוש שידע את רצון ה' ומימש אות</w:t>
      </w:r>
      <w:bookmarkStart w:id="1" w:name="_GoBack"/>
      <w:bookmarkEnd w:id="1"/>
      <w:r>
        <w:rPr>
          <w:rFonts w:hint="cs"/>
          <w:rtl/>
        </w:rPr>
        <w:t>ו".</w:t>
      </w:r>
      <w:r w:rsidRPr="00425C5E">
        <w:rPr>
          <w:rStyle w:val="a5"/>
          <w:rFonts w:eastAsia="Calibri"/>
          <w:rtl/>
        </w:rPr>
        <w:footnoteReference w:id="7"/>
      </w:r>
    </w:p>
    <w:p w14:paraId="103781E4" w14:textId="77777777" w:rsidR="00425C5E" w:rsidRDefault="00425C5E" w:rsidP="00425C5E">
      <w:pPr>
        <w:rPr>
          <w:rtl/>
        </w:rPr>
      </w:pPr>
      <w:r>
        <w:rPr>
          <w:rFonts w:hint="cs"/>
          <w:rtl/>
        </w:rPr>
        <w:t xml:space="preserve">כפי שעוד יובהר, שבעת ימי המילואים ובמיוחד היום השמיני מספרים את סיפור התקדשות המשכן והתגלות כבוד ה' במזבח. מאורע זה הוא הנותן תוקף ומשמעות לכל חטיבת הקורבנות מצד אחד, והקורבנות הממשיכים מוקרבים מדי יום על המזבח ממשיכים ומקיימים את 'היום השמיני' </w:t>
      </w:r>
      <w:r>
        <w:rPr>
          <w:rtl/>
        </w:rPr>
        <w:t>–</w:t>
      </w:r>
      <w:r>
        <w:rPr>
          <w:rFonts w:hint="cs"/>
          <w:rtl/>
        </w:rPr>
        <w:t xml:space="preserve"> כלומר את התגלות כבוד ה' כאש אוכלת, מצד שני.</w:t>
      </w:r>
    </w:p>
    <w:p w14:paraId="70BE27A5" w14:textId="37165659" w:rsidR="00C44C05" w:rsidRPr="003D3EC0" w:rsidRDefault="00C44C05" w:rsidP="00C44C05">
      <w:pPr>
        <w:rPr>
          <w:rtl/>
        </w:rPr>
      </w:pPr>
    </w:p>
    <w:p w14:paraId="71046CD0" w14:textId="77777777" w:rsidR="00C361D9" w:rsidRPr="00C44C05"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A447" w14:textId="77777777" w:rsidR="00351E58" w:rsidRDefault="00351E58" w:rsidP="00984E52">
      <w:r>
        <w:separator/>
      </w:r>
    </w:p>
    <w:p w14:paraId="1D9B002D" w14:textId="77777777" w:rsidR="00351E58" w:rsidRDefault="00351E58" w:rsidP="00984E52"/>
  </w:endnote>
  <w:endnote w:type="continuationSeparator" w:id="0">
    <w:p w14:paraId="04619E8C" w14:textId="77777777" w:rsidR="00351E58" w:rsidRDefault="00351E58" w:rsidP="00984E52">
      <w:r>
        <w:continuationSeparator/>
      </w:r>
    </w:p>
    <w:p w14:paraId="300C2485" w14:textId="77777777" w:rsidR="00351E58" w:rsidRDefault="00351E58"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8CEF" w14:textId="77777777" w:rsidR="00351E58" w:rsidRDefault="00351E58" w:rsidP="00984E52">
      <w:r>
        <w:separator/>
      </w:r>
    </w:p>
    <w:p w14:paraId="06827F8D" w14:textId="77777777" w:rsidR="00351E58" w:rsidRDefault="00351E58" w:rsidP="00984E52"/>
  </w:footnote>
  <w:footnote w:type="continuationSeparator" w:id="0">
    <w:p w14:paraId="2E707EBD" w14:textId="77777777" w:rsidR="00351E58" w:rsidRDefault="00351E58" w:rsidP="00984E52">
      <w:r>
        <w:continuationSeparator/>
      </w:r>
    </w:p>
    <w:p w14:paraId="2CBAE9A9" w14:textId="77777777" w:rsidR="00351E58" w:rsidRDefault="00351E58" w:rsidP="00984E52"/>
  </w:footnote>
  <w:footnote w:id="1">
    <w:p w14:paraId="2B956B25" w14:textId="6250D7B1" w:rsidR="00425C5E" w:rsidRDefault="00425C5E">
      <w:pPr>
        <w:pStyle w:val="a3"/>
        <w:rPr>
          <w:rFonts w:hint="cs"/>
        </w:rPr>
      </w:pPr>
      <w:r>
        <w:rPr>
          <w:rStyle w:val="a5"/>
          <w:rFonts w:eastAsia="Narkisim"/>
        </w:rPr>
        <w:footnoteRef/>
      </w:r>
      <w:r>
        <w:rPr>
          <w:rtl/>
        </w:rPr>
        <w:t xml:space="preserve"> </w:t>
      </w:r>
      <w:r>
        <w:rPr>
          <w:rtl/>
        </w:rPr>
        <w:tab/>
      </w:r>
      <w:r w:rsidRPr="00425C5E">
        <w:rPr>
          <w:rFonts w:hint="cs"/>
          <w:rtl/>
        </w:rPr>
        <w:t>בימי המילואים נאמר: "</w:t>
      </w:r>
      <w:proofErr w:type="spellStart"/>
      <w:r w:rsidRPr="00425C5E">
        <w:rPr>
          <w:rFonts w:hint="cs"/>
          <w:rtl/>
        </w:rPr>
        <w:t>וַיַּגֵּש</w:t>
      </w:r>
      <w:proofErr w:type="spellEnd"/>
      <w:r w:rsidRPr="00425C5E">
        <w:rPr>
          <w:rFonts w:hint="cs"/>
          <w:rtl/>
        </w:rPr>
        <w:t>ׁ</w:t>
      </w:r>
      <w:r w:rsidRPr="00425C5E">
        <w:rPr>
          <w:rtl/>
        </w:rPr>
        <w:t xml:space="preserve"> </w:t>
      </w:r>
      <w:r w:rsidRPr="00425C5E">
        <w:rPr>
          <w:rFonts w:hint="cs"/>
          <w:rtl/>
        </w:rPr>
        <w:t>אֵת</w:t>
      </w:r>
      <w:r w:rsidRPr="00425C5E">
        <w:rPr>
          <w:rtl/>
        </w:rPr>
        <w:t xml:space="preserve"> </w:t>
      </w:r>
      <w:r w:rsidRPr="00425C5E">
        <w:rPr>
          <w:rFonts w:hint="cs"/>
          <w:rtl/>
        </w:rPr>
        <w:t>פַּר</w:t>
      </w:r>
      <w:r w:rsidRPr="00425C5E">
        <w:rPr>
          <w:rtl/>
        </w:rPr>
        <w:t xml:space="preserve"> </w:t>
      </w:r>
      <w:r w:rsidRPr="00425C5E">
        <w:rPr>
          <w:rFonts w:hint="cs"/>
          <w:rtl/>
        </w:rPr>
        <w:t xml:space="preserve">הַחַטָּאת" </w:t>
      </w:r>
      <w:r w:rsidRPr="00425C5E">
        <w:rPr>
          <w:rFonts w:hint="cs"/>
          <w:sz w:val="16"/>
          <w:szCs w:val="16"/>
          <w:rtl/>
        </w:rPr>
        <w:t>(ח', יד)</w:t>
      </w:r>
      <w:r w:rsidRPr="00425C5E">
        <w:rPr>
          <w:rFonts w:hint="cs"/>
          <w:rtl/>
        </w:rPr>
        <w:t xml:space="preserve"> ואילו בתיאור הקורבנות שבתחילת הספר נאמר: "אִם</w:t>
      </w:r>
      <w:r w:rsidRPr="00425C5E">
        <w:rPr>
          <w:rtl/>
        </w:rPr>
        <w:t xml:space="preserve"> </w:t>
      </w:r>
      <w:r w:rsidRPr="00425C5E">
        <w:rPr>
          <w:rFonts w:hint="cs"/>
          <w:rtl/>
        </w:rPr>
        <w:t>עֹלָה</w:t>
      </w:r>
      <w:r w:rsidRPr="00425C5E">
        <w:rPr>
          <w:rtl/>
        </w:rPr>
        <w:t xml:space="preserve"> </w:t>
      </w:r>
      <w:r w:rsidRPr="00425C5E">
        <w:rPr>
          <w:rFonts w:hint="cs"/>
          <w:rtl/>
        </w:rPr>
        <w:t>קָרְבָּנוֹ</w:t>
      </w:r>
      <w:r w:rsidRPr="00425C5E">
        <w:rPr>
          <w:rtl/>
        </w:rPr>
        <w:t xml:space="preserve"> </w:t>
      </w:r>
      <w:r w:rsidRPr="00425C5E">
        <w:rPr>
          <w:rFonts w:hint="cs"/>
          <w:rtl/>
        </w:rPr>
        <w:t>מִן</w:t>
      </w:r>
      <w:r w:rsidRPr="00425C5E">
        <w:rPr>
          <w:rtl/>
        </w:rPr>
        <w:t xml:space="preserve"> </w:t>
      </w:r>
      <w:r w:rsidRPr="00425C5E">
        <w:rPr>
          <w:rFonts w:hint="cs"/>
          <w:rtl/>
        </w:rPr>
        <w:t>הַבָּקָר</w:t>
      </w:r>
      <w:r w:rsidRPr="00425C5E">
        <w:rPr>
          <w:rtl/>
        </w:rPr>
        <w:t xml:space="preserve"> </w:t>
      </w:r>
      <w:r w:rsidRPr="00425C5E">
        <w:rPr>
          <w:rFonts w:hint="cs"/>
          <w:rtl/>
        </w:rPr>
        <w:t>זָכָר</w:t>
      </w:r>
      <w:r w:rsidRPr="00425C5E">
        <w:rPr>
          <w:rtl/>
        </w:rPr>
        <w:t xml:space="preserve"> </w:t>
      </w:r>
      <w:r w:rsidRPr="00425C5E">
        <w:rPr>
          <w:rFonts w:hint="cs"/>
          <w:rtl/>
        </w:rPr>
        <w:t>תָּמִים</w:t>
      </w:r>
      <w:r w:rsidRPr="00425C5E">
        <w:rPr>
          <w:rtl/>
        </w:rPr>
        <w:t xml:space="preserve"> </w:t>
      </w:r>
      <w:r w:rsidRPr="00425C5E">
        <w:rPr>
          <w:rFonts w:hint="cs"/>
          <w:rtl/>
        </w:rPr>
        <w:t>יַקְרִיבֶנּוּ</w:t>
      </w:r>
      <w:r w:rsidRPr="00425C5E">
        <w:rPr>
          <w:rtl/>
        </w:rPr>
        <w:t xml:space="preserve"> </w:t>
      </w:r>
      <w:r w:rsidRPr="00425C5E">
        <w:rPr>
          <w:rFonts w:hint="cs"/>
          <w:rtl/>
        </w:rPr>
        <w:t>אֶל</w:t>
      </w:r>
      <w:r w:rsidRPr="00425C5E">
        <w:rPr>
          <w:rtl/>
        </w:rPr>
        <w:t xml:space="preserve"> </w:t>
      </w:r>
      <w:r w:rsidRPr="00425C5E">
        <w:rPr>
          <w:rFonts w:hint="cs"/>
          <w:rtl/>
        </w:rPr>
        <w:t>פֶּתַח</w:t>
      </w:r>
      <w:r w:rsidRPr="00425C5E">
        <w:rPr>
          <w:rtl/>
        </w:rPr>
        <w:t xml:space="preserve"> </w:t>
      </w:r>
      <w:r w:rsidRPr="00425C5E">
        <w:rPr>
          <w:rFonts w:hint="cs"/>
          <w:rtl/>
        </w:rPr>
        <w:t>אֹהֶל</w:t>
      </w:r>
      <w:r w:rsidRPr="00425C5E">
        <w:rPr>
          <w:rtl/>
        </w:rPr>
        <w:t xml:space="preserve"> </w:t>
      </w:r>
      <w:r w:rsidRPr="00425C5E">
        <w:rPr>
          <w:rFonts w:hint="cs"/>
          <w:rtl/>
        </w:rPr>
        <w:t>מוֹעֵד</w:t>
      </w:r>
      <w:r w:rsidRPr="00425C5E">
        <w:rPr>
          <w:rtl/>
        </w:rPr>
        <w:t xml:space="preserve"> </w:t>
      </w:r>
      <w:r w:rsidRPr="00425C5E">
        <w:rPr>
          <w:rFonts w:hint="cs"/>
          <w:rtl/>
        </w:rPr>
        <w:t>יַקְרִיב</w:t>
      </w:r>
      <w:r w:rsidRPr="00425C5E">
        <w:rPr>
          <w:rtl/>
        </w:rPr>
        <w:t xml:space="preserve"> </w:t>
      </w:r>
      <w:r w:rsidRPr="00425C5E">
        <w:rPr>
          <w:rFonts w:hint="cs"/>
          <w:rtl/>
        </w:rPr>
        <w:t>אֹתוֹ</w:t>
      </w:r>
      <w:r w:rsidRPr="00425C5E">
        <w:rPr>
          <w:rtl/>
        </w:rPr>
        <w:t xml:space="preserve"> </w:t>
      </w:r>
      <w:r w:rsidRPr="00425C5E">
        <w:rPr>
          <w:rFonts w:hint="cs"/>
          <w:rtl/>
        </w:rPr>
        <w:t>לִרְצֹנוֹ</w:t>
      </w:r>
      <w:r w:rsidRPr="00425C5E">
        <w:rPr>
          <w:rtl/>
        </w:rPr>
        <w:t xml:space="preserve"> </w:t>
      </w:r>
      <w:r w:rsidRPr="00425C5E">
        <w:rPr>
          <w:rFonts w:hint="cs"/>
          <w:rtl/>
        </w:rPr>
        <w:t>לִפְנֵי</w:t>
      </w:r>
      <w:r w:rsidRPr="00425C5E">
        <w:rPr>
          <w:rtl/>
        </w:rPr>
        <w:t xml:space="preserve"> </w:t>
      </w:r>
      <w:r w:rsidRPr="00425C5E">
        <w:rPr>
          <w:rFonts w:hint="cs"/>
          <w:rtl/>
        </w:rPr>
        <w:t xml:space="preserve">ה'" </w:t>
      </w:r>
      <w:r w:rsidRPr="00425C5E">
        <w:rPr>
          <w:rFonts w:hint="cs"/>
          <w:sz w:val="16"/>
          <w:szCs w:val="16"/>
          <w:rtl/>
        </w:rPr>
        <w:t>(א', ג)</w:t>
      </w:r>
      <w:r w:rsidRPr="00425C5E">
        <w:rPr>
          <w:rFonts w:hint="cs"/>
          <w:rtl/>
        </w:rPr>
        <w:t>.</w:t>
      </w:r>
    </w:p>
  </w:footnote>
  <w:footnote w:id="2">
    <w:p w14:paraId="6765742B" w14:textId="650E73AE" w:rsidR="00425C5E" w:rsidRPr="00425C5E" w:rsidRDefault="00425C5E" w:rsidP="00425C5E">
      <w:pPr>
        <w:pStyle w:val="a3"/>
        <w:rPr>
          <w:rtl/>
        </w:rPr>
      </w:pPr>
      <w:r w:rsidRPr="00425C5E">
        <w:rPr>
          <w:rStyle w:val="a5"/>
          <w:rFonts w:eastAsia="Narkisim"/>
        </w:rPr>
        <w:footnoteRef/>
      </w:r>
      <w:r w:rsidRPr="00425C5E">
        <w:rPr>
          <w:rtl/>
        </w:rPr>
        <w:t xml:space="preserve"> </w:t>
      </w:r>
      <w:r>
        <w:rPr>
          <w:rtl/>
        </w:rPr>
        <w:tab/>
      </w:r>
      <w:r w:rsidRPr="00425C5E">
        <w:rPr>
          <w:rFonts w:hint="cs"/>
          <w:rtl/>
        </w:rPr>
        <w:t xml:space="preserve">כוונתו לתיאור הקטרת הראש, הנתחים </w:t>
      </w:r>
      <w:proofErr w:type="spellStart"/>
      <w:r w:rsidRPr="00425C5E">
        <w:rPr>
          <w:rFonts w:hint="cs"/>
          <w:rtl/>
        </w:rPr>
        <w:t>והפדר</w:t>
      </w:r>
      <w:proofErr w:type="spellEnd"/>
      <w:r w:rsidRPr="00425C5E">
        <w:rPr>
          <w:rFonts w:hint="cs"/>
          <w:rtl/>
        </w:rPr>
        <w:t xml:space="preserve"> שמופיע תחילה </w:t>
      </w:r>
      <w:r w:rsidRPr="00425C5E">
        <w:rPr>
          <w:rFonts w:hint="cs"/>
          <w:sz w:val="16"/>
          <w:szCs w:val="16"/>
          <w:rtl/>
        </w:rPr>
        <w:t>(ח', כ)</w:t>
      </w:r>
      <w:r w:rsidRPr="00425C5E">
        <w:rPr>
          <w:rFonts w:hint="cs"/>
          <w:rtl/>
        </w:rPr>
        <w:t xml:space="preserve">, ורק לאחר רחיצת הקרב והכרעיים שב הכתוב לתיאור הקטרתם </w:t>
      </w:r>
      <w:r w:rsidRPr="00425C5E">
        <w:rPr>
          <w:rFonts w:hint="cs"/>
          <w:sz w:val="16"/>
          <w:szCs w:val="16"/>
          <w:rtl/>
        </w:rPr>
        <w:t xml:space="preserve">(ח', </w:t>
      </w:r>
      <w:proofErr w:type="spellStart"/>
      <w:r w:rsidRPr="00425C5E">
        <w:rPr>
          <w:rFonts w:hint="cs"/>
          <w:sz w:val="16"/>
          <w:szCs w:val="16"/>
          <w:rtl/>
        </w:rPr>
        <w:t>כא</w:t>
      </w:r>
      <w:proofErr w:type="spellEnd"/>
      <w:r w:rsidRPr="00425C5E">
        <w:rPr>
          <w:rFonts w:hint="cs"/>
          <w:sz w:val="16"/>
          <w:szCs w:val="16"/>
          <w:rtl/>
        </w:rPr>
        <w:t>)</w:t>
      </w:r>
      <w:r w:rsidRPr="00425C5E">
        <w:rPr>
          <w:rFonts w:hint="cs"/>
          <w:rtl/>
        </w:rPr>
        <w:t>.</w:t>
      </w:r>
    </w:p>
  </w:footnote>
  <w:footnote w:id="3">
    <w:p w14:paraId="3A2670BC" w14:textId="7678C129" w:rsidR="00425C5E" w:rsidRPr="00425C5E" w:rsidRDefault="00425C5E" w:rsidP="00425C5E">
      <w:pPr>
        <w:pStyle w:val="a3"/>
      </w:pPr>
      <w:r w:rsidRPr="00425C5E">
        <w:rPr>
          <w:rStyle w:val="a5"/>
          <w:rFonts w:eastAsia="Narkisim"/>
        </w:rPr>
        <w:footnoteRef/>
      </w:r>
      <w:r w:rsidRPr="00425C5E">
        <w:rPr>
          <w:rtl/>
        </w:rPr>
        <w:t xml:space="preserve"> </w:t>
      </w:r>
      <w:r>
        <w:rPr>
          <w:rtl/>
        </w:rPr>
        <w:tab/>
      </w:r>
      <w:r w:rsidRPr="00425C5E">
        <w:t>J. Hartley, Leviticus, WBC, p. 104</w:t>
      </w:r>
    </w:p>
  </w:footnote>
  <w:footnote w:id="4">
    <w:p w14:paraId="6FBFB157" w14:textId="119731C4" w:rsidR="00425C5E" w:rsidRPr="00425C5E" w:rsidRDefault="00425C5E" w:rsidP="00425C5E">
      <w:pPr>
        <w:pStyle w:val="a3"/>
        <w:rPr>
          <w:rtl/>
        </w:rPr>
      </w:pPr>
      <w:r w:rsidRPr="00425C5E">
        <w:rPr>
          <w:rStyle w:val="a5"/>
          <w:rFonts w:eastAsia="Narkisim"/>
        </w:rPr>
        <w:footnoteRef/>
      </w:r>
      <w:r w:rsidRPr="00425C5E">
        <w:rPr>
          <w:rtl/>
        </w:rPr>
        <w:t xml:space="preserve"> </w:t>
      </w:r>
      <w:r>
        <w:rPr>
          <w:rtl/>
        </w:rPr>
        <w:tab/>
      </w:r>
      <w:r w:rsidRPr="00425C5E">
        <w:rPr>
          <w:rFonts w:hint="cs"/>
          <w:rtl/>
        </w:rPr>
        <w:t xml:space="preserve">ניתן לקרוא גם את </w:t>
      </w:r>
      <w:proofErr w:type="spellStart"/>
      <w:r w:rsidRPr="00425C5E">
        <w:rPr>
          <w:rFonts w:hint="cs"/>
          <w:rtl/>
        </w:rPr>
        <w:t>הספרא</w:t>
      </w:r>
      <w:proofErr w:type="spellEnd"/>
      <w:r w:rsidRPr="00425C5E">
        <w:rPr>
          <w:rFonts w:hint="cs"/>
          <w:rtl/>
        </w:rPr>
        <w:t xml:space="preserve"> ברוח זו: "'זאת</w:t>
      </w:r>
      <w:r w:rsidRPr="00425C5E">
        <w:rPr>
          <w:rtl/>
        </w:rPr>
        <w:t xml:space="preserve"> </w:t>
      </w:r>
      <w:r w:rsidRPr="00425C5E">
        <w:rPr>
          <w:rFonts w:hint="cs"/>
          <w:rtl/>
        </w:rPr>
        <w:t>התורה</w:t>
      </w:r>
      <w:r w:rsidRPr="00425C5E">
        <w:rPr>
          <w:rtl/>
        </w:rPr>
        <w:t xml:space="preserve"> </w:t>
      </w:r>
      <w:r w:rsidRPr="00425C5E">
        <w:rPr>
          <w:rFonts w:hint="cs"/>
          <w:rtl/>
        </w:rPr>
        <w:t>לעולה</w:t>
      </w:r>
      <w:r w:rsidRPr="00425C5E">
        <w:rPr>
          <w:rtl/>
        </w:rPr>
        <w:t xml:space="preserve"> </w:t>
      </w:r>
      <w:r w:rsidRPr="00425C5E">
        <w:rPr>
          <w:rFonts w:hint="cs"/>
          <w:rtl/>
        </w:rPr>
        <w:t>למנחה</w:t>
      </w:r>
      <w:r w:rsidRPr="00425C5E">
        <w:rPr>
          <w:rtl/>
        </w:rPr>
        <w:t xml:space="preserve"> </w:t>
      </w:r>
      <w:r w:rsidRPr="00425C5E">
        <w:rPr>
          <w:rFonts w:hint="cs"/>
          <w:rtl/>
        </w:rPr>
        <w:t>ולחטאת</w:t>
      </w:r>
      <w:r w:rsidRPr="00425C5E">
        <w:rPr>
          <w:rtl/>
        </w:rPr>
        <w:t xml:space="preserve"> </w:t>
      </w:r>
      <w:r w:rsidRPr="00425C5E">
        <w:rPr>
          <w:rFonts w:hint="cs"/>
          <w:rtl/>
        </w:rPr>
        <w:t>ולאשם</w:t>
      </w:r>
      <w:r w:rsidRPr="00425C5E">
        <w:rPr>
          <w:rtl/>
        </w:rPr>
        <w:t xml:space="preserve"> </w:t>
      </w:r>
      <w:proofErr w:type="spellStart"/>
      <w:r w:rsidRPr="00425C5E">
        <w:rPr>
          <w:rFonts w:hint="cs"/>
          <w:rtl/>
        </w:rPr>
        <w:t>ולמלואים</w:t>
      </w:r>
      <w:proofErr w:type="spellEnd"/>
      <w:r w:rsidRPr="00425C5E">
        <w:rPr>
          <w:rtl/>
        </w:rPr>
        <w:t xml:space="preserve"> </w:t>
      </w:r>
      <w:r w:rsidRPr="00425C5E">
        <w:rPr>
          <w:rFonts w:hint="cs"/>
          <w:rtl/>
        </w:rPr>
        <w:t>ולזבח</w:t>
      </w:r>
      <w:r w:rsidRPr="00425C5E">
        <w:rPr>
          <w:rtl/>
        </w:rPr>
        <w:t xml:space="preserve"> </w:t>
      </w:r>
      <w:r w:rsidRPr="00425C5E">
        <w:rPr>
          <w:rFonts w:hint="cs"/>
          <w:rtl/>
        </w:rPr>
        <w:t xml:space="preserve">השלמים' </w:t>
      </w:r>
      <w:r w:rsidRPr="00425C5E">
        <w:rPr>
          <w:rtl/>
        </w:rPr>
        <w:t xml:space="preserve">– </w:t>
      </w:r>
      <w:r w:rsidRPr="00425C5E">
        <w:rPr>
          <w:rFonts w:hint="cs"/>
          <w:rtl/>
        </w:rPr>
        <w:t>מה</w:t>
      </w:r>
      <w:r w:rsidRPr="00425C5E">
        <w:rPr>
          <w:rtl/>
        </w:rPr>
        <w:t xml:space="preserve"> </w:t>
      </w:r>
      <w:r w:rsidRPr="00425C5E">
        <w:rPr>
          <w:rFonts w:hint="cs"/>
          <w:rtl/>
        </w:rPr>
        <w:t>מילואים</w:t>
      </w:r>
      <w:r w:rsidRPr="00425C5E">
        <w:rPr>
          <w:rtl/>
        </w:rPr>
        <w:t xml:space="preserve"> </w:t>
      </w:r>
      <w:r w:rsidRPr="00425C5E">
        <w:rPr>
          <w:rFonts w:hint="cs"/>
          <w:rtl/>
        </w:rPr>
        <w:t>נאמרו</w:t>
      </w:r>
      <w:r w:rsidRPr="00425C5E">
        <w:rPr>
          <w:rtl/>
        </w:rPr>
        <w:t xml:space="preserve"> </w:t>
      </w:r>
      <w:proofErr w:type="spellStart"/>
      <w:r w:rsidRPr="00425C5E">
        <w:rPr>
          <w:rFonts w:hint="cs"/>
          <w:rtl/>
        </w:rPr>
        <w:t>כללותיהם</w:t>
      </w:r>
      <w:proofErr w:type="spellEnd"/>
      <w:r w:rsidRPr="00425C5E">
        <w:rPr>
          <w:rtl/>
        </w:rPr>
        <w:t xml:space="preserve"> </w:t>
      </w:r>
      <w:r w:rsidRPr="00425C5E">
        <w:rPr>
          <w:rFonts w:hint="cs"/>
          <w:rtl/>
        </w:rPr>
        <w:t>ודקדוקיהם</w:t>
      </w:r>
      <w:r w:rsidRPr="00425C5E">
        <w:rPr>
          <w:rtl/>
        </w:rPr>
        <w:t xml:space="preserve"> </w:t>
      </w:r>
      <w:r w:rsidRPr="00425C5E">
        <w:rPr>
          <w:rFonts w:hint="cs"/>
          <w:rtl/>
        </w:rPr>
        <w:t>בסיני,</w:t>
      </w:r>
      <w:r w:rsidRPr="00425C5E">
        <w:rPr>
          <w:rtl/>
        </w:rPr>
        <w:t xml:space="preserve"> </w:t>
      </w:r>
      <w:r w:rsidRPr="00425C5E">
        <w:rPr>
          <w:rFonts w:hint="cs"/>
          <w:rtl/>
        </w:rPr>
        <w:t>אף</w:t>
      </w:r>
      <w:r w:rsidRPr="00425C5E">
        <w:rPr>
          <w:rtl/>
        </w:rPr>
        <w:t xml:space="preserve"> </w:t>
      </w:r>
      <w:r w:rsidRPr="00425C5E">
        <w:rPr>
          <w:rFonts w:hint="cs"/>
          <w:rtl/>
        </w:rPr>
        <w:t>כולן</w:t>
      </w:r>
      <w:r w:rsidRPr="00425C5E">
        <w:rPr>
          <w:rtl/>
        </w:rPr>
        <w:t xml:space="preserve"> </w:t>
      </w:r>
      <w:r w:rsidRPr="00425C5E">
        <w:rPr>
          <w:rFonts w:hint="cs"/>
          <w:rtl/>
        </w:rPr>
        <w:t>נאמרו</w:t>
      </w:r>
      <w:r w:rsidRPr="00425C5E">
        <w:rPr>
          <w:rtl/>
        </w:rPr>
        <w:t xml:space="preserve"> </w:t>
      </w:r>
      <w:proofErr w:type="spellStart"/>
      <w:r w:rsidRPr="00425C5E">
        <w:rPr>
          <w:rFonts w:hint="cs"/>
          <w:rtl/>
        </w:rPr>
        <w:t>כללותיהם</w:t>
      </w:r>
      <w:proofErr w:type="spellEnd"/>
      <w:r w:rsidRPr="00425C5E">
        <w:rPr>
          <w:rtl/>
        </w:rPr>
        <w:t xml:space="preserve"> </w:t>
      </w:r>
      <w:r w:rsidRPr="00425C5E">
        <w:rPr>
          <w:rFonts w:hint="cs"/>
          <w:rtl/>
        </w:rPr>
        <w:t>ודקדוקיהם</w:t>
      </w:r>
      <w:r w:rsidRPr="00425C5E">
        <w:rPr>
          <w:rtl/>
        </w:rPr>
        <w:t xml:space="preserve"> </w:t>
      </w:r>
      <w:r w:rsidRPr="00425C5E">
        <w:rPr>
          <w:rFonts w:hint="cs"/>
          <w:rtl/>
        </w:rPr>
        <w:t xml:space="preserve">בסיני" </w:t>
      </w:r>
      <w:r w:rsidRPr="00425C5E">
        <w:rPr>
          <w:rFonts w:hint="cs"/>
          <w:sz w:val="16"/>
          <w:szCs w:val="16"/>
          <w:rtl/>
        </w:rPr>
        <w:t>(ספרא לפרשת צו, פר' י"ח, ג')</w:t>
      </w:r>
      <w:r w:rsidRPr="00425C5E">
        <w:rPr>
          <w:rFonts w:hint="cs"/>
          <w:rtl/>
        </w:rPr>
        <w:t>.</w:t>
      </w:r>
    </w:p>
  </w:footnote>
  <w:footnote w:id="5">
    <w:p w14:paraId="280336AA" w14:textId="705CE705" w:rsidR="00425C5E" w:rsidRPr="00425C5E" w:rsidRDefault="00425C5E" w:rsidP="00425C5E">
      <w:pPr>
        <w:pStyle w:val="a3"/>
      </w:pPr>
      <w:r w:rsidRPr="00425C5E">
        <w:rPr>
          <w:rStyle w:val="a5"/>
          <w:rFonts w:eastAsia="Narkisim"/>
        </w:rPr>
        <w:footnoteRef/>
      </w:r>
      <w:r w:rsidRPr="00425C5E">
        <w:rPr>
          <w:rtl/>
        </w:rPr>
        <w:t xml:space="preserve"> </w:t>
      </w:r>
      <w:r>
        <w:rPr>
          <w:rtl/>
        </w:rPr>
        <w:tab/>
      </w:r>
      <w:r w:rsidRPr="00425C5E">
        <w:rPr>
          <w:rFonts w:hint="cs"/>
          <w:rtl/>
        </w:rPr>
        <w:t xml:space="preserve">כבדרך אגב אעיר, שגם משילוב הפועל 'יצק' במקום הפועל המתבקש 'שפך', קשה להסיק שלפנינו חטיבה שמנותקת מחטיבת הקורבנות המקדימה אותה. אחרי הכול, בציווי על ימי המילואים </w:t>
      </w:r>
      <w:r w:rsidRPr="00425C5E">
        <w:rPr>
          <w:rtl/>
        </w:rPr>
        <w:t>–</w:t>
      </w:r>
      <w:r w:rsidRPr="00425C5E">
        <w:rPr>
          <w:rFonts w:hint="cs"/>
          <w:rtl/>
        </w:rPr>
        <w:t xml:space="preserve"> שפרקנו ודאי נשען עליו </w:t>
      </w:r>
      <w:r w:rsidRPr="00425C5E">
        <w:rPr>
          <w:rtl/>
        </w:rPr>
        <w:t>–</w:t>
      </w:r>
      <w:r w:rsidRPr="00425C5E">
        <w:rPr>
          <w:rFonts w:hint="cs"/>
          <w:rtl/>
        </w:rPr>
        <w:t xml:space="preserve"> נאמר: "וְאֶת</w:t>
      </w:r>
      <w:r w:rsidRPr="00425C5E">
        <w:rPr>
          <w:rtl/>
        </w:rPr>
        <w:t xml:space="preserve"> </w:t>
      </w:r>
      <w:r w:rsidRPr="00425C5E">
        <w:rPr>
          <w:rFonts w:hint="cs"/>
          <w:rtl/>
        </w:rPr>
        <w:t>כָּל</w:t>
      </w:r>
      <w:r w:rsidRPr="00425C5E">
        <w:rPr>
          <w:rtl/>
        </w:rPr>
        <w:t xml:space="preserve"> </w:t>
      </w:r>
      <w:r w:rsidRPr="00425C5E">
        <w:rPr>
          <w:rFonts w:hint="cs"/>
          <w:rtl/>
        </w:rPr>
        <w:t>הַדָּם</w:t>
      </w:r>
      <w:r w:rsidRPr="00425C5E">
        <w:rPr>
          <w:rtl/>
        </w:rPr>
        <w:t xml:space="preserve"> </w:t>
      </w:r>
      <w:proofErr w:type="spellStart"/>
      <w:r w:rsidRPr="00425C5E">
        <w:rPr>
          <w:rFonts w:hint="cs"/>
          <w:rtl/>
        </w:rPr>
        <w:t>תִּשְׁפֹּך</w:t>
      </w:r>
      <w:proofErr w:type="spellEnd"/>
      <w:r w:rsidRPr="00425C5E">
        <w:rPr>
          <w:rFonts w:hint="cs"/>
          <w:rtl/>
        </w:rPr>
        <w:t>ְ</w:t>
      </w:r>
      <w:r w:rsidRPr="00425C5E">
        <w:rPr>
          <w:rtl/>
        </w:rPr>
        <w:t xml:space="preserve"> </w:t>
      </w:r>
      <w:r w:rsidRPr="00425C5E">
        <w:rPr>
          <w:rFonts w:hint="cs"/>
          <w:rtl/>
        </w:rPr>
        <w:t>אֶל</w:t>
      </w:r>
      <w:r w:rsidRPr="00425C5E">
        <w:rPr>
          <w:rtl/>
        </w:rPr>
        <w:t xml:space="preserve"> </w:t>
      </w:r>
      <w:r w:rsidRPr="00425C5E">
        <w:rPr>
          <w:rFonts w:hint="cs"/>
          <w:rtl/>
        </w:rPr>
        <w:t>יְסוֹד</w:t>
      </w:r>
      <w:r w:rsidRPr="00425C5E">
        <w:rPr>
          <w:rtl/>
        </w:rPr>
        <w:t xml:space="preserve"> </w:t>
      </w:r>
      <w:r w:rsidRPr="00425C5E">
        <w:rPr>
          <w:rFonts w:hint="cs"/>
          <w:rtl/>
        </w:rPr>
        <w:t xml:space="preserve">הַמִּזְבֵּחַ" </w:t>
      </w:r>
      <w:r w:rsidRPr="00425C5E">
        <w:rPr>
          <w:rFonts w:hint="cs"/>
          <w:sz w:val="16"/>
          <w:szCs w:val="16"/>
          <w:rtl/>
        </w:rPr>
        <w:t xml:space="preserve">(שמות כ"ט, </w:t>
      </w:r>
      <w:proofErr w:type="spellStart"/>
      <w:r w:rsidRPr="00425C5E">
        <w:rPr>
          <w:rFonts w:hint="cs"/>
          <w:sz w:val="16"/>
          <w:szCs w:val="16"/>
          <w:rtl/>
        </w:rPr>
        <w:t>יב</w:t>
      </w:r>
      <w:proofErr w:type="spellEnd"/>
      <w:r w:rsidRPr="00425C5E">
        <w:rPr>
          <w:rFonts w:hint="cs"/>
          <w:sz w:val="16"/>
          <w:szCs w:val="16"/>
          <w:rtl/>
        </w:rPr>
        <w:t>)</w:t>
      </w:r>
      <w:r w:rsidRPr="00425C5E">
        <w:rPr>
          <w:rFonts w:hint="cs"/>
          <w:rtl/>
        </w:rPr>
        <w:t xml:space="preserve">. כלומר, הבחירה בפועל 'יצק' מפתיעה גם ביחס לציווי שהוא חלק אורגני מתיאור ימי המילואים. מסתבר שלפנינו בחירה מכוונת בפועל 'יצק' (לתרומת הדבר אתייחס בהמשך) אך לא ניתן להסיק ממנה על הפרדת ימי המילואים ממה שקדם להם. </w:t>
      </w:r>
    </w:p>
  </w:footnote>
  <w:footnote w:id="6">
    <w:p w14:paraId="3B01D50C" w14:textId="5E5E3DDE" w:rsidR="00425C5E" w:rsidRPr="00425C5E" w:rsidRDefault="00425C5E" w:rsidP="00425C5E">
      <w:pPr>
        <w:pStyle w:val="a3"/>
      </w:pPr>
      <w:r w:rsidRPr="00425C5E">
        <w:rPr>
          <w:rStyle w:val="a5"/>
          <w:rFonts w:eastAsia="Narkisim"/>
        </w:rPr>
        <w:footnoteRef/>
      </w:r>
      <w:r w:rsidRPr="00425C5E">
        <w:rPr>
          <w:rtl/>
        </w:rPr>
        <w:t xml:space="preserve"> </w:t>
      </w:r>
      <w:r>
        <w:rPr>
          <w:rtl/>
        </w:rPr>
        <w:tab/>
      </w:r>
      <w:r w:rsidRPr="00425C5E">
        <w:rPr>
          <w:rFonts w:hint="cs"/>
          <w:rtl/>
        </w:rPr>
        <w:t>ראו על כך במיוחד:</w:t>
      </w:r>
      <w:r>
        <w:rPr>
          <w:rFonts w:hint="cs"/>
          <w:rtl/>
        </w:rPr>
        <w:t xml:space="preserve"> </w:t>
      </w:r>
      <w:r w:rsidRPr="00425C5E">
        <w:t xml:space="preserve">B. </w:t>
      </w:r>
      <w:proofErr w:type="spellStart"/>
      <w:r w:rsidRPr="00425C5E">
        <w:t>Bidd</w:t>
      </w:r>
      <w:proofErr w:type="spellEnd"/>
      <w:r w:rsidRPr="00425C5E">
        <w:t>, Ritual Words and Narrative Worlds in the Book of Leviticus, New York and London 2009, pp. 100-132.</w:t>
      </w:r>
    </w:p>
    <w:p w14:paraId="50571270" w14:textId="60785FEA" w:rsidR="00425C5E" w:rsidRPr="00425C5E" w:rsidRDefault="00425C5E" w:rsidP="00425C5E">
      <w:pPr>
        <w:pStyle w:val="a3"/>
        <w:rPr>
          <w:rtl/>
        </w:rPr>
      </w:pPr>
      <w:r>
        <w:rPr>
          <w:rtl/>
        </w:rPr>
        <w:tab/>
      </w:r>
      <w:r w:rsidRPr="00425C5E">
        <w:rPr>
          <w:rFonts w:hint="cs"/>
          <w:rtl/>
        </w:rPr>
        <w:t>בשל פערים שונים שנותרים בסיפור ימי המילואים הוא הגיע למסקנה: "הסיפור הוא, אם</w:t>
      </w:r>
      <w:r w:rsidRPr="00425C5E">
        <w:rPr>
          <w:rtl/>
        </w:rPr>
        <w:t xml:space="preserve"> </w:t>
      </w:r>
      <w:r w:rsidRPr="00425C5E">
        <w:rPr>
          <w:rFonts w:hint="cs"/>
          <w:rtl/>
        </w:rPr>
        <w:t>כן</w:t>
      </w:r>
      <w:r w:rsidRPr="00425C5E">
        <w:rPr>
          <w:rtl/>
        </w:rPr>
        <w:t xml:space="preserve">, </w:t>
      </w:r>
      <w:r w:rsidRPr="00425C5E">
        <w:rPr>
          <w:rFonts w:hint="cs"/>
          <w:rtl/>
        </w:rPr>
        <w:t>סלקטיבי, ומעוצב</w:t>
      </w:r>
      <w:r w:rsidRPr="00425C5E">
        <w:rPr>
          <w:rtl/>
        </w:rPr>
        <w:t xml:space="preserve"> </w:t>
      </w:r>
      <w:r w:rsidRPr="00425C5E">
        <w:rPr>
          <w:rFonts w:hint="cs"/>
          <w:rtl/>
        </w:rPr>
        <w:t xml:space="preserve">בהתאם למגמות התיאולוגיות והספרותיות" </w:t>
      </w:r>
      <w:r w:rsidRPr="00425C5E">
        <w:rPr>
          <w:rFonts w:hint="cs"/>
          <w:sz w:val="16"/>
          <w:szCs w:val="16"/>
          <w:rtl/>
        </w:rPr>
        <w:t>(שם, עמ' 107)</w:t>
      </w:r>
      <w:r w:rsidRPr="00425C5E">
        <w:rPr>
          <w:rFonts w:hint="cs"/>
          <w:rtl/>
        </w:rPr>
        <w:t>.</w:t>
      </w:r>
    </w:p>
  </w:footnote>
  <w:footnote w:id="7">
    <w:p w14:paraId="376B2DCD" w14:textId="05046DED" w:rsidR="00425C5E" w:rsidRPr="00425C5E" w:rsidRDefault="00425C5E" w:rsidP="00425C5E">
      <w:pPr>
        <w:pStyle w:val="a3"/>
      </w:pPr>
      <w:r w:rsidRPr="00425C5E">
        <w:rPr>
          <w:rStyle w:val="a5"/>
          <w:rFonts w:eastAsia="Narkisim"/>
        </w:rPr>
        <w:footnoteRef/>
      </w:r>
      <w:r w:rsidRPr="00425C5E">
        <w:rPr>
          <w:rtl/>
        </w:rPr>
        <w:t xml:space="preserve"> </w:t>
      </w:r>
      <w:r>
        <w:rPr>
          <w:rtl/>
        </w:rPr>
        <w:tab/>
      </w:r>
      <w:proofErr w:type="spellStart"/>
      <w:r w:rsidRPr="00425C5E">
        <w:rPr>
          <w:rFonts w:hint="cs"/>
          <w:rtl/>
        </w:rPr>
        <w:t>ונהאם</w:t>
      </w:r>
      <w:proofErr w:type="spellEnd"/>
      <w:r w:rsidRPr="00425C5E">
        <w:rPr>
          <w:rFonts w:hint="cs"/>
          <w:rtl/>
        </w:rPr>
        <w:t xml:space="preserve">, פירושו </w:t>
      </w:r>
      <w:proofErr w:type="spellStart"/>
      <w:r w:rsidRPr="00425C5E">
        <w:rPr>
          <w:rFonts w:hint="cs"/>
          <w:rtl/>
        </w:rPr>
        <w:t>לויקרא</w:t>
      </w:r>
      <w:proofErr w:type="spellEnd"/>
      <w:r w:rsidRPr="00425C5E">
        <w:rPr>
          <w:rFonts w:hint="cs"/>
          <w:rtl/>
        </w:rPr>
        <w:t xml:space="preserve"> (</w:t>
      </w:r>
      <w:r w:rsidRPr="00425C5E">
        <w:rPr>
          <w:rFonts w:hint="cs"/>
        </w:rPr>
        <w:t>NICOT</w:t>
      </w:r>
      <w:r w:rsidRPr="00425C5E">
        <w:rPr>
          <w:rFonts w:hint="cs"/>
          <w:rtl/>
        </w:rPr>
        <w:t>), עמ'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25C5E">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7"/>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2"/>
  </w:num>
  <w:num w:numId="15">
    <w:abstractNumId w:val="26"/>
  </w:num>
  <w:num w:numId="16">
    <w:abstractNumId w:val="18"/>
  </w:num>
  <w:num w:numId="17">
    <w:abstractNumId w:val="36"/>
  </w:num>
  <w:num w:numId="18">
    <w:abstractNumId w:val="20"/>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19"/>
  </w:num>
  <w:num w:numId="26">
    <w:abstractNumId w:val="17"/>
  </w:num>
  <w:num w:numId="27">
    <w:abstractNumId w:val="3"/>
  </w:num>
  <w:num w:numId="28">
    <w:abstractNumId w:val="21"/>
  </w:num>
  <w:num w:numId="29">
    <w:abstractNumId w:val="31"/>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BA02-2E84-4EBD-B7B6-90D80AA1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1264</Words>
  <Characters>6320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7569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2019-01-28T09:45:00Z</dcterms:created>
  <dcterms:modified xsi:type="dcterms:W3CDTF">2019-04-28T13:36:00Z</dcterms:modified>
</cp:coreProperties>
</file>