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174B5C" w:rsidR="00E84C14" w:rsidRDefault="00621C68" w:rsidP="00984E52">
      <w:pPr>
        <w:pStyle w:val="a"/>
        <w:rPr>
          <w:rtl/>
        </w:rPr>
      </w:pPr>
      <w:r>
        <w:rPr>
          <w:rFonts w:hint="cs"/>
          <w:rtl/>
        </w:rPr>
        <w:t xml:space="preserve">פרופ' </w:t>
      </w:r>
      <w:r w:rsidR="00BC5418">
        <w:rPr>
          <w:rFonts w:hint="cs"/>
          <w:rtl/>
        </w:rPr>
        <w:t>יונתן גרוסמן</w:t>
      </w:r>
    </w:p>
    <w:p w14:paraId="41D6E121" w14:textId="3B02B4F3" w:rsidR="00437A07" w:rsidRPr="00FF39F0" w:rsidRDefault="00C76BBE" w:rsidP="00C76BBE">
      <w:pPr>
        <w:pStyle w:val="Heading1"/>
        <w:rPr>
          <w:rtl/>
        </w:rPr>
      </w:pPr>
      <w:r>
        <w:rPr>
          <w:rFonts w:hint="cs"/>
          <w:rtl/>
        </w:rPr>
        <w:t>80</w:t>
      </w:r>
      <w:r w:rsidR="003C6EAA">
        <w:rPr>
          <w:rtl/>
        </w:rPr>
        <w:t xml:space="preserve"> </w:t>
      </w:r>
      <w:r w:rsidR="003C6EAA" w:rsidRPr="003C6EAA">
        <w:rPr>
          <w:rtl/>
        </w:rPr>
        <w:t xml:space="preserve">היום השמיני – </w:t>
      </w:r>
      <w:r>
        <w:rPr>
          <w:rFonts w:hint="cs"/>
          <w:rtl/>
        </w:rPr>
        <w:t>חטא נדב ואביהוא (א)</w:t>
      </w:r>
    </w:p>
    <w:p w14:paraId="4C77BF67" w14:textId="77777777" w:rsidR="006D5CC5" w:rsidRDefault="006D5CC5" w:rsidP="006D5CC5">
      <w:pPr>
        <w:rPr>
          <w:rtl/>
        </w:rPr>
      </w:pPr>
      <w:bookmarkStart w:id="0" w:name="_Toc478423294"/>
    </w:p>
    <w:bookmarkEnd w:id="0"/>
    <w:p w14:paraId="64706D89" w14:textId="77777777" w:rsidR="00C76BBE" w:rsidRPr="005C4996" w:rsidRDefault="00C76BBE" w:rsidP="00C76BBE">
      <w:pPr>
        <w:rPr>
          <w:rtl/>
        </w:rPr>
      </w:pPr>
      <w:r>
        <w:rPr>
          <w:rFonts w:hint="cs"/>
          <w:rtl/>
        </w:rPr>
        <w:t>אין צורך לומר ש</w:t>
      </w:r>
      <w:r w:rsidRPr="005C4996">
        <w:rPr>
          <w:rtl/>
        </w:rPr>
        <w:t>היום השמיני למיל</w:t>
      </w:r>
      <w:r>
        <w:rPr>
          <w:rFonts w:hint="cs"/>
          <w:rtl/>
        </w:rPr>
        <w:t>ו</w:t>
      </w:r>
      <w:r w:rsidRPr="005C4996">
        <w:rPr>
          <w:rtl/>
        </w:rPr>
        <w:t>אים הנו אחד מן הימים החגיגיים שחווה עם ישראל במדבר</w:t>
      </w:r>
      <w:r>
        <w:rPr>
          <w:rFonts w:hint="cs"/>
          <w:rtl/>
        </w:rPr>
        <w:t>.</w:t>
      </w:r>
      <w:r w:rsidRPr="005C4996">
        <w:rPr>
          <w:rtl/>
        </w:rPr>
        <w:t xml:space="preserve"> ביום זה </w:t>
      </w:r>
      <w:r>
        <w:rPr>
          <w:rFonts w:hint="cs"/>
          <w:rtl/>
        </w:rPr>
        <w:t xml:space="preserve">התגלה כבוד ה' </w:t>
      </w:r>
      <w:r w:rsidRPr="005C4996">
        <w:rPr>
          <w:rtl/>
        </w:rPr>
        <w:t>לעיני כל ישראל בדמות אש שאוכלת את הק</w:t>
      </w:r>
      <w:r>
        <w:rPr>
          <w:rFonts w:hint="cs"/>
          <w:rtl/>
        </w:rPr>
        <w:t>ו</w:t>
      </w:r>
      <w:r w:rsidRPr="005C4996">
        <w:rPr>
          <w:rtl/>
        </w:rPr>
        <w:t>רבנות,</w:t>
      </w:r>
      <w:r>
        <w:rPr>
          <w:rFonts w:hint="cs"/>
          <w:rtl/>
        </w:rPr>
        <w:t xml:space="preserve"> וכבר ראינו שהעם השתחווה ואמר שירה.</w:t>
      </w:r>
    </w:p>
    <w:p w14:paraId="48271369" w14:textId="78B452CB" w:rsidR="00C76BBE" w:rsidRPr="005C4996" w:rsidRDefault="00C76BBE" w:rsidP="00C92867">
      <w:pPr>
        <w:tabs>
          <w:tab w:val="clear" w:pos="4620"/>
        </w:tabs>
        <w:rPr>
          <w:rtl/>
        </w:rPr>
      </w:pPr>
      <w:r w:rsidRPr="005C4996">
        <w:rPr>
          <w:rtl/>
        </w:rPr>
        <w:t xml:space="preserve">אולם, </w:t>
      </w:r>
      <w:r>
        <w:rPr>
          <w:rFonts w:hint="cs"/>
          <w:rtl/>
        </w:rPr>
        <w:t xml:space="preserve">בסמיכות טקסטואלית שמביעה היטב גם את הסמיכות במרחב, פקדה את משפחת הכהונה </w:t>
      </w:r>
      <w:r w:rsidRPr="005C4996">
        <w:rPr>
          <w:rtl/>
        </w:rPr>
        <w:t>טרגדיה נוראה</w:t>
      </w:r>
      <w:r>
        <w:rPr>
          <w:rFonts w:hint="cs"/>
          <w:rtl/>
        </w:rPr>
        <w:t xml:space="preserve">. על מות </w:t>
      </w:r>
      <w:r w:rsidRPr="005C4996">
        <w:rPr>
          <w:rtl/>
        </w:rPr>
        <w:t>שני בני</w:t>
      </w:r>
      <w:r>
        <w:rPr>
          <w:rFonts w:hint="cs"/>
          <w:rtl/>
        </w:rPr>
        <w:t xml:space="preserve"> </w:t>
      </w:r>
      <w:r w:rsidR="0089310B">
        <w:rPr>
          <w:rFonts w:hint="cs"/>
          <w:rtl/>
        </w:rPr>
        <w:t>אהרן</w:t>
      </w:r>
      <w:r>
        <w:rPr>
          <w:rFonts w:hint="cs"/>
          <w:rtl/>
        </w:rPr>
        <w:t xml:space="preserve"> הגדולים </w:t>
      </w:r>
      <w:r>
        <w:rPr>
          <w:rtl/>
        </w:rPr>
        <w:t>–</w:t>
      </w:r>
      <w:r w:rsidRPr="005C4996">
        <w:rPr>
          <w:rtl/>
        </w:rPr>
        <w:t xml:space="preserve"> נדב ו</w:t>
      </w:r>
      <w:r>
        <w:rPr>
          <w:rtl/>
        </w:rPr>
        <w:t>אביהוא</w:t>
      </w:r>
      <w:r w:rsidRPr="005C4996">
        <w:rPr>
          <w:rtl/>
        </w:rPr>
        <w:t xml:space="preserve"> </w:t>
      </w:r>
      <w:r>
        <w:rPr>
          <w:rtl/>
        </w:rPr>
        <w:t>–</w:t>
      </w:r>
      <w:r>
        <w:rPr>
          <w:rFonts w:hint="cs"/>
          <w:rtl/>
        </w:rPr>
        <w:t xml:space="preserve"> </w:t>
      </w:r>
      <w:r w:rsidRPr="005C4996">
        <w:rPr>
          <w:rtl/>
        </w:rPr>
        <w:t xml:space="preserve">דרש ר' אחא בר </w:t>
      </w:r>
      <w:proofErr w:type="spellStart"/>
      <w:r w:rsidRPr="005C4996">
        <w:rPr>
          <w:rtl/>
        </w:rPr>
        <w:t>זעירא</w:t>
      </w:r>
      <w:proofErr w:type="spellEnd"/>
      <w:r w:rsidRPr="005C4996">
        <w:rPr>
          <w:rtl/>
        </w:rPr>
        <w:t xml:space="preserve"> את הפסוק: "</w:t>
      </w:r>
      <w:r>
        <w:rPr>
          <w:rtl/>
        </w:rPr>
        <w:t>אַף לְזֹאת יֶחֱרַד לִבִּי וְיִתַּר מִמְּקוֹמוֹ</w:t>
      </w:r>
      <w:r w:rsidRPr="005C4996">
        <w:rPr>
          <w:rtl/>
        </w:rPr>
        <w:t xml:space="preserve">" </w:t>
      </w:r>
      <w:r w:rsidRPr="00C76BBE">
        <w:rPr>
          <w:sz w:val="20"/>
          <w:szCs w:val="20"/>
          <w:rtl/>
        </w:rPr>
        <w:t>(איוב ל"ז, א)</w:t>
      </w:r>
      <w:r w:rsidRPr="005C4996">
        <w:rPr>
          <w:rtl/>
        </w:rPr>
        <w:t>.</w:t>
      </w:r>
      <w:r w:rsidRPr="005C4996">
        <w:rPr>
          <w:rStyle w:val="FootnoteReference"/>
          <w:rFonts w:eastAsia="Calibri"/>
          <w:rtl/>
        </w:rPr>
        <w:footnoteReference w:id="1"/>
      </w:r>
    </w:p>
    <w:p w14:paraId="1E20798A" w14:textId="62D021BB" w:rsidR="00C76BBE" w:rsidRPr="005C4996" w:rsidRDefault="00C76BBE" w:rsidP="00C92867">
      <w:pPr>
        <w:tabs>
          <w:tab w:val="clear" w:pos="4620"/>
        </w:tabs>
        <w:rPr>
          <w:rtl/>
        </w:rPr>
      </w:pPr>
      <w:r>
        <w:rPr>
          <w:rFonts w:hint="cs"/>
          <w:rtl/>
        </w:rPr>
        <w:t xml:space="preserve">אינני יודע אם יש עוד חטא במקרא שרבו המחלוקות בהבנתו כמו חטאם הנסתר של נדב ואביהוא. </w:t>
      </w:r>
      <w:r w:rsidRPr="005C4996">
        <w:rPr>
          <w:rtl/>
        </w:rPr>
        <w:t xml:space="preserve">פירושים רבים </w:t>
      </w:r>
      <w:r>
        <w:rPr>
          <w:rFonts w:hint="cs"/>
          <w:rtl/>
        </w:rPr>
        <w:t>ומגוונים הוצעו להבנת הבעייתיות שבמעשיהם, אשר הובילו לעונש כה חמור; אכן הכתוב הקצר מאפשר קריאות שונות.</w:t>
      </w:r>
      <w:r w:rsidRPr="00F24702">
        <w:rPr>
          <w:rStyle w:val="FootnoteReference"/>
          <w:rFonts w:eastAsia="Calibri"/>
          <w:rtl/>
        </w:rPr>
        <w:footnoteReference w:id="2"/>
      </w:r>
      <w:r>
        <w:rPr>
          <w:rFonts w:hint="cs"/>
          <w:rtl/>
        </w:rPr>
        <w:t xml:space="preserve"> די בסקירה מהירה של העמדות המגוונות שמובאות במדרשי חז"ל בכדי לחוש עד כמה התעלומה גדולה.</w:t>
      </w:r>
      <w:r w:rsidRPr="005C4996">
        <w:rPr>
          <w:rStyle w:val="FootnoteReference"/>
          <w:rFonts w:eastAsia="Calibri"/>
          <w:rtl/>
        </w:rPr>
        <w:footnoteReference w:id="3"/>
      </w:r>
      <w:r>
        <w:rPr>
          <w:rFonts w:hint="cs"/>
          <w:rtl/>
        </w:rPr>
        <w:t xml:space="preserve"> בין שלל השיטות ניתן להזכיר את: </w:t>
      </w:r>
    </w:p>
    <w:p w14:paraId="5EE3672B" w14:textId="1EC2EE65" w:rsidR="00C76BBE" w:rsidRDefault="00C76BBE" w:rsidP="00C76BBE">
      <w:pPr>
        <w:ind w:left="720"/>
      </w:pPr>
      <w:r>
        <w:rPr>
          <w:rFonts w:hint="cs"/>
          <w:rtl/>
        </w:rPr>
        <w:t xml:space="preserve">א. </w:t>
      </w:r>
      <w:r w:rsidRPr="005C4996">
        <w:rPr>
          <w:rtl/>
        </w:rPr>
        <w:t>לפני יר</w:t>
      </w:r>
      <w:r>
        <w:rPr>
          <w:rtl/>
        </w:rPr>
        <w:t>ידת האש מן השמים, העלו אש מעצמם</w:t>
      </w:r>
      <w:r w:rsidRPr="005C4996">
        <w:rPr>
          <w:rtl/>
        </w:rPr>
        <w:t>.</w:t>
      </w:r>
    </w:p>
    <w:p w14:paraId="54F9B3C3" w14:textId="4D51BD57" w:rsidR="00C76BBE" w:rsidRDefault="00C76BBE" w:rsidP="00C76BBE">
      <w:pPr>
        <w:ind w:left="720"/>
      </w:pPr>
      <w:r>
        <w:rPr>
          <w:rFonts w:hint="cs"/>
          <w:rtl/>
        </w:rPr>
        <w:t xml:space="preserve">ב. </w:t>
      </w:r>
      <w:r w:rsidRPr="005C4996">
        <w:rPr>
          <w:rtl/>
        </w:rPr>
        <w:t>הביאו אש מן החולין.</w:t>
      </w:r>
    </w:p>
    <w:p w14:paraId="0A722333" w14:textId="53D98BC5" w:rsidR="00C76BBE" w:rsidRDefault="00C76BBE" w:rsidP="00C76BBE">
      <w:pPr>
        <w:ind w:left="720"/>
      </w:pPr>
      <w:r>
        <w:rPr>
          <w:rFonts w:hint="cs"/>
          <w:rtl/>
        </w:rPr>
        <w:t xml:space="preserve">ג. </w:t>
      </w:r>
      <w:r w:rsidRPr="005C4996">
        <w:rPr>
          <w:rtl/>
        </w:rPr>
        <w:t>העלו אש שלא בזמנה.</w:t>
      </w:r>
    </w:p>
    <w:p w14:paraId="57BD0975" w14:textId="5BD3E440" w:rsidR="00C76BBE" w:rsidRPr="005C4996" w:rsidRDefault="00C76BBE" w:rsidP="00C76BBE">
      <w:pPr>
        <w:ind w:left="720"/>
        <w:rPr>
          <w:rtl/>
        </w:rPr>
      </w:pPr>
      <w:r>
        <w:rPr>
          <w:rFonts w:hint="cs"/>
          <w:rtl/>
        </w:rPr>
        <w:t xml:space="preserve">ד. </w:t>
      </w:r>
      <w:r w:rsidRPr="005C4996">
        <w:rPr>
          <w:rtl/>
        </w:rPr>
        <w:t>נכנסו לק</w:t>
      </w:r>
      <w:r>
        <w:rPr>
          <w:rFonts w:hint="cs"/>
          <w:rtl/>
        </w:rPr>
        <w:t>ו</w:t>
      </w:r>
      <w:r w:rsidRPr="005C4996">
        <w:rPr>
          <w:rtl/>
        </w:rPr>
        <w:t>דש הק</w:t>
      </w:r>
      <w:r>
        <w:rPr>
          <w:rFonts w:hint="cs"/>
          <w:rtl/>
        </w:rPr>
        <w:t>ו</w:t>
      </w:r>
      <w:r w:rsidRPr="005C4996">
        <w:rPr>
          <w:rtl/>
        </w:rPr>
        <w:t>דשים.</w:t>
      </w:r>
    </w:p>
    <w:p w14:paraId="0A20B49C" w14:textId="6AE8435D" w:rsidR="00C76BBE" w:rsidRPr="005C4996" w:rsidRDefault="00C76BBE" w:rsidP="00C76BBE">
      <w:pPr>
        <w:ind w:left="720"/>
        <w:rPr>
          <w:rtl/>
        </w:rPr>
      </w:pPr>
      <w:r>
        <w:rPr>
          <w:rFonts w:hint="cs"/>
          <w:rtl/>
        </w:rPr>
        <w:lastRenderedPageBreak/>
        <w:t xml:space="preserve">ה. </w:t>
      </w:r>
      <w:r w:rsidRPr="005C4996">
        <w:rPr>
          <w:rtl/>
        </w:rPr>
        <w:t>נכנסו שתויי יין.</w:t>
      </w:r>
    </w:p>
    <w:p w14:paraId="23BD75C1" w14:textId="6B6D3800" w:rsidR="00C76BBE" w:rsidRPr="005C4996" w:rsidRDefault="00C76BBE" w:rsidP="00C76BBE">
      <w:pPr>
        <w:ind w:left="720"/>
        <w:rPr>
          <w:rtl/>
        </w:rPr>
      </w:pPr>
      <w:r>
        <w:rPr>
          <w:rFonts w:hint="cs"/>
          <w:rtl/>
        </w:rPr>
        <w:t xml:space="preserve">ו. </w:t>
      </w:r>
      <w:r w:rsidRPr="005C4996">
        <w:rPr>
          <w:rtl/>
        </w:rPr>
        <w:t>נכנסו מחוסרי בגדים.</w:t>
      </w:r>
      <w:r w:rsidRPr="005C4996">
        <w:rPr>
          <w:rStyle w:val="FootnoteReference"/>
          <w:rFonts w:eastAsia="Calibri"/>
          <w:rtl/>
        </w:rPr>
        <w:footnoteReference w:id="4"/>
      </w:r>
    </w:p>
    <w:p w14:paraId="365B1F9E" w14:textId="580A4385" w:rsidR="00C76BBE" w:rsidRPr="005C4996" w:rsidRDefault="00C76BBE" w:rsidP="00C76BBE">
      <w:pPr>
        <w:ind w:left="720"/>
        <w:rPr>
          <w:rtl/>
        </w:rPr>
      </w:pPr>
      <w:r>
        <w:rPr>
          <w:rFonts w:hint="cs"/>
          <w:rtl/>
        </w:rPr>
        <w:t xml:space="preserve">ז. </w:t>
      </w:r>
      <w:r w:rsidRPr="005C4996">
        <w:rPr>
          <w:rtl/>
        </w:rPr>
        <w:t>נכנסו ללא קידוש יד</w:t>
      </w:r>
      <w:r>
        <w:rPr>
          <w:rFonts w:hint="cs"/>
          <w:rtl/>
        </w:rPr>
        <w:t>י</w:t>
      </w:r>
      <w:r w:rsidRPr="005C4996">
        <w:rPr>
          <w:rtl/>
        </w:rPr>
        <w:t>ים ורגלי</w:t>
      </w:r>
      <w:r>
        <w:rPr>
          <w:rFonts w:hint="cs"/>
          <w:rtl/>
        </w:rPr>
        <w:t>י</w:t>
      </w:r>
      <w:r w:rsidRPr="005C4996">
        <w:rPr>
          <w:rtl/>
        </w:rPr>
        <w:t>ם.</w:t>
      </w:r>
      <w:r w:rsidRPr="005C4996">
        <w:rPr>
          <w:rStyle w:val="FootnoteReference"/>
          <w:rFonts w:eastAsia="Calibri"/>
          <w:rtl/>
        </w:rPr>
        <w:footnoteReference w:id="5"/>
      </w:r>
    </w:p>
    <w:p w14:paraId="60D8B435" w14:textId="1CCD3855" w:rsidR="00C76BBE" w:rsidRPr="005C4996" w:rsidRDefault="00C76BBE" w:rsidP="00C76BBE">
      <w:pPr>
        <w:ind w:left="720"/>
        <w:rPr>
          <w:rtl/>
        </w:rPr>
      </w:pPr>
      <w:r>
        <w:rPr>
          <w:rFonts w:hint="cs"/>
          <w:rtl/>
        </w:rPr>
        <w:t xml:space="preserve">ח. </w:t>
      </w:r>
      <w:r w:rsidRPr="005C4996">
        <w:rPr>
          <w:rtl/>
        </w:rPr>
        <w:t>נכנסו פרועי ראש.</w:t>
      </w:r>
      <w:r w:rsidRPr="005C4996">
        <w:rPr>
          <w:rStyle w:val="FootnoteReference"/>
          <w:rFonts w:eastAsia="Calibri"/>
          <w:rtl/>
        </w:rPr>
        <w:footnoteReference w:id="6"/>
      </w:r>
    </w:p>
    <w:p w14:paraId="74863DDA" w14:textId="07F6E7C1" w:rsidR="00C76BBE" w:rsidRPr="005C4996" w:rsidRDefault="00C76BBE" w:rsidP="00C76BBE">
      <w:pPr>
        <w:ind w:left="720"/>
        <w:rPr>
          <w:rtl/>
        </w:rPr>
      </w:pPr>
      <w:r>
        <w:rPr>
          <w:rFonts w:hint="cs"/>
          <w:rtl/>
        </w:rPr>
        <w:t xml:space="preserve">ט. </w:t>
      </w:r>
      <w:r w:rsidRPr="005C4996">
        <w:rPr>
          <w:rtl/>
        </w:rPr>
        <w:t>הורו הלכה בפני משה רבן.</w:t>
      </w:r>
      <w:r w:rsidRPr="005C4996">
        <w:rPr>
          <w:rStyle w:val="FootnoteReference"/>
          <w:rFonts w:eastAsia="Calibri"/>
          <w:rtl/>
        </w:rPr>
        <w:footnoteReference w:id="7"/>
      </w:r>
    </w:p>
    <w:p w14:paraId="5CFFC3E9" w14:textId="2625868B" w:rsidR="00C76BBE" w:rsidRPr="005C4996" w:rsidRDefault="00C76BBE" w:rsidP="00C76BBE">
      <w:pPr>
        <w:ind w:left="720"/>
        <w:rPr>
          <w:rtl/>
        </w:rPr>
      </w:pPr>
      <w:r>
        <w:rPr>
          <w:rFonts w:hint="cs"/>
          <w:rtl/>
        </w:rPr>
        <w:t xml:space="preserve">י. </w:t>
      </w:r>
      <w:r w:rsidRPr="005C4996">
        <w:rPr>
          <w:rtl/>
        </w:rPr>
        <w:t>לא היו להם בנים, או שלא היו להם נשים.</w:t>
      </w:r>
      <w:r w:rsidRPr="005C4996">
        <w:rPr>
          <w:rStyle w:val="FootnoteReference"/>
          <w:rFonts w:eastAsia="Calibri"/>
          <w:rtl/>
        </w:rPr>
        <w:footnoteReference w:id="8"/>
      </w:r>
    </w:p>
    <w:p w14:paraId="5B0BBB40" w14:textId="08A75B84" w:rsidR="00C76BBE" w:rsidRPr="005C4996" w:rsidRDefault="00C76BBE" w:rsidP="00C76BBE">
      <w:pPr>
        <w:ind w:left="720"/>
        <w:rPr>
          <w:rtl/>
        </w:rPr>
      </w:pPr>
      <w:r>
        <w:rPr>
          <w:rFonts w:hint="cs"/>
          <w:rtl/>
        </w:rPr>
        <w:t xml:space="preserve">יא. </w:t>
      </w:r>
      <w:r w:rsidRPr="005C4996">
        <w:rPr>
          <w:rtl/>
        </w:rPr>
        <w:t>מתו בחטא אביהם (על שעשה את העגל).</w:t>
      </w:r>
      <w:r w:rsidRPr="005C4996">
        <w:rPr>
          <w:rStyle w:val="FootnoteReference"/>
          <w:rFonts w:eastAsia="Calibri"/>
          <w:rtl/>
        </w:rPr>
        <w:footnoteReference w:id="9"/>
      </w:r>
    </w:p>
    <w:p w14:paraId="6C1B7EE2" w14:textId="77777777" w:rsidR="00C76BBE" w:rsidRDefault="00C76BBE" w:rsidP="00C76BBE">
      <w:pPr>
        <w:rPr>
          <w:rtl/>
        </w:rPr>
      </w:pPr>
      <w:r w:rsidRPr="005C4996">
        <w:rPr>
          <w:rtl/>
        </w:rPr>
        <w:t xml:space="preserve">מבין השיטות שמנינו ישנן הנסמכות על פירושי הכתובים או </w:t>
      </w:r>
      <w:r>
        <w:rPr>
          <w:rtl/>
        </w:rPr>
        <w:t xml:space="preserve">על סמיכות </w:t>
      </w:r>
      <w:r w:rsidRPr="005C4996">
        <w:rPr>
          <w:rtl/>
        </w:rPr>
        <w:t>פרשיות, ויש</w:t>
      </w:r>
      <w:r>
        <w:rPr>
          <w:rFonts w:hint="cs"/>
          <w:rtl/>
        </w:rPr>
        <w:t xml:space="preserve"> אחרות ש</w:t>
      </w:r>
      <w:r w:rsidRPr="005C4996">
        <w:rPr>
          <w:rtl/>
        </w:rPr>
        <w:t xml:space="preserve">מתעלמות </w:t>
      </w:r>
      <w:r>
        <w:rPr>
          <w:rFonts w:hint="cs"/>
          <w:rtl/>
        </w:rPr>
        <w:t xml:space="preserve">מלשון הכתוב </w:t>
      </w:r>
      <w:r w:rsidRPr="005C4996">
        <w:rPr>
          <w:rtl/>
        </w:rPr>
        <w:t>ומוצאות את פשר החטא באופיים או במעשיהם של נדב ו</w:t>
      </w:r>
      <w:r>
        <w:rPr>
          <w:rtl/>
        </w:rPr>
        <w:t>אביהוא</w:t>
      </w:r>
      <w:r w:rsidRPr="005C4996">
        <w:rPr>
          <w:rtl/>
        </w:rPr>
        <w:t xml:space="preserve">, </w:t>
      </w:r>
      <w:r>
        <w:rPr>
          <w:rFonts w:hint="cs"/>
          <w:rtl/>
        </w:rPr>
        <w:t>בלי קשר ישיר ל</w:t>
      </w:r>
      <w:r w:rsidRPr="005C4996">
        <w:rPr>
          <w:rtl/>
        </w:rPr>
        <w:t xml:space="preserve">יום השמיני. סביר להניח שלא כל השיטות שהוזכרו מתיימרות לפרש את החטא כפי שעולה מפשוטם של מקראות, ובהחלט ייתכן </w:t>
      </w:r>
      <w:r>
        <w:rPr>
          <w:rFonts w:hint="cs"/>
          <w:rtl/>
        </w:rPr>
        <w:t>ש</w:t>
      </w:r>
      <w:r w:rsidRPr="005C4996">
        <w:rPr>
          <w:rtl/>
        </w:rPr>
        <w:t>חלק</w:t>
      </w:r>
      <w:r>
        <w:rPr>
          <w:rFonts w:hint="cs"/>
          <w:rtl/>
        </w:rPr>
        <w:t xml:space="preserve">ן </w:t>
      </w:r>
      <w:r w:rsidRPr="005C4996">
        <w:rPr>
          <w:rtl/>
        </w:rPr>
        <w:t xml:space="preserve">נאמרו מתוך </w:t>
      </w:r>
      <w:r>
        <w:rPr>
          <w:rFonts w:hint="cs"/>
          <w:rtl/>
        </w:rPr>
        <w:t>מוטיבציה ח</w:t>
      </w:r>
      <w:r w:rsidRPr="005C4996">
        <w:rPr>
          <w:rtl/>
        </w:rPr>
        <w:t>ינוכית, ולאו דווקא מתוך מגמ</w:t>
      </w:r>
      <w:r>
        <w:rPr>
          <w:rFonts w:hint="cs"/>
          <w:rtl/>
        </w:rPr>
        <w:t>ה</w:t>
      </w:r>
      <w:r>
        <w:rPr>
          <w:rtl/>
        </w:rPr>
        <w:t xml:space="preserve"> פרשני</w:t>
      </w:r>
      <w:r w:rsidRPr="005C4996">
        <w:rPr>
          <w:rtl/>
        </w:rPr>
        <w:t>ת.</w:t>
      </w:r>
      <w:r>
        <w:rPr>
          <w:rStyle w:val="FootnoteReference"/>
          <w:rFonts w:eastAsia="Calibri"/>
          <w:rtl/>
        </w:rPr>
        <w:footnoteReference w:id="10"/>
      </w:r>
      <w:r w:rsidRPr="005C4996">
        <w:rPr>
          <w:rtl/>
        </w:rPr>
        <w:t xml:space="preserve"> אולם, אין זה מקרה כי חטא זה סובל על שכמו פירושים כה רבים (ול</w:t>
      </w:r>
      <w:r>
        <w:rPr>
          <w:rFonts w:hint="cs"/>
          <w:rtl/>
        </w:rPr>
        <w:t>עיל הוזכרו השיטות שהוצעו בקרב התנאים</w:t>
      </w:r>
      <w:r w:rsidRPr="005C4996">
        <w:rPr>
          <w:rtl/>
        </w:rPr>
        <w:t xml:space="preserve"> בלבד!)</w:t>
      </w:r>
      <w:r>
        <w:rPr>
          <w:rFonts w:hint="cs"/>
          <w:rtl/>
        </w:rPr>
        <w:t>;</w:t>
      </w:r>
      <w:r w:rsidRPr="005C4996">
        <w:rPr>
          <w:rtl/>
        </w:rPr>
        <w:t xml:space="preserve"> הכתוב</w:t>
      </w:r>
      <w:r>
        <w:rPr>
          <w:rFonts w:hint="cs"/>
          <w:rtl/>
        </w:rPr>
        <w:t>, כאמור, מקצר בדברים</w:t>
      </w:r>
      <w:r w:rsidRPr="005C4996">
        <w:rPr>
          <w:rtl/>
        </w:rPr>
        <w:t>,</w:t>
      </w:r>
      <w:r>
        <w:rPr>
          <w:rFonts w:hint="cs"/>
          <w:rtl/>
        </w:rPr>
        <w:t xml:space="preserve"> ורב הסתום על המפורש. חוסר הבהירות שבכתוב אף הביאה לפרשנויות (קבליות בעיקר) שוויתרו על חיפוש החטא, ואדרבה: ראו את שריפתם על המזבח כאיחוד מיסטי עם האל ושיבחו את המדרגה הגבוהה שהגיעו אליה.</w:t>
      </w:r>
      <w:r>
        <w:rPr>
          <w:rStyle w:val="FootnoteReference"/>
          <w:rFonts w:eastAsia="Calibri"/>
          <w:rtl/>
        </w:rPr>
        <w:footnoteReference w:id="11"/>
      </w:r>
    </w:p>
    <w:p w14:paraId="75DF8EDF" w14:textId="77777777" w:rsidR="00C76BBE" w:rsidRPr="005C4996" w:rsidRDefault="00C76BBE" w:rsidP="00C76BBE">
      <w:pPr>
        <w:rPr>
          <w:rtl/>
        </w:rPr>
      </w:pPr>
      <w:r>
        <w:rPr>
          <w:rFonts w:hint="cs"/>
          <w:rtl/>
        </w:rPr>
        <w:t xml:space="preserve">סיפור זה הוא אחד מהמקרים שריבוי הפירושים מעלה את החשד שמא המקרא במכוון השאיר את חטאם נעלם, או אולי הם כלל לא חטאו ומיתתם נובעת </w:t>
      </w:r>
      <w:r>
        <w:rPr>
          <w:rFonts w:hint="cs"/>
          <w:rtl/>
        </w:rPr>
        <w:lastRenderedPageBreak/>
        <w:t>מתכלית אחרת.</w:t>
      </w:r>
      <w:r>
        <w:rPr>
          <w:rStyle w:val="FootnoteReference"/>
          <w:rFonts w:eastAsia="Calibri"/>
          <w:rtl/>
        </w:rPr>
        <w:footnoteReference w:id="12"/>
      </w:r>
      <w:r>
        <w:rPr>
          <w:rFonts w:hint="cs"/>
          <w:rtl/>
        </w:rPr>
        <w:t xml:space="preserve"> אך, במקרים אלו עולה גם האפשרות שהחטא ברור למדי, אך לשם חשיפתו יש להפנות את המבט למקום אחר מזה שעיני כל מחפשים בו.</w:t>
      </w:r>
    </w:p>
    <w:p w14:paraId="1C78FB13" w14:textId="65AB0010" w:rsidR="00C76BBE" w:rsidRDefault="00C76BBE" w:rsidP="00C92867">
      <w:pPr>
        <w:tabs>
          <w:tab w:val="clear" w:pos="4620"/>
        </w:tabs>
        <w:rPr>
          <w:rtl/>
        </w:rPr>
      </w:pPr>
      <w:r>
        <w:rPr>
          <w:rFonts w:hint="cs"/>
          <w:rtl/>
        </w:rPr>
        <w:t>יש שני מוקדים בכתוב שדרכם אפשר לבחון את חטאם: תיאור מעשיהם שהוביל לשריפתם, ודברי משה ל</w:t>
      </w:r>
      <w:r w:rsidR="0089310B">
        <w:rPr>
          <w:rFonts w:hint="cs"/>
          <w:rtl/>
        </w:rPr>
        <w:t>אהרן</w:t>
      </w:r>
      <w:r>
        <w:rPr>
          <w:rFonts w:hint="cs"/>
          <w:rtl/>
        </w:rPr>
        <w:t xml:space="preserve"> שנאמר מיד לאחר שריפתם. דומה ששילוב שני מוקדים אלו חושף את חטאם, הקשור בטבורו לתכלית היום השמיני. בשיעור הנוכחי נדון במוקד הראשון.</w:t>
      </w:r>
    </w:p>
    <w:p w14:paraId="6844B754" w14:textId="77777777" w:rsidR="00C76BBE" w:rsidRPr="005C4996" w:rsidRDefault="00C76BBE" w:rsidP="00C76BBE">
      <w:pPr>
        <w:rPr>
          <w:rtl/>
        </w:rPr>
      </w:pPr>
    </w:p>
    <w:p w14:paraId="2F3A10E5" w14:textId="77777777" w:rsidR="00C76BBE" w:rsidRPr="00DF355A" w:rsidRDefault="00C76BBE" w:rsidP="0089310B">
      <w:pPr>
        <w:pStyle w:val="Heading2"/>
        <w:rPr>
          <w:rtl/>
        </w:rPr>
      </w:pPr>
      <w:r w:rsidRPr="00DF355A">
        <w:rPr>
          <w:rFonts w:hint="cs"/>
          <w:rtl/>
        </w:rPr>
        <w:t>מעשה נדב ו</w:t>
      </w:r>
      <w:r>
        <w:rPr>
          <w:rFonts w:hint="cs"/>
          <w:rtl/>
        </w:rPr>
        <w:t>אביהוא ושריפתם</w:t>
      </w:r>
    </w:p>
    <w:p w14:paraId="61A6F2F0" w14:textId="77777777" w:rsidR="00C76BBE" w:rsidRDefault="00C76BBE" w:rsidP="0089310B">
      <w:pPr>
        <w:ind w:left="720"/>
        <w:rPr>
          <w:rtl/>
        </w:rPr>
      </w:pPr>
      <w:r>
        <w:rPr>
          <w:rFonts w:hint="cs"/>
          <w:rtl/>
        </w:rPr>
        <w:t>"</w:t>
      </w:r>
      <w:proofErr w:type="spellStart"/>
      <w:r>
        <w:rPr>
          <w:rtl/>
        </w:rPr>
        <w:t>וַיִּקְחו</w:t>
      </w:r>
      <w:proofErr w:type="spellEnd"/>
      <w:r>
        <w:rPr>
          <w:rtl/>
        </w:rPr>
        <w:t xml:space="preserve">ּ בְנֵי אַהֲרֹן נָדָב וַאֲבִיהוּא אִישׁ מַחְתָּתוֹ </w:t>
      </w:r>
    </w:p>
    <w:p w14:paraId="5CC2C18B" w14:textId="77777777" w:rsidR="00C76BBE" w:rsidRDefault="00C76BBE" w:rsidP="0089310B">
      <w:pPr>
        <w:ind w:left="720"/>
        <w:rPr>
          <w:rtl/>
        </w:rPr>
      </w:pPr>
      <w:r>
        <w:rPr>
          <w:rtl/>
        </w:rPr>
        <w:t xml:space="preserve">וַיִּתְּנוּ בָהֵן אֵשׁ וַיָּשִׂימוּ עָלֶיהָ </w:t>
      </w:r>
      <w:proofErr w:type="spellStart"/>
      <w:r>
        <w:rPr>
          <w:rtl/>
        </w:rPr>
        <w:t>קְטֹרֶת</w:t>
      </w:r>
      <w:proofErr w:type="spellEnd"/>
      <w:r>
        <w:rPr>
          <w:rtl/>
        </w:rPr>
        <w:t xml:space="preserve"> </w:t>
      </w:r>
    </w:p>
    <w:p w14:paraId="3687E1F7" w14:textId="77777777" w:rsidR="00C76BBE" w:rsidRDefault="00C76BBE" w:rsidP="0089310B">
      <w:pPr>
        <w:ind w:left="720"/>
        <w:rPr>
          <w:rtl/>
        </w:rPr>
      </w:pPr>
      <w:r>
        <w:rPr>
          <w:rtl/>
        </w:rPr>
        <w:t xml:space="preserve">וַיַּקְרִיבוּ לִפְנֵי </w:t>
      </w:r>
      <w:r>
        <w:rPr>
          <w:rFonts w:hint="cs"/>
          <w:rtl/>
        </w:rPr>
        <w:t>ה'</w:t>
      </w:r>
      <w:r>
        <w:rPr>
          <w:rtl/>
        </w:rPr>
        <w:t xml:space="preserve"> אֵשׁ זָרָה אֲשֶׁר לֹא </w:t>
      </w:r>
      <w:proofErr w:type="spellStart"/>
      <w:r>
        <w:rPr>
          <w:rtl/>
        </w:rPr>
        <w:t>צִוָּה</w:t>
      </w:r>
      <w:proofErr w:type="spellEnd"/>
      <w:r>
        <w:rPr>
          <w:rtl/>
        </w:rPr>
        <w:t xml:space="preserve"> אֹתָם</w:t>
      </w:r>
      <w:r>
        <w:rPr>
          <w:rFonts w:hint="cs"/>
          <w:rtl/>
        </w:rPr>
        <w:t>.</w:t>
      </w:r>
    </w:p>
    <w:p w14:paraId="15F48CDC" w14:textId="2E1FFE1A" w:rsidR="00C76BBE" w:rsidRDefault="00C76BBE" w:rsidP="0089310B">
      <w:pPr>
        <w:ind w:left="720"/>
        <w:rPr>
          <w:rtl/>
        </w:rPr>
      </w:pPr>
      <w:r>
        <w:rPr>
          <w:rtl/>
        </w:rPr>
        <w:t xml:space="preserve">וַתֵּצֵא אֵשׁ מִלִּפְנֵי </w:t>
      </w:r>
      <w:r>
        <w:rPr>
          <w:rFonts w:hint="cs"/>
          <w:rtl/>
        </w:rPr>
        <w:t>ה'</w:t>
      </w:r>
      <w:r>
        <w:rPr>
          <w:rtl/>
        </w:rPr>
        <w:t xml:space="preserve"> וַתֹּאכַל אוֹתָם וַיָּמֻתוּ לִפְנֵי </w:t>
      </w:r>
      <w:r>
        <w:rPr>
          <w:rFonts w:hint="cs"/>
          <w:rtl/>
        </w:rPr>
        <w:t xml:space="preserve">ה'" </w:t>
      </w:r>
      <w:r w:rsidR="0089310B">
        <w:rPr>
          <w:rtl/>
        </w:rPr>
        <w:tab/>
      </w:r>
      <w:r w:rsidRPr="0089310B">
        <w:rPr>
          <w:rFonts w:hint="cs"/>
          <w:sz w:val="20"/>
          <w:szCs w:val="20"/>
          <w:rtl/>
        </w:rPr>
        <w:t>(י', א-ב)</w:t>
      </w:r>
      <w:r>
        <w:rPr>
          <w:rFonts w:hint="cs"/>
          <w:rtl/>
        </w:rPr>
        <w:t>.</w:t>
      </w:r>
    </w:p>
    <w:p w14:paraId="61CC9C60" w14:textId="1C640091" w:rsidR="00C76BBE" w:rsidRDefault="00C76BBE" w:rsidP="0089310B">
      <w:pPr>
        <w:rPr>
          <w:rtl/>
        </w:rPr>
      </w:pPr>
      <w:r>
        <w:rPr>
          <w:rFonts w:hint="cs"/>
          <w:rtl/>
        </w:rPr>
        <w:t xml:space="preserve">פרשנות </w:t>
      </w:r>
      <w:proofErr w:type="spellStart"/>
      <w:r>
        <w:rPr>
          <w:rFonts w:hint="cs"/>
          <w:rtl/>
        </w:rPr>
        <w:t>רשב"ם</w:t>
      </w:r>
      <w:proofErr w:type="spellEnd"/>
      <w:r>
        <w:rPr>
          <w:rFonts w:hint="cs"/>
          <w:rtl/>
        </w:rPr>
        <w:t xml:space="preserve"> ליציאת האש שאכלה את בני אהרן מקדמת את הדיון:</w:t>
      </w:r>
    </w:p>
    <w:p w14:paraId="01980185" w14:textId="0CE3EF5F" w:rsidR="00C76BBE" w:rsidRPr="005C4996" w:rsidRDefault="00C76BBE" w:rsidP="0089310B">
      <w:pPr>
        <w:ind w:left="720"/>
        <w:rPr>
          <w:rtl/>
        </w:rPr>
      </w:pPr>
      <w:r>
        <w:rPr>
          <w:rFonts w:hint="cs"/>
          <w:rtl/>
        </w:rPr>
        <w:t>"</w:t>
      </w:r>
      <w:r w:rsidRPr="005C4996">
        <w:rPr>
          <w:rtl/>
        </w:rPr>
        <w:t>ותצא אש מלפני יי</w:t>
      </w:r>
      <w:r>
        <w:rPr>
          <w:rFonts w:hint="cs"/>
          <w:rtl/>
        </w:rPr>
        <w:t>'</w:t>
      </w:r>
      <w:r w:rsidRPr="005C4996">
        <w:rPr>
          <w:rtl/>
        </w:rPr>
        <w:t xml:space="preserve"> ותאכל אותם </w:t>
      </w:r>
      <w:r>
        <w:rPr>
          <w:rtl/>
        </w:rPr>
        <w:t>–</w:t>
      </w:r>
      <w:r w:rsidRPr="005C4996">
        <w:rPr>
          <w:rtl/>
        </w:rPr>
        <w:t xml:space="preserve"> ו</w:t>
      </w:r>
      <w:r>
        <w:rPr>
          <w:rFonts w:hint="cs"/>
          <w:rtl/>
        </w:rPr>
        <w:t>ה</w:t>
      </w:r>
      <w:r w:rsidRPr="005C4996">
        <w:rPr>
          <w:rtl/>
        </w:rPr>
        <w:t xml:space="preserve">וא </w:t>
      </w:r>
      <w:r>
        <w:rPr>
          <w:rFonts w:hint="cs"/>
          <w:rtl/>
        </w:rPr>
        <w:t>'</w:t>
      </w:r>
      <w:r w:rsidRPr="005C4996">
        <w:rPr>
          <w:rtl/>
        </w:rPr>
        <w:t>ותצא אש</w:t>
      </w:r>
      <w:r>
        <w:rPr>
          <w:rFonts w:hint="cs"/>
          <w:rtl/>
        </w:rPr>
        <w:t>'</w:t>
      </w:r>
      <w:r w:rsidRPr="005C4996">
        <w:rPr>
          <w:rtl/>
        </w:rPr>
        <w:t xml:space="preserve"> של פסוק ראשון.</w:t>
      </w:r>
      <w:r>
        <w:rPr>
          <w:rFonts w:hint="cs"/>
          <w:rtl/>
        </w:rPr>
        <w:t>..</w:t>
      </w:r>
      <w:r w:rsidRPr="005C4996">
        <w:rPr>
          <w:rtl/>
        </w:rPr>
        <w:t xml:space="preserve"> אף כאן שני הפסוקים אחד הם</w:t>
      </w:r>
      <w:r>
        <w:rPr>
          <w:rFonts w:hint="cs"/>
          <w:rtl/>
        </w:rPr>
        <w:t>:</w:t>
      </w:r>
      <w:r w:rsidRPr="005C4996">
        <w:rPr>
          <w:rtl/>
        </w:rPr>
        <w:t xml:space="preserve"> כשיצא האש ותאכל [את העולה] ואת השלמים</w:t>
      </w:r>
      <w:r>
        <w:rPr>
          <w:rFonts w:hint="cs"/>
          <w:rtl/>
        </w:rPr>
        <w:t xml:space="preserve"> </w:t>
      </w:r>
      <w:r w:rsidRPr="005C4996">
        <w:rPr>
          <w:rtl/>
        </w:rPr>
        <w:t xml:space="preserve">של מזבח החיצון </w:t>
      </w:r>
      <w:r>
        <w:rPr>
          <w:rtl/>
        </w:rPr>
        <w:t>–</w:t>
      </w:r>
      <w:r>
        <w:rPr>
          <w:rFonts w:hint="cs"/>
          <w:rtl/>
        </w:rPr>
        <w:t xml:space="preserve"> </w:t>
      </w:r>
      <w:r w:rsidRPr="005C4996">
        <w:rPr>
          <w:rtl/>
        </w:rPr>
        <w:t>כשלקחו בני אהרן והקריבו אש זרה על המזבח הפנימי</w:t>
      </w:r>
      <w:r>
        <w:rPr>
          <w:rFonts w:hint="cs"/>
          <w:rtl/>
        </w:rPr>
        <w:t xml:space="preserve"> </w:t>
      </w:r>
      <w:r>
        <w:rPr>
          <w:rtl/>
        </w:rPr>
        <w:t>–</w:t>
      </w:r>
      <w:r w:rsidRPr="005C4996">
        <w:rPr>
          <w:rtl/>
        </w:rPr>
        <w:t xml:space="preserve"> ותצא אש מלפני </w:t>
      </w:r>
      <w:r>
        <w:rPr>
          <w:rtl/>
        </w:rPr>
        <w:t>י</w:t>
      </w:r>
      <w:r w:rsidRPr="005C4996">
        <w:rPr>
          <w:rtl/>
        </w:rPr>
        <w:t>י</w:t>
      </w:r>
      <w:r>
        <w:rPr>
          <w:rFonts w:hint="cs"/>
          <w:rtl/>
        </w:rPr>
        <w:t>'</w:t>
      </w:r>
      <w:r w:rsidRPr="005C4996">
        <w:rPr>
          <w:rtl/>
        </w:rPr>
        <w:t xml:space="preserve"> להקטיר קטורת לפנים תחילה</w:t>
      </w:r>
      <w:r>
        <w:rPr>
          <w:rFonts w:hint="cs"/>
          <w:rtl/>
        </w:rPr>
        <w:t>,</w:t>
      </w:r>
      <w:r>
        <w:rPr>
          <w:rtl/>
        </w:rPr>
        <w:t xml:space="preserve"> ופגעה </w:t>
      </w:r>
      <w:r>
        <w:rPr>
          <w:rFonts w:hint="cs"/>
          <w:rtl/>
        </w:rPr>
        <w:t>ב</w:t>
      </w:r>
      <w:r w:rsidRPr="005C4996">
        <w:rPr>
          <w:rtl/>
        </w:rPr>
        <w:t>בני אהרן שם ומתו</w:t>
      </w:r>
      <w:r>
        <w:rPr>
          <w:rFonts w:hint="cs"/>
          <w:rtl/>
        </w:rPr>
        <w:t>,</w:t>
      </w:r>
      <w:r w:rsidRPr="005C4996">
        <w:rPr>
          <w:rtl/>
        </w:rPr>
        <w:t xml:space="preserve"> ואחר כך יצאה משם ובאה על מזבח החיצון ותאכל את העולה</w:t>
      </w:r>
      <w:r>
        <w:rPr>
          <w:rFonts w:hint="cs"/>
          <w:rtl/>
        </w:rPr>
        <w:t xml:space="preserve">" </w:t>
      </w:r>
      <w:r w:rsidR="0089310B">
        <w:rPr>
          <w:rtl/>
        </w:rPr>
        <w:tab/>
      </w:r>
      <w:r w:rsidRPr="0089310B">
        <w:rPr>
          <w:rFonts w:hint="cs"/>
          <w:sz w:val="20"/>
          <w:szCs w:val="20"/>
          <w:rtl/>
        </w:rPr>
        <w:t xml:space="preserve">(פירושו </w:t>
      </w:r>
      <w:proofErr w:type="spellStart"/>
      <w:r w:rsidRPr="0089310B">
        <w:rPr>
          <w:rFonts w:hint="cs"/>
          <w:sz w:val="20"/>
          <w:szCs w:val="20"/>
          <w:rtl/>
        </w:rPr>
        <w:t>לויקרא</w:t>
      </w:r>
      <w:proofErr w:type="spellEnd"/>
      <w:r w:rsidRPr="0089310B">
        <w:rPr>
          <w:rFonts w:hint="cs"/>
          <w:sz w:val="20"/>
          <w:szCs w:val="20"/>
          <w:rtl/>
        </w:rPr>
        <w:t xml:space="preserve"> י', א)</w:t>
      </w:r>
      <w:r>
        <w:rPr>
          <w:rFonts w:hint="cs"/>
          <w:rtl/>
        </w:rPr>
        <w:t>.</w:t>
      </w:r>
    </w:p>
    <w:p w14:paraId="3F7EFB59" w14:textId="33668914" w:rsidR="00C76BBE" w:rsidRDefault="00C76BBE" w:rsidP="00C76BBE">
      <w:pPr>
        <w:rPr>
          <w:rtl/>
        </w:rPr>
      </w:pPr>
      <w:proofErr w:type="spellStart"/>
      <w:r w:rsidRPr="005C4996">
        <w:rPr>
          <w:rFonts w:hint="cs"/>
          <w:rtl/>
        </w:rPr>
        <w:t>רשב"ם</w:t>
      </w:r>
      <w:proofErr w:type="spellEnd"/>
      <w:r w:rsidRPr="005C4996">
        <w:rPr>
          <w:rFonts w:hint="cs"/>
          <w:rtl/>
        </w:rPr>
        <w:t xml:space="preserve"> </w:t>
      </w:r>
      <w:r>
        <w:rPr>
          <w:rFonts w:hint="cs"/>
          <w:rtl/>
        </w:rPr>
        <w:t xml:space="preserve">שם לב לזיקה שבין יציאת האש שתוארה בסוף פרק ט' שאכלה את הקורבנות </w:t>
      </w:r>
      <w:r>
        <w:rPr>
          <w:rtl/>
        </w:rPr>
        <w:t>–</w:t>
      </w:r>
      <w:r>
        <w:rPr>
          <w:rFonts w:hint="cs"/>
          <w:rtl/>
        </w:rPr>
        <w:t xml:space="preserve"> "</w:t>
      </w:r>
      <w:r>
        <w:rPr>
          <w:rtl/>
        </w:rPr>
        <w:t xml:space="preserve">וַתֵּצֵא אֵשׁ מִלִּפְנֵי </w:t>
      </w:r>
      <w:r>
        <w:rPr>
          <w:rFonts w:hint="cs"/>
          <w:rtl/>
        </w:rPr>
        <w:t>ה'</w:t>
      </w:r>
      <w:r>
        <w:rPr>
          <w:rtl/>
        </w:rPr>
        <w:t xml:space="preserve"> וַתֹּאכַל עַל הַמִּזְבֵּחַ אֶת הָעֹלָה וְאֶת </w:t>
      </w:r>
      <w:proofErr w:type="spellStart"/>
      <w:r>
        <w:rPr>
          <w:rtl/>
        </w:rPr>
        <w:t>הַחֲלָבִים</w:t>
      </w:r>
      <w:proofErr w:type="spellEnd"/>
      <w:r>
        <w:rPr>
          <w:rFonts w:hint="cs"/>
          <w:rtl/>
        </w:rPr>
        <w:t xml:space="preserve">" </w:t>
      </w:r>
      <w:r w:rsidRPr="0089310B">
        <w:rPr>
          <w:rFonts w:hint="cs"/>
          <w:sz w:val="20"/>
          <w:szCs w:val="20"/>
          <w:rtl/>
        </w:rPr>
        <w:t>(ט', כד)</w:t>
      </w:r>
      <w:r>
        <w:rPr>
          <w:rFonts w:hint="cs"/>
          <w:rtl/>
        </w:rPr>
        <w:t xml:space="preserve">, לבין תיאור יציאת האש שאכלה את בני </w:t>
      </w:r>
      <w:r w:rsidR="0089310B">
        <w:rPr>
          <w:rFonts w:hint="cs"/>
          <w:rtl/>
        </w:rPr>
        <w:t>אהרן</w:t>
      </w:r>
      <w:r>
        <w:rPr>
          <w:rFonts w:hint="cs"/>
          <w:rtl/>
        </w:rPr>
        <w:t>: "</w:t>
      </w:r>
      <w:r>
        <w:rPr>
          <w:rtl/>
        </w:rPr>
        <w:t xml:space="preserve">וַתֵּצֵא אֵשׁ מִלִּפְנֵי </w:t>
      </w:r>
      <w:r>
        <w:rPr>
          <w:rFonts w:hint="cs"/>
          <w:rtl/>
        </w:rPr>
        <w:t xml:space="preserve">ה' </w:t>
      </w:r>
      <w:r>
        <w:rPr>
          <w:rtl/>
        </w:rPr>
        <w:t>וַתֹּאכַל אוֹתָם</w:t>
      </w:r>
      <w:r>
        <w:rPr>
          <w:rFonts w:hint="cs"/>
          <w:rtl/>
        </w:rPr>
        <w:t xml:space="preserve">" </w:t>
      </w:r>
      <w:r w:rsidRPr="000F5DCC">
        <w:rPr>
          <w:rFonts w:hint="cs"/>
          <w:sz w:val="20"/>
          <w:szCs w:val="20"/>
          <w:rtl/>
        </w:rPr>
        <w:t>(י', ב)</w:t>
      </w:r>
      <w:r>
        <w:rPr>
          <w:rFonts w:hint="cs"/>
          <w:rtl/>
        </w:rPr>
        <w:t xml:space="preserve">. לדעתו, אין מדובר בשתי יציאות שונות של אש אוכלת, אלא מדובר באותה אש עצמה </w:t>
      </w:r>
      <w:r>
        <w:rPr>
          <w:rtl/>
        </w:rPr>
        <w:t>–</w:t>
      </w:r>
      <w:r>
        <w:rPr>
          <w:rFonts w:hint="cs"/>
          <w:rtl/>
        </w:rPr>
        <w:t xml:space="preserve"> בדרכה לאכול את הקורבנות שרפה את נדב ואביהוא. אכן, זו דרכו של הסגנון המקראי </w:t>
      </w:r>
      <w:r>
        <w:rPr>
          <w:rtl/>
        </w:rPr>
        <w:t>–</w:t>
      </w:r>
      <w:r>
        <w:rPr>
          <w:rFonts w:hint="cs"/>
          <w:rtl/>
        </w:rPr>
        <w:t xml:space="preserve"> שלא להפסיק בתיאור דבר מה ורק לאחר סיום הדיווח עליו לשוב אל דברים שאירעו תוך כדי הסצנה המתוארת. כלומר, עוד לפני יציאת האש שאכלה את הקורבנות על המזבח, הקריבו נדב ואביהוא אש זרה אשר לא ציווה אותם, אלא שהכתוב מתאר תחילה את הופעת כבוד ה' לעיני כל ישראל, ואז חוזר ומתאר, שאותה האש עצמה שהתגלתה על המזבח היא ששרפה את נדב ואביהוא. </w:t>
      </w:r>
    </w:p>
    <w:p w14:paraId="057D495F" w14:textId="77777777" w:rsidR="00C76BBE" w:rsidRDefault="00C76BBE" w:rsidP="00C76BBE">
      <w:pPr>
        <w:rPr>
          <w:rtl/>
        </w:rPr>
      </w:pPr>
      <w:r>
        <w:rPr>
          <w:rtl/>
        </w:rPr>
        <w:lastRenderedPageBreak/>
        <w:tab/>
      </w:r>
      <w:r>
        <w:rPr>
          <w:rFonts w:hint="cs"/>
          <w:rtl/>
        </w:rPr>
        <w:t xml:space="preserve">אינני משוכנע שיש לאמץ את דעתו של </w:t>
      </w:r>
      <w:proofErr w:type="spellStart"/>
      <w:r>
        <w:rPr>
          <w:rFonts w:hint="cs"/>
          <w:rtl/>
        </w:rPr>
        <w:t>רשב"ם</w:t>
      </w:r>
      <w:proofErr w:type="spellEnd"/>
      <w:r>
        <w:rPr>
          <w:rFonts w:hint="cs"/>
          <w:rtl/>
        </w:rPr>
        <w:t xml:space="preserve"> (</w:t>
      </w:r>
      <w:proofErr w:type="spellStart"/>
      <w:r>
        <w:rPr>
          <w:rFonts w:hint="cs"/>
          <w:rtl/>
        </w:rPr>
        <w:t>וספורנו</w:t>
      </w:r>
      <w:proofErr w:type="spellEnd"/>
      <w:r>
        <w:rPr>
          <w:rFonts w:hint="cs"/>
          <w:rtl/>
        </w:rPr>
        <w:t xml:space="preserve"> ונוספים) גם בנוגע לכך שנדב ואביהוא הקטירו את הקטורת במזבח הקטורת בפנים, אך קריאתו שמדובר באותה האש חשובה להבנת הסיפור: מתברר שנדב ואביהוא יצאו נגד התגלות זו, והאש הפורצת שביקשה להתגלות התגברה על אלו שניסו למנוע ממנה להתגלות לעין כול. </w:t>
      </w:r>
    </w:p>
    <w:p w14:paraId="32747DC1" w14:textId="77777777" w:rsidR="00C76BBE" w:rsidRDefault="00C76BBE" w:rsidP="00C76BBE">
      <w:pPr>
        <w:rPr>
          <w:rtl/>
        </w:rPr>
      </w:pPr>
      <w:r>
        <w:rPr>
          <w:rFonts w:hint="cs"/>
          <w:rtl/>
        </w:rPr>
        <w:t xml:space="preserve">לשם הבהרת מעשיהם ותכליתם יש להתמקד ביתר עיון במה שבדיוק עשו נדב ואביהוא. כפי שכבר הערתי לעיל, פרשנים רבים התמקדו באש הזרה וניסו להבין את הבעיה שבדבר. אך בהתמקדות זו הושם בקרן זווית רכיב נוסף במעשיהם שדומה שדווקא הוא העיקר. נדב ואביהוא לקחו את </w:t>
      </w:r>
      <w:proofErr w:type="spellStart"/>
      <w:r>
        <w:rPr>
          <w:rFonts w:hint="cs"/>
          <w:rtl/>
        </w:rPr>
        <w:t>מחתותיהם</w:t>
      </w:r>
      <w:proofErr w:type="spellEnd"/>
      <w:r>
        <w:rPr>
          <w:rFonts w:hint="cs"/>
          <w:rtl/>
        </w:rPr>
        <w:t>, "</w:t>
      </w:r>
      <w:r>
        <w:rPr>
          <w:rtl/>
        </w:rPr>
        <w:t xml:space="preserve">וַיִּתְּנוּ בָהֵן אֵשׁ וַיָּשִׂימוּ עָלֶיהָ </w:t>
      </w:r>
      <w:proofErr w:type="spellStart"/>
      <w:r>
        <w:rPr>
          <w:rtl/>
        </w:rPr>
        <w:t>קְטֹרֶת</w:t>
      </w:r>
      <w:proofErr w:type="spellEnd"/>
      <w:r>
        <w:rPr>
          <w:rFonts w:hint="cs"/>
          <w:rtl/>
        </w:rPr>
        <w:t>". כלומר, אין מדובר באש חשופה שאותה הביאו ונדב ואביהוא למזבח אלא באש שמבעירה קטורת.</w:t>
      </w:r>
      <w:r>
        <w:rPr>
          <w:rStyle w:val="FootnoteReference"/>
          <w:rFonts w:eastAsia="Calibri"/>
          <w:rtl/>
        </w:rPr>
        <w:footnoteReference w:id="13"/>
      </w:r>
      <w:r>
        <w:rPr>
          <w:rFonts w:hint="cs"/>
          <w:rtl/>
        </w:rPr>
        <w:t xml:space="preserve"> המחתה נדרשת במקום שבו מקטירים קטורת שלא במקומו הרגיל על מזבח הקטורת, ומתברר שגם בסיפורנו ביקשו נדב ואביהוא להעלות קטורת במקום אחר.</w:t>
      </w:r>
      <w:r>
        <w:rPr>
          <w:rStyle w:val="FootnoteReference"/>
          <w:rFonts w:eastAsia="Calibri"/>
          <w:rtl/>
        </w:rPr>
        <w:footnoteReference w:id="14"/>
      </w:r>
      <w:r>
        <w:rPr>
          <w:rFonts w:hint="cs"/>
          <w:rtl/>
        </w:rPr>
        <w:t xml:space="preserve"> היכן ומדוע? לשם בירור העניין יש לבחון תחילה את תפקיד הקטורת במשכן.</w:t>
      </w:r>
    </w:p>
    <w:p w14:paraId="3A093074" w14:textId="77777777" w:rsidR="00C76BBE" w:rsidRDefault="00C76BBE" w:rsidP="00C76BBE">
      <w:pPr>
        <w:rPr>
          <w:rtl/>
        </w:rPr>
      </w:pPr>
    </w:p>
    <w:p w14:paraId="0D9495BB" w14:textId="77777777" w:rsidR="00C76BBE" w:rsidRPr="00F02D28" w:rsidRDefault="00C76BBE" w:rsidP="000F5DCC">
      <w:pPr>
        <w:pStyle w:val="Heading2"/>
        <w:rPr>
          <w:rtl/>
        </w:rPr>
      </w:pPr>
      <w:r w:rsidRPr="00F02D28">
        <w:rPr>
          <w:rFonts w:hint="cs"/>
          <w:rtl/>
        </w:rPr>
        <w:t>קטורת ככיסוי</w:t>
      </w:r>
    </w:p>
    <w:p w14:paraId="1840D445" w14:textId="77777777" w:rsidR="00C76BBE" w:rsidRDefault="00C76BBE" w:rsidP="00C76BBE">
      <w:pPr>
        <w:rPr>
          <w:rtl/>
        </w:rPr>
      </w:pPr>
      <w:r>
        <w:rPr>
          <w:rFonts w:hint="cs"/>
          <w:rtl/>
        </w:rPr>
        <w:t xml:space="preserve">סוגיה זו מורכבת יותר ממה שאוכל להציג בשורות הבאות, אך ברצוני לתמוך בעמדה הרואה בתפקיד הקטורת כיסוי מפני התגלות השכינה. דבר זה נכון בעבודת הקטורת הרגילה אך נכון שבעתיים בעבודת יום הכיפורים שנשענת </w:t>
      </w:r>
      <w:r>
        <w:rPr>
          <w:rtl/>
        </w:rPr>
        <w:t>–</w:t>
      </w:r>
      <w:r>
        <w:rPr>
          <w:rFonts w:hint="cs"/>
          <w:rtl/>
        </w:rPr>
        <w:t xml:space="preserve"> כפי שעולה מפתיחתה </w:t>
      </w:r>
      <w:r w:rsidRPr="000C674F">
        <w:rPr>
          <w:rFonts w:hint="cs"/>
          <w:sz w:val="20"/>
          <w:szCs w:val="20"/>
          <w:rtl/>
        </w:rPr>
        <w:t>(ויקרא ט"ז, א)</w:t>
      </w:r>
      <w:r>
        <w:rPr>
          <w:rFonts w:hint="cs"/>
          <w:rtl/>
        </w:rPr>
        <w:t xml:space="preserve"> </w:t>
      </w:r>
      <w:r>
        <w:rPr>
          <w:rtl/>
        </w:rPr>
        <w:t>–</w:t>
      </w:r>
      <w:r>
        <w:rPr>
          <w:rFonts w:hint="cs"/>
          <w:rtl/>
        </w:rPr>
        <w:t xml:space="preserve"> על מעשה נדב ואביהוא.</w:t>
      </w:r>
    </w:p>
    <w:p w14:paraId="0A1C0A6D" w14:textId="77777777" w:rsidR="00C76BBE" w:rsidRDefault="00C76BBE" w:rsidP="00C76BBE">
      <w:pPr>
        <w:rPr>
          <w:rtl/>
        </w:rPr>
      </w:pPr>
      <w:r>
        <w:rPr>
          <w:rFonts w:hint="cs"/>
          <w:rtl/>
        </w:rPr>
        <w:t>תפיסה זו של הקטורת עולה כבר בסדר הציווי על בניית כלי המשכן שבשמות כ"ה-ל"א:</w:t>
      </w:r>
      <w:r>
        <w:rPr>
          <w:rStyle w:val="FootnoteReference"/>
          <w:rFonts w:eastAsia="Calibri"/>
          <w:rtl/>
        </w:rPr>
        <w:footnoteReference w:id="15"/>
      </w:r>
    </w:p>
    <w:p w14:paraId="70C8A347" w14:textId="1629C903" w:rsidR="00C76BBE" w:rsidRDefault="000F5DCC" w:rsidP="000F5DCC">
      <w:pPr>
        <w:ind w:left="720"/>
      </w:pPr>
      <w:r>
        <w:rPr>
          <w:rFonts w:hint="cs"/>
          <w:rtl/>
        </w:rPr>
        <w:t xml:space="preserve">1. </w:t>
      </w:r>
      <w:r w:rsidR="00C76BBE">
        <w:rPr>
          <w:rFonts w:hint="cs"/>
          <w:rtl/>
        </w:rPr>
        <w:t>ארון וכרובים (אשר נמצאים בקודש הקודשים)</w:t>
      </w:r>
    </w:p>
    <w:p w14:paraId="5C2CD706" w14:textId="24658F41" w:rsidR="00C76BBE" w:rsidRDefault="000F5DCC" w:rsidP="000F5DCC">
      <w:pPr>
        <w:ind w:left="720"/>
      </w:pPr>
      <w:r>
        <w:rPr>
          <w:rFonts w:hint="cs"/>
          <w:rtl/>
        </w:rPr>
        <w:t xml:space="preserve">2. </w:t>
      </w:r>
      <w:r w:rsidR="00C76BBE">
        <w:rPr>
          <w:rFonts w:hint="cs"/>
          <w:rtl/>
        </w:rPr>
        <w:t>שולחן ומנורה (אשר נמצאים בקודש)</w:t>
      </w:r>
    </w:p>
    <w:p w14:paraId="3F41E150" w14:textId="673570D3" w:rsidR="00C76BBE" w:rsidRDefault="000F5DCC" w:rsidP="000F5DCC">
      <w:pPr>
        <w:ind w:left="720"/>
      </w:pPr>
      <w:r>
        <w:rPr>
          <w:rFonts w:hint="cs"/>
          <w:rtl/>
        </w:rPr>
        <w:t xml:space="preserve">3. </w:t>
      </w:r>
      <w:r w:rsidR="00C76BBE">
        <w:rPr>
          <w:rFonts w:hint="cs"/>
          <w:rtl/>
        </w:rPr>
        <w:t>מחיצות המשכן</w:t>
      </w:r>
    </w:p>
    <w:p w14:paraId="5D6D95A0" w14:textId="0836420C" w:rsidR="00C76BBE" w:rsidRDefault="000F5DCC" w:rsidP="000F5DCC">
      <w:pPr>
        <w:ind w:left="720"/>
      </w:pPr>
      <w:r>
        <w:rPr>
          <w:rFonts w:hint="cs"/>
          <w:rtl/>
        </w:rPr>
        <w:t xml:space="preserve">4. </w:t>
      </w:r>
      <w:r w:rsidR="00C76BBE">
        <w:rPr>
          <w:rFonts w:hint="cs"/>
          <w:rtl/>
        </w:rPr>
        <w:t>מזבח העולה (אשר נמצא בחצר המשכן)</w:t>
      </w:r>
    </w:p>
    <w:p w14:paraId="5011F39D" w14:textId="24906F59" w:rsidR="00C76BBE" w:rsidRDefault="000F5DCC" w:rsidP="000F5DCC">
      <w:pPr>
        <w:ind w:left="720"/>
      </w:pPr>
      <w:r>
        <w:rPr>
          <w:rFonts w:hint="cs"/>
          <w:rtl/>
        </w:rPr>
        <w:t xml:space="preserve">5. </w:t>
      </w:r>
      <w:r w:rsidR="00C76BBE">
        <w:rPr>
          <w:rFonts w:hint="cs"/>
          <w:rtl/>
        </w:rPr>
        <w:t>מחיצות חצר המשכן</w:t>
      </w:r>
    </w:p>
    <w:p w14:paraId="5BBBBBBB" w14:textId="540C6A85" w:rsidR="00C76BBE" w:rsidRDefault="000F5DCC" w:rsidP="000F5DCC">
      <w:pPr>
        <w:ind w:left="720"/>
      </w:pPr>
      <w:r>
        <w:rPr>
          <w:rFonts w:hint="cs"/>
          <w:rtl/>
        </w:rPr>
        <w:t xml:space="preserve">6. </w:t>
      </w:r>
      <w:r w:rsidR="00C76BBE">
        <w:rPr>
          <w:rFonts w:hint="cs"/>
          <w:rtl/>
        </w:rPr>
        <w:t>ציווי על הדלקת נר תמיד ובגדי כהונה</w:t>
      </w:r>
    </w:p>
    <w:p w14:paraId="4C1DCBC6" w14:textId="7B5F4B33" w:rsidR="00C76BBE" w:rsidRDefault="000F5DCC" w:rsidP="000F5DCC">
      <w:pPr>
        <w:ind w:left="720"/>
      </w:pPr>
      <w:r>
        <w:rPr>
          <w:rFonts w:hint="cs"/>
          <w:rtl/>
        </w:rPr>
        <w:lastRenderedPageBreak/>
        <w:t xml:space="preserve">7. </w:t>
      </w:r>
      <w:r w:rsidR="00C76BBE">
        <w:rPr>
          <w:rFonts w:hint="cs"/>
          <w:rtl/>
        </w:rPr>
        <w:t>הציווי על מילוי ידי הכוהנים וקידוש המזבח</w:t>
      </w:r>
    </w:p>
    <w:p w14:paraId="2E1F58C7" w14:textId="11D4F065" w:rsidR="00C76BBE" w:rsidRDefault="000F5DCC" w:rsidP="000F5DCC">
      <w:pPr>
        <w:ind w:left="720"/>
      </w:pPr>
      <w:r>
        <w:rPr>
          <w:rFonts w:hint="cs"/>
          <w:rtl/>
        </w:rPr>
        <w:t xml:space="preserve">8. </w:t>
      </w:r>
      <w:r w:rsidR="00C76BBE">
        <w:rPr>
          <w:rFonts w:hint="cs"/>
          <w:rtl/>
        </w:rPr>
        <w:t>פסוקי חתימה: "</w:t>
      </w:r>
      <w:proofErr w:type="spellStart"/>
      <w:r w:rsidR="00C76BBE">
        <w:rPr>
          <w:rtl/>
        </w:rPr>
        <w:t>וְנֹעַדְתִּי</w:t>
      </w:r>
      <w:proofErr w:type="spellEnd"/>
      <w:r w:rsidR="00C76BBE">
        <w:rPr>
          <w:rtl/>
        </w:rPr>
        <w:t xml:space="preserve"> שָׁמָּה לִבְנֵי יִשְׂרָאֵל וְנִקְדָּשׁ בִּכְבֹדִי</w:t>
      </w:r>
      <w:r w:rsidR="00C76BBE">
        <w:rPr>
          <w:rFonts w:hint="cs"/>
          <w:rtl/>
        </w:rPr>
        <w:t xml:space="preserve">. </w:t>
      </w:r>
      <w:proofErr w:type="spellStart"/>
      <w:r w:rsidR="00C76BBE">
        <w:rPr>
          <w:rtl/>
        </w:rPr>
        <w:t>וְקִדַּשְׁתִּי</w:t>
      </w:r>
      <w:proofErr w:type="spellEnd"/>
      <w:r w:rsidR="00C76BBE">
        <w:rPr>
          <w:rtl/>
        </w:rPr>
        <w:t xml:space="preserve"> אֶת אֹהֶל מוֹעֵד וְאֶת הַמִּזְבֵּחַ וְאֶת אַהֲרֹן וְאֶת בָּנָיו אֲקַדֵּשׁ לְכַהֵן לִי</w:t>
      </w:r>
      <w:r w:rsidR="00C76BBE">
        <w:rPr>
          <w:rFonts w:hint="cs"/>
          <w:rtl/>
        </w:rPr>
        <w:t xml:space="preserve">. </w:t>
      </w:r>
      <w:r w:rsidR="00C76BBE">
        <w:rPr>
          <w:rtl/>
        </w:rPr>
        <w:t xml:space="preserve">וְשָׁכַנְתִּי בְּתוֹךְ בְּנֵי יִשְׂרָאֵל וְהָיִיתִי לָהֶם </w:t>
      </w:r>
      <w:proofErr w:type="spellStart"/>
      <w:r w:rsidR="00C76BBE">
        <w:rPr>
          <w:rtl/>
        </w:rPr>
        <w:t>לֵאלֹהִים</w:t>
      </w:r>
      <w:proofErr w:type="spellEnd"/>
      <w:r w:rsidR="00C76BBE">
        <w:rPr>
          <w:rFonts w:hint="cs"/>
          <w:rtl/>
        </w:rPr>
        <w:t xml:space="preserve">. </w:t>
      </w:r>
      <w:r w:rsidR="00C76BBE">
        <w:rPr>
          <w:rtl/>
        </w:rPr>
        <w:t xml:space="preserve">וְיָדְעוּ כִּי אֲנִי </w:t>
      </w:r>
      <w:r w:rsidR="00C76BBE">
        <w:rPr>
          <w:rFonts w:hint="cs"/>
          <w:rtl/>
        </w:rPr>
        <w:t xml:space="preserve">ה' </w:t>
      </w:r>
      <w:proofErr w:type="spellStart"/>
      <w:r w:rsidR="00C76BBE">
        <w:rPr>
          <w:rtl/>
        </w:rPr>
        <w:t>אֱלֹהֵיהֶם</w:t>
      </w:r>
      <w:proofErr w:type="spellEnd"/>
      <w:r w:rsidR="00C76BBE">
        <w:rPr>
          <w:rtl/>
        </w:rPr>
        <w:t xml:space="preserve"> אֲשֶׁר הוֹצֵאתִי אֹתָם מֵאֶרֶץ מִצְרַיִם לְשָׁכְנִי בְתוֹכָם אֲנִי </w:t>
      </w:r>
      <w:r w:rsidR="00C76BBE">
        <w:rPr>
          <w:rFonts w:hint="cs"/>
          <w:rtl/>
        </w:rPr>
        <w:t>ה'</w:t>
      </w:r>
      <w:r w:rsidR="00C76BBE">
        <w:rPr>
          <w:rtl/>
        </w:rPr>
        <w:t xml:space="preserve"> </w:t>
      </w:r>
      <w:proofErr w:type="spellStart"/>
      <w:r w:rsidR="00C76BBE">
        <w:rPr>
          <w:rtl/>
        </w:rPr>
        <w:t>אֱלֹהֵיהֶם</w:t>
      </w:r>
      <w:proofErr w:type="spellEnd"/>
      <w:r w:rsidR="00C76BBE">
        <w:rPr>
          <w:rFonts w:hint="cs"/>
          <w:rtl/>
        </w:rPr>
        <w:t xml:space="preserve">" </w:t>
      </w:r>
      <w:r w:rsidR="00C76BBE" w:rsidRPr="000F5DCC">
        <w:rPr>
          <w:rFonts w:hint="cs"/>
          <w:sz w:val="20"/>
          <w:szCs w:val="20"/>
          <w:rtl/>
        </w:rPr>
        <w:t>(שמות כ"ט, מג-מו)</w:t>
      </w:r>
      <w:r w:rsidR="00C76BBE">
        <w:rPr>
          <w:rFonts w:hint="cs"/>
          <w:rtl/>
        </w:rPr>
        <w:t>.</w:t>
      </w:r>
    </w:p>
    <w:p w14:paraId="039D88B6" w14:textId="311718C0" w:rsidR="00C76BBE" w:rsidRDefault="000F5DCC" w:rsidP="000F5DCC">
      <w:pPr>
        <w:ind w:left="720"/>
        <w:rPr>
          <w:rtl/>
        </w:rPr>
      </w:pPr>
      <w:r>
        <w:rPr>
          <w:rFonts w:hint="cs"/>
          <w:rtl/>
        </w:rPr>
        <w:t xml:space="preserve">9. </w:t>
      </w:r>
      <w:r w:rsidR="00C76BBE">
        <w:rPr>
          <w:rFonts w:hint="cs"/>
          <w:rtl/>
        </w:rPr>
        <w:t>השלמות: מזבח הקטורת; מחצית השקל; כיור; הכנת קטורת ושמן המשחה; מינוי בצלאל ואהליאב; ציווי על השבת.</w:t>
      </w:r>
    </w:p>
    <w:p w14:paraId="4D926D5B" w14:textId="77777777" w:rsidR="00C76BBE" w:rsidRDefault="00C76BBE" w:rsidP="00C76BBE">
      <w:pPr>
        <w:rPr>
          <w:rtl/>
        </w:rPr>
      </w:pPr>
      <w:r>
        <w:rPr>
          <w:rFonts w:hint="cs"/>
          <w:rtl/>
        </w:rPr>
        <w:t xml:space="preserve">ניכר שסדר הכלים מעוצב במסע גיאוגרפי </w:t>
      </w:r>
      <w:r>
        <w:rPr>
          <w:rtl/>
        </w:rPr>
        <w:t>–</w:t>
      </w:r>
      <w:r>
        <w:rPr>
          <w:rFonts w:hint="cs"/>
          <w:rtl/>
        </w:rPr>
        <w:t xml:space="preserve"> </w:t>
      </w:r>
      <w:proofErr w:type="spellStart"/>
      <w:r>
        <w:rPr>
          <w:rFonts w:hint="cs"/>
          <w:rtl/>
        </w:rPr>
        <w:t>מתוככי</w:t>
      </w:r>
      <w:proofErr w:type="spellEnd"/>
      <w:r>
        <w:rPr>
          <w:rFonts w:hint="cs"/>
          <w:rtl/>
        </w:rPr>
        <w:t xml:space="preserve"> המשכן החוצה. אך דווקא משום כך בולטים בחריגותם מזבח הקטורת </w:t>
      </w:r>
      <w:r>
        <w:rPr>
          <w:rtl/>
        </w:rPr>
        <w:t>–</w:t>
      </w:r>
      <w:r>
        <w:rPr>
          <w:rFonts w:hint="cs"/>
          <w:rtl/>
        </w:rPr>
        <w:t xml:space="preserve"> שלמרות שמיקומו בקודש איננו נזכר לצד הכלים שבפנים, והכיור </w:t>
      </w:r>
      <w:r>
        <w:rPr>
          <w:rtl/>
        </w:rPr>
        <w:t>–</w:t>
      </w:r>
      <w:r>
        <w:rPr>
          <w:rFonts w:hint="cs"/>
          <w:rtl/>
        </w:rPr>
        <w:t xml:space="preserve">שמיקומו אומנם בחצר המשכן, אך הוא איננו נזכר לצד מזבח העולה שבחצר. קשה לקבל את ההצעה של </w:t>
      </w:r>
      <w:proofErr w:type="spellStart"/>
      <w:r>
        <w:rPr>
          <w:rFonts w:hint="cs"/>
          <w:rtl/>
        </w:rPr>
        <w:t>מוצ'יקי</w:t>
      </w:r>
      <w:proofErr w:type="spellEnd"/>
      <w:r>
        <w:rPr>
          <w:rFonts w:hint="cs"/>
          <w:rtl/>
        </w:rPr>
        <w:t>, שהציווי על מזבח הקטורת הושם במקום זה כסגירה ספרותית (</w:t>
      </w:r>
      <w:proofErr w:type="spellStart"/>
      <w:r>
        <w:t>inclusio</w:t>
      </w:r>
      <w:proofErr w:type="spellEnd"/>
      <w:r>
        <w:rPr>
          <w:rFonts w:hint="cs"/>
          <w:rtl/>
        </w:rPr>
        <w:t>) לכלי המשכן הפנימיים, במקביל לארון והמנורה שפתחו את רשימת כלי המשכן.</w:t>
      </w:r>
      <w:r>
        <w:rPr>
          <w:rStyle w:val="FootnoteReference"/>
          <w:rFonts w:eastAsia="Calibri"/>
          <w:rtl/>
        </w:rPr>
        <w:footnoteReference w:id="16"/>
      </w:r>
      <w:r>
        <w:rPr>
          <w:rFonts w:hint="cs"/>
          <w:rtl/>
        </w:rPr>
        <w:t xml:space="preserve"> דבר זה היה אפשרי אם חתימת הציווי על המשכן שסוגרת את תחילת הציווי הייתה משולבת לאחר מזבח הקטורת. אולם מזבח הקטורת </w:t>
      </w:r>
      <w:r>
        <w:rPr>
          <w:rtl/>
        </w:rPr>
        <w:t>–</w:t>
      </w:r>
      <w:r>
        <w:rPr>
          <w:rFonts w:hint="cs"/>
          <w:rtl/>
        </w:rPr>
        <w:t xml:space="preserve"> כמו גם הכיור </w:t>
      </w:r>
      <w:r>
        <w:rPr>
          <w:rtl/>
        </w:rPr>
        <w:t>–</w:t>
      </w:r>
      <w:r>
        <w:rPr>
          <w:rFonts w:hint="cs"/>
          <w:rtl/>
        </w:rPr>
        <w:t xml:space="preserve"> משולב לאחר החתימה הכללית שסוגרת את הציווי על המשכן וכליו. יושם לב למסגרת הספרותית שמוכיחה שמדובר בחטיבה סגורה בעלת פתיחה וסיום מוגדרים. במקביל למה שנאמר בפתיחת הציווי: "</w:t>
      </w:r>
      <w:r>
        <w:rPr>
          <w:rtl/>
        </w:rPr>
        <w:t>וְשָׁכַנְתִּי בְּתוֹכָם</w:t>
      </w:r>
      <w:r>
        <w:rPr>
          <w:rFonts w:hint="cs"/>
          <w:rtl/>
        </w:rPr>
        <w:t xml:space="preserve">" </w:t>
      </w:r>
      <w:r w:rsidRPr="000F5DCC">
        <w:rPr>
          <w:rFonts w:hint="cs"/>
          <w:sz w:val="20"/>
          <w:szCs w:val="20"/>
          <w:rtl/>
        </w:rPr>
        <w:t>(כ"ה, ח)</w:t>
      </w:r>
      <w:r>
        <w:rPr>
          <w:rFonts w:hint="cs"/>
          <w:rtl/>
        </w:rPr>
        <w:t xml:space="preserve"> נאמר בפסוקי חתימה אלו</w:t>
      </w:r>
      <w:r>
        <w:rPr>
          <w:rtl/>
        </w:rPr>
        <w:t>:</w:t>
      </w:r>
      <w:r>
        <w:rPr>
          <w:rFonts w:hint="cs"/>
          <w:rtl/>
        </w:rPr>
        <w:t xml:space="preserve"> "</w:t>
      </w:r>
      <w:r>
        <w:rPr>
          <w:rtl/>
        </w:rPr>
        <w:t>וְשָׁכַנְתִּי בְּתוֹךְ בְּנֵי יִשְׂרָאֵל</w:t>
      </w:r>
      <w:r>
        <w:rPr>
          <w:rFonts w:hint="cs"/>
          <w:rtl/>
        </w:rPr>
        <w:t xml:space="preserve">" </w:t>
      </w:r>
      <w:r w:rsidRPr="000F5DCC">
        <w:rPr>
          <w:rFonts w:hint="cs"/>
          <w:sz w:val="20"/>
          <w:szCs w:val="20"/>
          <w:rtl/>
        </w:rPr>
        <w:t>(כ"ט, מה)</w:t>
      </w:r>
      <w:r>
        <w:rPr>
          <w:rFonts w:hint="cs"/>
          <w:rtl/>
        </w:rPr>
        <w:t>. מדוע אם כן, יצאו מזבח הקטורת והכיור מתוך רשימת כלי המשכן והוצבו מחוצה לה?</w:t>
      </w:r>
    </w:p>
    <w:p w14:paraId="057A2197" w14:textId="77777777" w:rsidR="00C76BBE" w:rsidRDefault="00C76BBE" w:rsidP="00C76BBE">
      <w:pPr>
        <w:rPr>
          <w:rtl/>
        </w:rPr>
      </w:pPr>
      <w:r>
        <w:rPr>
          <w:rtl/>
        </w:rPr>
        <w:tab/>
      </w:r>
      <w:r>
        <w:rPr>
          <w:rFonts w:hint="cs"/>
          <w:rtl/>
        </w:rPr>
        <w:t xml:space="preserve">מאחר שכל שאר הנספחים המצויים לאחר פסוקי החתימה עוסקים בתפעול המשכן, מתברר שיש לראות גם את הכיור ואת מזבח הקטורת כתורמים לתפעול המשכן ולא לעצם הגדרתו כבית ה'. לשון אחר, יש כלים שמגדירים את אוהל מועד כבית ה' </w:t>
      </w:r>
      <w:r>
        <w:rPr>
          <w:rtl/>
        </w:rPr>
        <w:t>–</w:t>
      </w:r>
      <w:r>
        <w:rPr>
          <w:rFonts w:hint="cs"/>
          <w:rtl/>
        </w:rPr>
        <w:t xml:space="preserve"> כך למשל, המנורה או השולחן, אשר בלעדיהם הבית חסר מהגדרתו הבסיסית כבית. אולם מזבח הקטורת והכיור אינם אלא מכשירים המאפשרים מגורים בבית. ביחס לכיור הדבר מפורש בכתוב: "</w:t>
      </w:r>
      <w:r>
        <w:rPr>
          <w:rtl/>
        </w:rPr>
        <w:t>וְרָחֲצוּ אַהֲרֹן וּבָנָיו מִמֶּנּוּ אֶת יְדֵיהֶם וְאֶת רַגְלֵיהֶם</w:t>
      </w:r>
      <w:r>
        <w:rPr>
          <w:rFonts w:hint="cs"/>
          <w:rtl/>
        </w:rPr>
        <w:t xml:space="preserve">. </w:t>
      </w:r>
      <w:r>
        <w:rPr>
          <w:rtl/>
        </w:rPr>
        <w:t xml:space="preserve">בְּבֹאָם אֶל אֹהֶל מוֹעֵד יִרְחֲצוּ מַיִם </w:t>
      </w:r>
      <w:r>
        <w:rPr>
          <w:rtl/>
        </w:rPr>
        <w:lastRenderedPageBreak/>
        <w:t xml:space="preserve">וְלֹא יָמֻתוּ אוֹ בְגִשְׁתָּם אֶל הַמִּזְבֵּחַ לְשָׁרֵת לְהַקְטִיר </w:t>
      </w:r>
      <w:proofErr w:type="spellStart"/>
      <w:r>
        <w:rPr>
          <w:rtl/>
        </w:rPr>
        <w:t>אִשֶּׁה</w:t>
      </w:r>
      <w:proofErr w:type="spellEnd"/>
      <w:r>
        <w:rPr>
          <w:rtl/>
        </w:rPr>
        <w:t xml:space="preserve"> לַ</w:t>
      </w:r>
      <w:r>
        <w:rPr>
          <w:rFonts w:hint="cs"/>
          <w:rtl/>
        </w:rPr>
        <w:t xml:space="preserve">ה'. </w:t>
      </w:r>
      <w:r>
        <w:rPr>
          <w:rtl/>
        </w:rPr>
        <w:t xml:space="preserve">וְרָחֲצוּ יְדֵיהֶם וְרַגְלֵיהֶם וְלֹא יָמֻתוּ </w:t>
      </w:r>
      <w:proofErr w:type="spellStart"/>
      <w:r>
        <w:rPr>
          <w:rtl/>
        </w:rPr>
        <w:t>וְהָיְתָה</w:t>
      </w:r>
      <w:proofErr w:type="spellEnd"/>
      <w:r>
        <w:rPr>
          <w:rtl/>
        </w:rPr>
        <w:t xml:space="preserve"> לָהֶם </w:t>
      </w:r>
      <w:proofErr w:type="spellStart"/>
      <w:r>
        <w:rPr>
          <w:rtl/>
        </w:rPr>
        <w:t>חָק</w:t>
      </w:r>
      <w:proofErr w:type="spellEnd"/>
      <w:r>
        <w:rPr>
          <w:rtl/>
        </w:rPr>
        <w:t xml:space="preserve"> עוֹלָם לוֹ וּלְזַרְעוֹ </w:t>
      </w:r>
      <w:proofErr w:type="spellStart"/>
      <w:r>
        <w:rPr>
          <w:rtl/>
        </w:rPr>
        <w:t>לְדֹרֹתָם</w:t>
      </w:r>
      <w:proofErr w:type="spellEnd"/>
      <w:r>
        <w:rPr>
          <w:rFonts w:hint="cs"/>
          <w:rtl/>
        </w:rPr>
        <w:t xml:space="preserve">" </w:t>
      </w:r>
      <w:r w:rsidRPr="000F5DCC">
        <w:rPr>
          <w:rFonts w:hint="cs"/>
          <w:sz w:val="20"/>
          <w:szCs w:val="20"/>
          <w:rtl/>
        </w:rPr>
        <w:t xml:space="preserve">(שמות ל', </w:t>
      </w:r>
      <w:proofErr w:type="spellStart"/>
      <w:r w:rsidRPr="000F5DCC">
        <w:rPr>
          <w:rFonts w:hint="cs"/>
          <w:sz w:val="20"/>
          <w:szCs w:val="20"/>
          <w:rtl/>
        </w:rPr>
        <w:t>יט-כא</w:t>
      </w:r>
      <w:proofErr w:type="spellEnd"/>
      <w:r w:rsidRPr="000F5DCC">
        <w:rPr>
          <w:rFonts w:hint="cs"/>
          <w:sz w:val="20"/>
          <w:szCs w:val="20"/>
          <w:rtl/>
        </w:rPr>
        <w:t>)</w:t>
      </w:r>
      <w:r>
        <w:rPr>
          <w:rFonts w:hint="cs"/>
          <w:rtl/>
        </w:rPr>
        <w:t xml:space="preserve">. כלומר, הכיור מאפשר לכוהנים בשר ודם לשרת בקודש. עליהם לרחוץ את ידיהם ואת רגליהם ורק לאחר מכן הם יכולים לגשת אל המזבח. המשכן מוגדר בית ה' גם ללא הכיור, אך כוהנים לא יוכלו לשרת בבית זה ללא הכיור. </w:t>
      </w:r>
    </w:p>
    <w:p w14:paraId="3967560D" w14:textId="6C2E4CB0" w:rsidR="00C76BBE" w:rsidRDefault="00C76BBE" w:rsidP="00C92867">
      <w:pPr>
        <w:tabs>
          <w:tab w:val="clear" w:pos="4620"/>
        </w:tabs>
        <w:rPr>
          <w:rtl/>
        </w:rPr>
      </w:pPr>
      <w:r>
        <w:rPr>
          <w:rFonts w:hint="cs"/>
          <w:rtl/>
        </w:rPr>
        <w:t>מסתבר שדברים דומים יש לומר על מזבח הקטורת. ה' ישכון באוהל מועד גם ללא מזבח הקטורת, אולם יש בו צורך בכדי שכוהנים יוכלו להתנהל במקום זה לצד גילוי השכינה שבתוכו. בלשונו של קאסוטו:</w:t>
      </w:r>
    </w:p>
    <w:p w14:paraId="4C5D1367" w14:textId="77777777" w:rsidR="00C76BBE" w:rsidRDefault="00C76BBE" w:rsidP="000F5DCC">
      <w:pPr>
        <w:ind w:left="720"/>
        <w:rPr>
          <w:rtl/>
        </w:rPr>
      </w:pPr>
      <w:r>
        <w:rPr>
          <w:rFonts w:hint="cs"/>
          <w:rtl/>
        </w:rPr>
        <w:t xml:space="preserve">"מזבח הקטורת אינו כלי שייך למושב האלוהות, אלא שייך הוא לפולחן האלוהות מצד בני אדם. לפיכך לא בא תיאורו בפרק כ"ה, בתוך תיאורי הכלים שבמעון האלוהי, אלא מדובר עליו כאן, בראש שורת </w:t>
      </w:r>
      <w:proofErr w:type="spellStart"/>
      <w:r>
        <w:rPr>
          <w:rFonts w:hint="cs"/>
          <w:rtl/>
        </w:rPr>
        <w:t>הפיסקות</w:t>
      </w:r>
      <w:proofErr w:type="spellEnd"/>
      <w:r>
        <w:rPr>
          <w:rFonts w:hint="cs"/>
          <w:rtl/>
        </w:rPr>
        <w:t xml:space="preserve"> השייכות לסדר העבודה במשכן".</w:t>
      </w:r>
      <w:r>
        <w:rPr>
          <w:rStyle w:val="FootnoteReference"/>
          <w:rFonts w:eastAsia="Calibri"/>
          <w:rtl/>
        </w:rPr>
        <w:footnoteReference w:id="17"/>
      </w:r>
    </w:p>
    <w:p w14:paraId="29BE38BA" w14:textId="1027FE0D" w:rsidR="00C76BBE" w:rsidRDefault="00C76BBE" w:rsidP="00C76BBE">
      <w:pPr>
        <w:rPr>
          <w:rtl/>
        </w:rPr>
      </w:pPr>
      <w:r>
        <w:rPr>
          <w:rFonts w:hint="cs"/>
          <w:rtl/>
        </w:rPr>
        <w:t>כיצד תורמת הקטורת ליכולת הכוהנים לעבוד בבית ה'? הדבר נחשף בעבודת יום הכיפורים: "</w:t>
      </w:r>
      <w:r>
        <w:rPr>
          <w:rtl/>
        </w:rPr>
        <w:t xml:space="preserve">וְנָתַן אֶת הַקְּטֹרֶת עַל הָאֵשׁ לִפְנֵי </w:t>
      </w:r>
      <w:r>
        <w:rPr>
          <w:rFonts w:hint="cs"/>
          <w:rtl/>
        </w:rPr>
        <w:t xml:space="preserve">ה' </w:t>
      </w:r>
      <w:r>
        <w:rPr>
          <w:rtl/>
        </w:rPr>
        <w:t xml:space="preserve">וְכִסָּה עֲנַן הַקְּטֹרֶת אֶת </w:t>
      </w:r>
      <w:proofErr w:type="spellStart"/>
      <w:r>
        <w:rPr>
          <w:rtl/>
        </w:rPr>
        <w:t>הַכַּפֹּרֶת</w:t>
      </w:r>
      <w:proofErr w:type="spellEnd"/>
      <w:r>
        <w:rPr>
          <w:rtl/>
        </w:rPr>
        <w:t xml:space="preserve"> אֲשֶׁר עַל הָעֵדוּת וְלֹא יָמוּת</w:t>
      </w:r>
      <w:r>
        <w:rPr>
          <w:rFonts w:hint="cs"/>
          <w:rtl/>
        </w:rPr>
        <w:t xml:space="preserve">" </w:t>
      </w:r>
      <w:r w:rsidRPr="000F5DCC">
        <w:rPr>
          <w:rFonts w:hint="cs"/>
          <w:sz w:val="20"/>
          <w:szCs w:val="20"/>
          <w:rtl/>
        </w:rPr>
        <w:t xml:space="preserve">(ויקרא ט"ז, </w:t>
      </w:r>
      <w:proofErr w:type="spellStart"/>
      <w:r w:rsidRPr="000F5DCC">
        <w:rPr>
          <w:rFonts w:hint="cs"/>
          <w:sz w:val="20"/>
          <w:szCs w:val="20"/>
          <w:rtl/>
        </w:rPr>
        <w:t>יג</w:t>
      </w:r>
      <w:proofErr w:type="spellEnd"/>
      <w:r w:rsidRPr="000F5DCC">
        <w:rPr>
          <w:rFonts w:hint="cs"/>
          <w:sz w:val="20"/>
          <w:szCs w:val="20"/>
          <w:rtl/>
        </w:rPr>
        <w:t>)</w:t>
      </w:r>
      <w:r>
        <w:rPr>
          <w:rFonts w:hint="cs"/>
          <w:rtl/>
        </w:rPr>
        <w:t xml:space="preserve">. תפקיד הקטורת הוא לכסות את מקום ההתגלות וכך לאפשר לכוהן להתייצב לצדה. יושם לב ללשון שנאמרה ביחס לכיור </w:t>
      </w:r>
      <w:r>
        <w:rPr>
          <w:rtl/>
        </w:rPr>
        <w:t>–</w:t>
      </w:r>
      <w:r>
        <w:rPr>
          <w:rFonts w:hint="cs"/>
          <w:rtl/>
        </w:rPr>
        <w:t xml:space="preserve"> "</w:t>
      </w:r>
      <w:r>
        <w:rPr>
          <w:rtl/>
        </w:rPr>
        <w:t>וְלֹא יָמֻתוּ</w:t>
      </w:r>
      <w:r>
        <w:rPr>
          <w:rFonts w:hint="cs"/>
          <w:rtl/>
        </w:rPr>
        <w:t xml:space="preserve">", הדומה למה שנאמר ביחס לקטורת </w:t>
      </w:r>
      <w:r>
        <w:rPr>
          <w:rtl/>
        </w:rPr>
        <w:t>–</w:t>
      </w:r>
      <w:r>
        <w:rPr>
          <w:rFonts w:hint="cs"/>
          <w:rtl/>
        </w:rPr>
        <w:t xml:space="preserve"> "</w:t>
      </w:r>
      <w:r>
        <w:rPr>
          <w:rtl/>
        </w:rPr>
        <w:t>וְלֹא יָמוּת</w:t>
      </w:r>
      <w:r>
        <w:rPr>
          <w:rFonts w:hint="cs"/>
          <w:rtl/>
        </w:rPr>
        <w:t>". הדבר אומנם נתון במחלוקת ראשונים, אך דומה שזו הקריאה הפשוטה גם בתחילת פרשת יום הכיפורים: "</w:t>
      </w:r>
      <w:r>
        <w:rPr>
          <w:rtl/>
        </w:rPr>
        <w:t xml:space="preserve">דַּבֵּר אֶל אַהֲרֹן אָחִיךָ וְאַל יָבֹא בְכָל עֵת אֶל הַקֹּדֶשׁ מִבֵּית לַפָּרֹכֶת אֶל פְּנֵי </w:t>
      </w:r>
      <w:proofErr w:type="spellStart"/>
      <w:r>
        <w:rPr>
          <w:rtl/>
        </w:rPr>
        <w:t>הַכַּפֹּרֶת</w:t>
      </w:r>
      <w:proofErr w:type="spellEnd"/>
      <w:r>
        <w:rPr>
          <w:rtl/>
        </w:rPr>
        <w:t xml:space="preserve"> אֲשֶׁר עַל </w:t>
      </w:r>
      <w:proofErr w:type="spellStart"/>
      <w:r>
        <w:rPr>
          <w:rtl/>
        </w:rPr>
        <w:t>הָאָרֹן</w:t>
      </w:r>
      <w:proofErr w:type="spellEnd"/>
      <w:r>
        <w:rPr>
          <w:rtl/>
        </w:rPr>
        <w:t xml:space="preserve"> וְלֹא יָמוּת כִּי בֶּעָנָן אֵרָאֶה עַל </w:t>
      </w:r>
      <w:proofErr w:type="spellStart"/>
      <w:r>
        <w:rPr>
          <w:rtl/>
        </w:rPr>
        <w:t>הַכַּפֹּרֶת</w:t>
      </w:r>
      <w:proofErr w:type="spellEnd"/>
      <w:r>
        <w:rPr>
          <w:rFonts w:hint="cs"/>
          <w:rtl/>
        </w:rPr>
        <w:t xml:space="preserve">" </w:t>
      </w:r>
      <w:r w:rsidRPr="00021403">
        <w:rPr>
          <w:rFonts w:hint="cs"/>
          <w:sz w:val="20"/>
          <w:szCs w:val="20"/>
          <w:rtl/>
        </w:rPr>
        <w:t>(ויקרא ט"ז, ב)</w:t>
      </w:r>
      <w:r>
        <w:rPr>
          <w:rFonts w:hint="cs"/>
          <w:rtl/>
        </w:rPr>
        <w:t xml:space="preserve">. ענן זה אינו אלא ענן הקטורת שאותו יוצר </w:t>
      </w:r>
      <w:r w:rsidR="0089310B">
        <w:rPr>
          <w:rFonts w:hint="cs"/>
          <w:rtl/>
        </w:rPr>
        <w:t>אהרן</w:t>
      </w:r>
      <w:r>
        <w:rPr>
          <w:rFonts w:hint="cs"/>
          <w:rtl/>
        </w:rPr>
        <w:t xml:space="preserve"> בקטורת המחתה שנכנסת עמו לקודש הקודשים, שהרי: "מכיוון שאלו הפעמים היחידות שבהן מופיעה המילה 'ענן' בספר ויקרא, והן נמצאות באותה פרשייה, מסתבר שהן מתייחסות לאותו הענן".</w:t>
      </w:r>
      <w:r>
        <w:rPr>
          <w:rStyle w:val="FootnoteReference"/>
          <w:rFonts w:eastAsia="Calibri"/>
          <w:rtl/>
        </w:rPr>
        <w:footnoteReference w:id="18"/>
      </w:r>
    </w:p>
    <w:p w14:paraId="0192F70A" w14:textId="4740E4D6" w:rsidR="00C76BBE" w:rsidRDefault="00C76BBE" w:rsidP="00C92867">
      <w:pPr>
        <w:tabs>
          <w:tab w:val="clear" w:pos="4620"/>
        </w:tabs>
        <w:rPr>
          <w:rtl/>
        </w:rPr>
      </w:pPr>
      <w:r>
        <w:rPr>
          <w:rFonts w:hint="cs"/>
          <w:rtl/>
        </w:rPr>
        <w:t xml:space="preserve">אם כן, תפקיד הקטורת הוא להסתיר את גילוי השכינה ולאפשר לאדם לעמוד נכחה. כשם שלאורך סיפורי נדודי ישראל במדבר ה' התגלה בענן, כך גם במקדשו הוא מתגלה בענן קטורת. כשההתגלות היא יוזמה אנושית </w:t>
      </w:r>
      <w:r>
        <w:rPr>
          <w:rtl/>
        </w:rPr>
        <w:t>–</w:t>
      </w:r>
      <w:r>
        <w:rPr>
          <w:rFonts w:hint="cs"/>
          <w:rtl/>
        </w:rPr>
        <w:t xml:space="preserve"> היא מתרחשת בתוך ענן; כשהאדם מבקש ליצור 'סביבה </w:t>
      </w:r>
      <w:proofErr w:type="spellStart"/>
      <w:r>
        <w:rPr>
          <w:rFonts w:hint="cs"/>
          <w:rtl/>
        </w:rPr>
        <w:t>התגלותית</w:t>
      </w:r>
      <w:proofErr w:type="spellEnd"/>
      <w:r>
        <w:rPr>
          <w:rFonts w:hint="cs"/>
          <w:rtl/>
        </w:rPr>
        <w:t>', הוא יוצר ענן קטורת שמסתיר את הגילוי.</w:t>
      </w:r>
    </w:p>
    <w:p w14:paraId="7E1BE856" w14:textId="77777777" w:rsidR="00C76BBE" w:rsidRDefault="00C76BBE" w:rsidP="00C76BBE">
      <w:pPr>
        <w:rPr>
          <w:rtl/>
        </w:rPr>
      </w:pPr>
      <w:r>
        <w:rPr>
          <w:rtl/>
        </w:rPr>
        <w:tab/>
      </w:r>
      <w:r>
        <w:rPr>
          <w:rFonts w:hint="cs"/>
          <w:rtl/>
        </w:rPr>
        <w:t>קריאה זו מסתברת גם לאור מיקום מזבח הקטורת וגם לאור תיאור הזמן של ההקטרה. בתיאור מקום מזבח הקטורת מבליט הכתוב שעליו להיות נוכח הארון והכרובים: "</w:t>
      </w:r>
      <w:proofErr w:type="spellStart"/>
      <w:r>
        <w:rPr>
          <w:rtl/>
        </w:rPr>
        <w:t>וְנָתַתָּה</w:t>
      </w:r>
      <w:proofErr w:type="spellEnd"/>
      <w:r>
        <w:rPr>
          <w:rtl/>
        </w:rPr>
        <w:t xml:space="preserve"> אֹתוֹ לִפְנֵי הַפָּרֹכֶת אֲשֶׁר עַל אֲרֹן הָעֵדֻת לִפְנֵי </w:t>
      </w:r>
      <w:proofErr w:type="spellStart"/>
      <w:r>
        <w:rPr>
          <w:rtl/>
        </w:rPr>
        <w:t>הַכַּפֹּרֶת</w:t>
      </w:r>
      <w:proofErr w:type="spellEnd"/>
      <w:r>
        <w:rPr>
          <w:rtl/>
        </w:rPr>
        <w:t xml:space="preserve"> אֲשֶׁר עַל הָעֵדֻת אֲשֶׁר אִוָּעֵד לְךָ שָׁמָּה</w:t>
      </w:r>
      <w:r>
        <w:rPr>
          <w:rFonts w:hint="cs"/>
          <w:rtl/>
        </w:rPr>
        <w:t xml:space="preserve">" </w:t>
      </w:r>
      <w:r w:rsidRPr="00021403">
        <w:rPr>
          <w:rFonts w:hint="cs"/>
          <w:sz w:val="20"/>
          <w:szCs w:val="20"/>
          <w:rtl/>
        </w:rPr>
        <w:t>(שמות ל', ו)</w:t>
      </w:r>
      <w:r>
        <w:rPr>
          <w:rFonts w:hint="cs"/>
          <w:rtl/>
        </w:rPr>
        <w:t>. זהו תיאור מפתיע למדי שהרי הפרוכת מבדילה בין המזבח לבין "</w:t>
      </w:r>
      <w:proofErr w:type="spellStart"/>
      <w:r>
        <w:rPr>
          <w:rtl/>
        </w:rPr>
        <w:t>הַכַּפֹּרֶת</w:t>
      </w:r>
      <w:proofErr w:type="spellEnd"/>
      <w:r>
        <w:rPr>
          <w:rtl/>
        </w:rPr>
        <w:t xml:space="preserve"> אֲשֶׁר עַל הָעֵדֻת</w:t>
      </w:r>
      <w:r>
        <w:rPr>
          <w:rFonts w:hint="cs"/>
          <w:rtl/>
        </w:rPr>
        <w:t>", כך שמדובר בקו דמיוני שיוצר קשר בין הכלים אך למעשה הם אינם רואים זה את זה. לא נראית השערתו של קאסוטו שסמיכות מזבח הקטורת לכפורת "באה אולי משום שגם על הכפורת וגם על מזבח זה יכפר הכהן ביום הכיפורים".</w:t>
      </w:r>
      <w:r>
        <w:rPr>
          <w:rStyle w:val="FootnoteReference"/>
          <w:rFonts w:eastAsia="Calibri"/>
          <w:rtl/>
        </w:rPr>
        <w:footnoteReference w:id="19"/>
      </w:r>
      <w:r>
        <w:rPr>
          <w:rFonts w:hint="cs"/>
          <w:rtl/>
        </w:rPr>
        <w:t xml:space="preserve"> נראה יותר, שחשיבות הצבת מזבח </w:t>
      </w:r>
      <w:r>
        <w:rPr>
          <w:rFonts w:hint="cs"/>
          <w:rtl/>
        </w:rPr>
        <w:lastRenderedPageBreak/>
        <w:t>הקטורת בקו ישר עם ה</w:t>
      </w:r>
      <w:bookmarkStart w:id="1" w:name="_GoBack"/>
      <w:bookmarkEnd w:id="1"/>
      <w:r>
        <w:rPr>
          <w:rFonts w:hint="cs"/>
          <w:rtl/>
        </w:rPr>
        <w:t xml:space="preserve">ארון קשורה בתפקיד הכרובים שמבין שניהם ה' מתגלה </w:t>
      </w:r>
      <w:r>
        <w:rPr>
          <w:rtl/>
        </w:rPr>
        <w:t>–</w:t>
      </w:r>
      <w:r>
        <w:rPr>
          <w:rFonts w:hint="cs"/>
          <w:rtl/>
        </w:rPr>
        <w:t xml:space="preserve"> "</w:t>
      </w:r>
      <w:r>
        <w:rPr>
          <w:rtl/>
        </w:rPr>
        <w:t>אֲשֶׁר אִוָּעֵד לְךָ שָׁמָּה</w:t>
      </w:r>
      <w:r>
        <w:rPr>
          <w:rFonts w:hint="cs"/>
          <w:rtl/>
        </w:rPr>
        <w:t>". לשון אחר, בעוד תפקיד המנורה להאיר ותפקיד השולחן לשאת על גביו את הלחם, מזבח הקטורת קשור בעצם ההתגלות. עליו ליצור מיסוך עשן שבתוכו ההתגלות יכולה להתרחש.</w:t>
      </w:r>
    </w:p>
    <w:p w14:paraId="0FAD23CE" w14:textId="77777777" w:rsidR="00C76BBE" w:rsidRDefault="00C76BBE" w:rsidP="00C76BBE">
      <w:pPr>
        <w:rPr>
          <w:rtl/>
        </w:rPr>
      </w:pPr>
      <w:r>
        <w:rPr>
          <w:rtl/>
        </w:rPr>
        <w:tab/>
      </w:r>
      <w:r>
        <w:rPr>
          <w:rFonts w:hint="cs"/>
          <w:rtl/>
        </w:rPr>
        <w:t>גם תיאור זמן ההקטרה מחזק כיוון זה: "</w:t>
      </w:r>
      <w:r>
        <w:rPr>
          <w:rtl/>
        </w:rPr>
        <w:t xml:space="preserve">וְהִקְטִיר עָלָיו אַהֲרֹן </w:t>
      </w:r>
      <w:proofErr w:type="spellStart"/>
      <w:r>
        <w:rPr>
          <w:rtl/>
        </w:rPr>
        <w:t>קְטֹרֶת</w:t>
      </w:r>
      <w:proofErr w:type="spellEnd"/>
      <w:r>
        <w:rPr>
          <w:rtl/>
        </w:rPr>
        <w:t xml:space="preserve"> סַמִּים בַּבֹּקֶר </w:t>
      </w:r>
      <w:proofErr w:type="spellStart"/>
      <w:r>
        <w:rPr>
          <w:rtl/>
        </w:rPr>
        <w:t>בַּבֹּקֶר</w:t>
      </w:r>
      <w:proofErr w:type="spellEnd"/>
      <w:r>
        <w:rPr>
          <w:rtl/>
        </w:rPr>
        <w:t xml:space="preserve"> בְּהֵיטִיבוֹ אֶת </w:t>
      </w:r>
      <w:proofErr w:type="spellStart"/>
      <w:r>
        <w:rPr>
          <w:rtl/>
        </w:rPr>
        <w:t>הַנֵּרֹת</w:t>
      </w:r>
      <w:proofErr w:type="spellEnd"/>
      <w:r>
        <w:rPr>
          <w:rtl/>
        </w:rPr>
        <w:t xml:space="preserve"> </w:t>
      </w:r>
      <w:proofErr w:type="spellStart"/>
      <w:r>
        <w:rPr>
          <w:rtl/>
        </w:rPr>
        <w:t>יַקְטִירֶנָּה</w:t>
      </w:r>
      <w:proofErr w:type="spellEnd"/>
      <w:r>
        <w:rPr>
          <w:rFonts w:hint="cs"/>
          <w:rtl/>
        </w:rPr>
        <w:t xml:space="preserve">. </w:t>
      </w:r>
      <w:proofErr w:type="spellStart"/>
      <w:r>
        <w:rPr>
          <w:rtl/>
        </w:rPr>
        <w:t>וּבְהַעֲלֹת</w:t>
      </w:r>
      <w:proofErr w:type="spellEnd"/>
      <w:r>
        <w:rPr>
          <w:rtl/>
        </w:rPr>
        <w:t xml:space="preserve"> אַהֲרֹן אֶת </w:t>
      </w:r>
      <w:proofErr w:type="spellStart"/>
      <w:r>
        <w:rPr>
          <w:rtl/>
        </w:rPr>
        <w:t>הַנֵּרֹת</w:t>
      </w:r>
      <w:proofErr w:type="spellEnd"/>
      <w:r>
        <w:rPr>
          <w:rtl/>
        </w:rPr>
        <w:t xml:space="preserve"> בֵּין הָעַרְבַּיִם </w:t>
      </w:r>
      <w:proofErr w:type="spellStart"/>
      <w:r>
        <w:rPr>
          <w:rtl/>
        </w:rPr>
        <w:t>יַקְטִירֶנָּה</w:t>
      </w:r>
      <w:proofErr w:type="spellEnd"/>
      <w:r>
        <w:rPr>
          <w:rFonts w:hint="cs"/>
          <w:rtl/>
        </w:rPr>
        <w:t xml:space="preserve">" </w:t>
      </w:r>
      <w:r w:rsidRPr="00021403">
        <w:rPr>
          <w:rFonts w:hint="cs"/>
          <w:sz w:val="20"/>
          <w:szCs w:val="20"/>
          <w:rtl/>
        </w:rPr>
        <w:t>(שמות ל', ז-ח)</w:t>
      </w:r>
      <w:r>
        <w:rPr>
          <w:rFonts w:hint="cs"/>
          <w:rtl/>
        </w:rPr>
        <w:t xml:space="preserve">. מה ראה הכתוב ליצור קשר בין המנורה לקטורת? מה היינו חסרים לו היה נאמר שיש להקטיר "בבקר </w:t>
      </w:r>
      <w:proofErr w:type="spellStart"/>
      <w:r>
        <w:rPr>
          <w:rFonts w:hint="cs"/>
          <w:rtl/>
        </w:rPr>
        <w:t>בבקר</w:t>
      </w:r>
      <w:proofErr w:type="spellEnd"/>
      <w:r>
        <w:rPr>
          <w:rFonts w:hint="cs"/>
          <w:rtl/>
        </w:rPr>
        <w:t>" ו"בין הערבים"? גם כאן קשה לקבל את ההצעה של קאסוטו, "שהודות לריח הנעים של הקטורת לא יורגש במשכן ריח לא נעים של פתילות כבות ושל שמן שרוף".</w:t>
      </w:r>
      <w:r>
        <w:rPr>
          <w:rStyle w:val="FootnoteReference"/>
          <w:rFonts w:eastAsia="Calibri"/>
          <w:rtl/>
        </w:rPr>
        <w:footnoteReference w:id="20"/>
      </w:r>
      <w:r>
        <w:rPr>
          <w:rFonts w:hint="cs"/>
          <w:rtl/>
        </w:rPr>
        <w:t xml:space="preserve"> התחושה שעולה מפסוק זה היא שיש קשר עמוק בין הטבת המנורה והדלקתה ובין הקטרת הקטורת, ואכן לפי קו המחשבה הרואה את תפקיד הקטורת ככיסוי </w:t>
      </w:r>
      <w:r>
        <w:rPr>
          <w:rtl/>
        </w:rPr>
        <w:t>–</w:t>
      </w:r>
      <w:r>
        <w:rPr>
          <w:rFonts w:hint="cs"/>
          <w:rtl/>
        </w:rPr>
        <w:t xml:space="preserve"> הדבר מסתבר. עם הדלקת האור בבית ה' יש גם לדאוג לעמעומו בענן הקטורת, במיסוך עשן, ובכך, הגילוי והכיסוי יורדים חבוקים באוהל מועד.</w:t>
      </w:r>
    </w:p>
    <w:p w14:paraId="00435EE5" w14:textId="77777777" w:rsidR="00C76BBE" w:rsidRDefault="00C76BBE" w:rsidP="00C76BBE">
      <w:pPr>
        <w:rPr>
          <w:rtl/>
        </w:rPr>
      </w:pPr>
      <w:r>
        <w:rPr>
          <w:rtl/>
        </w:rPr>
        <w:tab/>
      </w:r>
      <w:r>
        <w:rPr>
          <w:rFonts w:hint="cs"/>
          <w:rtl/>
        </w:rPr>
        <w:t>למעשה, גם אם יחלוק הקורא על הגדרת תפקיד הקטורת בכל השנה כולה, עליו לאמץ את תפקיד הקטורת ככיסוי ביום הכיפורים. יפה הראה הרב אברהם סתיו שלשון הקטרת הקטורת ביום הכיפורים איננו לשון 'הקרבה' אלא לשון 'נתינה': "</w:t>
      </w:r>
      <w:r>
        <w:rPr>
          <w:rtl/>
        </w:rPr>
        <w:t xml:space="preserve">וְנָתַן אֶת הַקְּטֹרֶת עַל הָאֵשׁ לִפְנֵי </w:t>
      </w:r>
      <w:r>
        <w:rPr>
          <w:rFonts w:hint="cs"/>
          <w:rtl/>
        </w:rPr>
        <w:t xml:space="preserve">ה' </w:t>
      </w:r>
      <w:r>
        <w:rPr>
          <w:rtl/>
        </w:rPr>
        <w:t xml:space="preserve">וְכִסָּה עֲנַן הַקְּטֹרֶת אֶת </w:t>
      </w:r>
      <w:proofErr w:type="spellStart"/>
      <w:r>
        <w:rPr>
          <w:rtl/>
        </w:rPr>
        <w:t>הַכַּפֹּרֶת</w:t>
      </w:r>
      <w:proofErr w:type="spellEnd"/>
      <w:r>
        <w:rPr>
          <w:rtl/>
        </w:rPr>
        <w:t xml:space="preserve"> אֲשֶׁר עַל הָעֵדוּת</w:t>
      </w:r>
      <w:r>
        <w:rPr>
          <w:rFonts w:hint="cs"/>
          <w:rtl/>
        </w:rPr>
        <w:t xml:space="preserve">" </w:t>
      </w:r>
      <w:r w:rsidRPr="00021403">
        <w:rPr>
          <w:rFonts w:hint="cs"/>
          <w:sz w:val="20"/>
          <w:szCs w:val="20"/>
          <w:rtl/>
        </w:rPr>
        <w:t xml:space="preserve">(ויקרא ט"ז, </w:t>
      </w:r>
      <w:proofErr w:type="spellStart"/>
      <w:r w:rsidRPr="00021403">
        <w:rPr>
          <w:rFonts w:hint="cs"/>
          <w:sz w:val="20"/>
          <w:szCs w:val="20"/>
          <w:rtl/>
        </w:rPr>
        <w:t>יג</w:t>
      </w:r>
      <w:proofErr w:type="spellEnd"/>
      <w:r w:rsidRPr="00021403">
        <w:rPr>
          <w:rFonts w:hint="cs"/>
          <w:sz w:val="20"/>
          <w:szCs w:val="20"/>
          <w:rtl/>
        </w:rPr>
        <w:t>)</w:t>
      </w:r>
      <w:r>
        <w:rPr>
          <w:rFonts w:hint="cs"/>
          <w:rtl/>
        </w:rPr>
        <w:t xml:space="preserve">. מלשון זו הוא למד שביום הכיפורים הקטורת אינה מובאת כקורבן. דבר זה קשור גם בעובדה שהקטורת ביום הכיפורים מובאת על מחתה ולא </w:t>
      </w:r>
      <w:proofErr w:type="spellStart"/>
      <w:r>
        <w:rPr>
          <w:rFonts w:hint="cs"/>
          <w:rtl/>
        </w:rPr>
        <w:t>מוקטרת</w:t>
      </w:r>
      <w:proofErr w:type="spellEnd"/>
      <w:r>
        <w:rPr>
          <w:rFonts w:hint="cs"/>
          <w:rtl/>
        </w:rPr>
        <w:t xml:space="preserve"> על המזבח:</w:t>
      </w:r>
    </w:p>
    <w:p w14:paraId="339C2E7D" w14:textId="77777777" w:rsidR="00C76BBE" w:rsidRDefault="00C76BBE" w:rsidP="00021403">
      <w:pPr>
        <w:ind w:left="720"/>
        <w:rPr>
          <w:rtl/>
        </w:rPr>
      </w:pPr>
      <w:r>
        <w:rPr>
          <w:rFonts w:hint="cs"/>
          <w:rtl/>
        </w:rPr>
        <w:t xml:space="preserve">"בניגוד לקטורת שבכל יום, הקטורת של יום הכיפורים </w:t>
      </w:r>
      <w:proofErr w:type="spellStart"/>
      <w:r>
        <w:rPr>
          <w:rFonts w:hint="cs"/>
          <w:rtl/>
        </w:rPr>
        <w:t>מוקטרת</w:t>
      </w:r>
      <w:proofErr w:type="spellEnd"/>
      <w:r>
        <w:rPr>
          <w:rFonts w:hint="cs"/>
          <w:rtl/>
        </w:rPr>
        <w:t xml:space="preserve"> על גבי מחתה ולא על גבי מזבח, וכלל לא נאמרה בה לשון 'הקטרה' אלא לשון 'נתינה' בלבד. כמו כן, הפסוקים בעבודת יום הכיפורים מתייחסים ישירות לתוצאות ההקטרה, בניגוד לקטורת שבכל יום שאפשר לראות אותה כקרבן רגיל שעיקרו בעצם ההקטרה".</w:t>
      </w:r>
      <w:r>
        <w:rPr>
          <w:rStyle w:val="FootnoteReference"/>
          <w:rFonts w:eastAsia="Calibri"/>
          <w:rtl/>
        </w:rPr>
        <w:footnoteReference w:id="21"/>
      </w:r>
    </w:p>
    <w:p w14:paraId="09B04D34" w14:textId="77777777" w:rsidR="00C76BBE" w:rsidRDefault="00C76BBE" w:rsidP="00C76BBE">
      <w:pPr>
        <w:rPr>
          <w:rtl/>
        </w:rPr>
      </w:pPr>
      <w:r>
        <w:rPr>
          <w:rFonts w:hint="cs"/>
          <w:rtl/>
        </w:rPr>
        <w:t xml:space="preserve">אכן, בשעה שהמפגש עם כבוד ה' מתרחש מחוץ לקודש </w:t>
      </w:r>
      <w:r>
        <w:rPr>
          <w:rtl/>
        </w:rPr>
        <w:t>–</w:t>
      </w:r>
      <w:r>
        <w:rPr>
          <w:rFonts w:hint="cs"/>
          <w:rtl/>
        </w:rPr>
        <w:t xml:space="preserve"> המקום הרגיל שבו כוהנים מתהלכים </w:t>
      </w:r>
      <w:r>
        <w:rPr>
          <w:rtl/>
        </w:rPr>
        <w:t>–</w:t>
      </w:r>
      <w:r>
        <w:rPr>
          <w:rFonts w:hint="cs"/>
          <w:rtl/>
        </w:rPr>
        <w:t xml:space="preserve"> יש צורך להסיע את ענן הקטורת אל מקום ההתגלות החילופי ולהסתירו. דבר זה חשוב כמובן גם למעשה נדב ואביהוא ביום השמיני למילואים, מפני שגם הם הביאו את הקטורת שלהם במחתה:</w:t>
      </w:r>
      <w:r w:rsidRPr="00A9063B">
        <w:rPr>
          <w:rtl/>
        </w:rPr>
        <w:t xml:space="preserve"> </w:t>
      </w:r>
      <w:r>
        <w:rPr>
          <w:rFonts w:hint="cs"/>
          <w:rtl/>
        </w:rPr>
        <w:t>"</w:t>
      </w:r>
      <w:proofErr w:type="spellStart"/>
      <w:r>
        <w:rPr>
          <w:rtl/>
        </w:rPr>
        <w:t>וַיִּקְחו</w:t>
      </w:r>
      <w:proofErr w:type="spellEnd"/>
      <w:r>
        <w:rPr>
          <w:rtl/>
        </w:rPr>
        <w:t xml:space="preserve">ּ בְנֵי אַהֲרֹן נָדָב וַאֲבִיהוּא אִישׁ מַחְתָּתוֹ וַיִּתְּנוּ בָהֵן אֵשׁ וַיָּשִׂימוּ עָלֶיהָ </w:t>
      </w:r>
      <w:proofErr w:type="spellStart"/>
      <w:r>
        <w:rPr>
          <w:rtl/>
        </w:rPr>
        <w:t>קְטֹרֶת</w:t>
      </w:r>
      <w:proofErr w:type="spellEnd"/>
      <w:r>
        <w:rPr>
          <w:rFonts w:hint="cs"/>
          <w:rtl/>
        </w:rPr>
        <w:t xml:space="preserve">" </w:t>
      </w:r>
      <w:r w:rsidRPr="00021403">
        <w:rPr>
          <w:rFonts w:hint="cs"/>
          <w:sz w:val="20"/>
          <w:szCs w:val="20"/>
          <w:rtl/>
        </w:rPr>
        <w:t>(י', א)</w:t>
      </w:r>
      <w:r>
        <w:rPr>
          <w:rFonts w:hint="cs"/>
          <w:rtl/>
        </w:rPr>
        <w:t xml:space="preserve">. בשל כך קשה לקבל את דעת </w:t>
      </w:r>
      <w:proofErr w:type="spellStart"/>
      <w:r>
        <w:rPr>
          <w:rFonts w:hint="cs"/>
          <w:rtl/>
        </w:rPr>
        <w:t>רשב"ם</w:t>
      </w:r>
      <w:proofErr w:type="spellEnd"/>
      <w:r>
        <w:rPr>
          <w:rFonts w:hint="cs"/>
          <w:rtl/>
        </w:rPr>
        <w:t xml:space="preserve"> שהם הקטירו במזבח הקטורת, ונראה יותר שהם העלו </w:t>
      </w:r>
      <w:r>
        <w:rPr>
          <w:rFonts w:hint="cs"/>
          <w:rtl/>
        </w:rPr>
        <w:lastRenderedPageBreak/>
        <w:t xml:space="preserve">את הקטורת שלהם במקום ההתגלות המיוחד ביום השמיני </w:t>
      </w:r>
      <w:r>
        <w:rPr>
          <w:rtl/>
        </w:rPr>
        <w:t>–</w:t>
      </w:r>
      <w:r>
        <w:rPr>
          <w:rFonts w:hint="cs"/>
          <w:rtl/>
        </w:rPr>
        <w:t xml:space="preserve"> לצד מזבח העולה.</w:t>
      </w:r>
    </w:p>
    <w:p w14:paraId="7B117997" w14:textId="1F97CAF9" w:rsidR="00656A9A" w:rsidRDefault="00C76BBE" w:rsidP="00C92867">
      <w:pPr>
        <w:tabs>
          <w:tab w:val="clear" w:pos="4620"/>
        </w:tabs>
        <w:rPr>
          <w:rtl/>
        </w:rPr>
      </w:pPr>
      <w:r>
        <w:rPr>
          <w:rFonts w:hint="cs"/>
          <w:rtl/>
        </w:rPr>
        <w:t>דבר זה מוביל אותנו להבנת מחשבתם של נדב ואביהוא ולהבנת חטאם. בכך נתמקד בשיעור הבא.</w:t>
      </w:r>
    </w:p>
    <w:p w14:paraId="69081C9D" w14:textId="77777777" w:rsidR="0008666A" w:rsidRPr="005C4996" w:rsidRDefault="0008666A" w:rsidP="0008666A">
      <w:pPr>
        <w:rPr>
          <w:rtl/>
        </w:rPr>
      </w:pPr>
    </w:p>
    <w:tbl>
      <w:tblPr>
        <w:tblpPr w:leftFromText="180" w:rightFromText="180" w:vertAnchor="text" w:horzAnchor="margin" w:tblpY="104"/>
        <w:bidiVisual/>
        <w:tblW w:w="4678" w:type="dxa"/>
        <w:tblLayout w:type="fixed"/>
        <w:tblLook w:val="0000" w:firstRow="0" w:lastRow="0" w:firstColumn="0" w:lastColumn="0" w:noHBand="0" w:noVBand="0"/>
      </w:tblPr>
      <w:tblGrid>
        <w:gridCol w:w="283"/>
        <w:gridCol w:w="4111"/>
        <w:gridCol w:w="284"/>
      </w:tblGrid>
      <w:tr w:rsidR="003C6EAA" w14:paraId="5B36DC5F" w14:textId="77777777" w:rsidTr="003C6EAA">
        <w:trPr>
          <w:cantSplit/>
        </w:trPr>
        <w:tc>
          <w:tcPr>
            <w:tcW w:w="283" w:type="dxa"/>
            <w:tcBorders>
              <w:top w:val="nil"/>
              <w:left w:val="nil"/>
              <w:bottom w:val="nil"/>
              <w:right w:val="nil"/>
            </w:tcBorders>
          </w:tcPr>
          <w:p w14:paraId="7C5978C0" w14:textId="77777777" w:rsidR="003C6EAA" w:rsidRPr="00900424" w:rsidRDefault="003C6EAA" w:rsidP="003C6EAA">
            <w:pPr>
              <w:rPr>
                <w:b/>
                <w:bCs/>
                <w:noProof/>
                <w:sz w:val="16"/>
                <w:szCs w:val="16"/>
              </w:rPr>
            </w:pPr>
            <w:r w:rsidRPr="00900424">
              <w:rPr>
                <w:b/>
                <w:bCs/>
                <w:noProof/>
                <w:sz w:val="16"/>
                <w:szCs w:val="16"/>
                <w:rtl/>
              </w:rPr>
              <w:t>*</w:t>
            </w:r>
          </w:p>
        </w:tc>
        <w:tc>
          <w:tcPr>
            <w:tcW w:w="4111" w:type="dxa"/>
            <w:tcBorders>
              <w:top w:val="nil"/>
              <w:left w:val="nil"/>
              <w:bottom w:val="nil"/>
              <w:right w:val="nil"/>
            </w:tcBorders>
          </w:tcPr>
          <w:p w14:paraId="0F7A48AD" w14:textId="77777777" w:rsidR="003C6EAA" w:rsidRPr="00900424" w:rsidRDefault="003C6EAA" w:rsidP="003C6EAA">
            <w:pPr>
              <w:rPr>
                <w:b/>
                <w:bCs/>
                <w:noProof/>
                <w:sz w:val="16"/>
                <w:szCs w:val="16"/>
              </w:rPr>
            </w:pPr>
            <w:r w:rsidRPr="00900424">
              <w:rPr>
                <w:b/>
                <w:bCs/>
                <w:noProof/>
                <w:sz w:val="16"/>
                <w:szCs w:val="16"/>
                <w:rtl/>
              </w:rPr>
              <w:t>**********************************************************</w:t>
            </w:r>
          </w:p>
        </w:tc>
        <w:tc>
          <w:tcPr>
            <w:tcW w:w="284" w:type="dxa"/>
            <w:tcBorders>
              <w:top w:val="nil"/>
              <w:left w:val="nil"/>
              <w:bottom w:val="nil"/>
              <w:right w:val="nil"/>
            </w:tcBorders>
          </w:tcPr>
          <w:p w14:paraId="6142D01D" w14:textId="77777777" w:rsidR="003C6EAA" w:rsidRPr="00900424" w:rsidRDefault="003C6EAA" w:rsidP="003C6EAA">
            <w:pPr>
              <w:rPr>
                <w:b/>
                <w:bCs/>
                <w:noProof/>
                <w:sz w:val="16"/>
                <w:szCs w:val="16"/>
              </w:rPr>
            </w:pPr>
            <w:r w:rsidRPr="00900424">
              <w:rPr>
                <w:b/>
                <w:bCs/>
                <w:noProof/>
                <w:sz w:val="16"/>
                <w:szCs w:val="16"/>
                <w:rtl/>
              </w:rPr>
              <w:t>*</w:t>
            </w:r>
          </w:p>
        </w:tc>
      </w:tr>
      <w:tr w:rsidR="003C6EAA" w14:paraId="78D1F6FA" w14:textId="77777777" w:rsidTr="003C6EAA">
        <w:trPr>
          <w:cantSplit/>
        </w:trPr>
        <w:tc>
          <w:tcPr>
            <w:tcW w:w="283" w:type="dxa"/>
            <w:tcBorders>
              <w:top w:val="nil"/>
              <w:left w:val="nil"/>
              <w:bottom w:val="nil"/>
              <w:right w:val="nil"/>
            </w:tcBorders>
          </w:tcPr>
          <w:p w14:paraId="62B121AB" w14:textId="77777777" w:rsidR="003C6EAA" w:rsidRDefault="003C6EAA" w:rsidP="003C6EAA">
            <w:pPr>
              <w:pStyle w:val="a0"/>
            </w:pPr>
            <w:r>
              <w:rPr>
                <w:rtl/>
              </w:rPr>
              <w:t xml:space="preserve">* * * * * * * </w:t>
            </w:r>
          </w:p>
        </w:tc>
        <w:tc>
          <w:tcPr>
            <w:tcW w:w="4111" w:type="dxa"/>
            <w:tcBorders>
              <w:top w:val="nil"/>
              <w:left w:val="nil"/>
              <w:bottom w:val="nil"/>
              <w:right w:val="nil"/>
            </w:tcBorders>
          </w:tcPr>
          <w:p w14:paraId="4065924F" w14:textId="77777777" w:rsidR="003C6EAA" w:rsidRDefault="003C6EAA" w:rsidP="003C6EAA">
            <w:pPr>
              <w:pStyle w:val="a0"/>
              <w:rPr>
                <w:rtl/>
              </w:rPr>
            </w:pPr>
            <w:r>
              <w:rPr>
                <w:rtl/>
              </w:rPr>
              <w:t>כל הזכויות שמורות לישיבת הר עציון</w:t>
            </w:r>
            <w:r>
              <w:rPr>
                <w:rFonts w:hint="cs"/>
                <w:rtl/>
              </w:rPr>
              <w:t xml:space="preserve"> ולפרופ' יונתן גרוסמן</w:t>
            </w:r>
          </w:p>
          <w:p w14:paraId="13AABDD7" w14:textId="77777777" w:rsidR="003C6EAA" w:rsidRDefault="003C6EAA" w:rsidP="003C6EAA">
            <w:pPr>
              <w:pStyle w:val="a0"/>
              <w:rPr>
                <w:rtl/>
              </w:rPr>
            </w:pPr>
            <w:r>
              <w:rPr>
                <w:rtl/>
              </w:rPr>
              <w:t xml:space="preserve">עורך: </w:t>
            </w:r>
            <w:r>
              <w:rPr>
                <w:rFonts w:hint="cs"/>
                <w:rtl/>
              </w:rPr>
              <w:t>בנימין פרנקל, תשע"ט</w:t>
            </w:r>
          </w:p>
          <w:p w14:paraId="18418C1E" w14:textId="77777777" w:rsidR="003C6EAA" w:rsidRDefault="003C6EAA" w:rsidP="003C6EAA">
            <w:pPr>
              <w:pStyle w:val="a0"/>
              <w:rPr>
                <w:rtl/>
              </w:rPr>
            </w:pPr>
            <w:r>
              <w:rPr>
                <w:rtl/>
              </w:rPr>
              <w:t>*******************************************************</w:t>
            </w:r>
          </w:p>
          <w:p w14:paraId="25A9186B" w14:textId="77777777" w:rsidR="003C6EAA" w:rsidRDefault="003C6EAA" w:rsidP="003C6EAA">
            <w:pPr>
              <w:pStyle w:val="a0"/>
              <w:rPr>
                <w:rtl/>
              </w:rPr>
            </w:pPr>
            <w:r>
              <w:rPr>
                <w:rtl/>
              </w:rPr>
              <w:t xml:space="preserve">בית המדרש הוירטואלי </w:t>
            </w:r>
          </w:p>
          <w:p w14:paraId="631A7937" w14:textId="77777777" w:rsidR="003C6EAA" w:rsidRPr="005734F1" w:rsidRDefault="003C6EAA" w:rsidP="003C6EAA">
            <w:pPr>
              <w:pStyle w:val="a0"/>
              <w:rPr>
                <w:rtl/>
              </w:rPr>
            </w:pPr>
            <w:r w:rsidRPr="005734F1">
              <w:rPr>
                <w:rtl/>
              </w:rPr>
              <w:t xml:space="preserve">מיסודו של </w:t>
            </w:r>
          </w:p>
          <w:p w14:paraId="09A9239A" w14:textId="77777777" w:rsidR="003C6EAA" w:rsidRPr="005734F1" w:rsidRDefault="003C6EAA" w:rsidP="003C6EAA">
            <w:pPr>
              <w:pStyle w:val="a0"/>
              <w:rPr>
                <w:rtl/>
              </w:rPr>
            </w:pPr>
            <w:r w:rsidRPr="005734F1">
              <w:t>The Israel Koschitzky Virtual Beit Midrash</w:t>
            </w:r>
          </w:p>
          <w:p w14:paraId="38C77EA6" w14:textId="77777777" w:rsidR="003C6EAA" w:rsidRPr="006B5BCF" w:rsidRDefault="003C6EAA" w:rsidP="003C6EAA">
            <w:pPr>
              <w:pStyle w:val="a0"/>
              <w:rPr>
                <w:noProof w:val="0"/>
                <w:rtl/>
              </w:rPr>
            </w:pPr>
            <w:r>
              <w:rPr>
                <w:noProof w:val="0"/>
                <w:rtl/>
              </w:rPr>
              <w:t>האתר בעברית:</w:t>
            </w:r>
            <w:r>
              <w:rPr>
                <w:noProof w:val="0"/>
                <w:rtl/>
              </w:rPr>
              <w:tab/>
            </w:r>
            <w:hyperlink r:id="rId9" w:history="1">
              <w:r w:rsidRPr="006B5BCF">
                <w:rPr>
                  <w:rStyle w:val="Hyperlink"/>
                </w:rPr>
                <w:t>https://etzion.org.il/</w:t>
              </w:r>
            </w:hyperlink>
          </w:p>
          <w:p w14:paraId="58526684" w14:textId="77777777" w:rsidR="003C6EAA" w:rsidRDefault="003C6EAA" w:rsidP="003C6EAA">
            <w:pPr>
              <w:pStyle w:val="a0"/>
              <w:rPr>
                <w:noProof w:val="0"/>
                <w:rtl/>
              </w:rPr>
            </w:pPr>
            <w:r>
              <w:rPr>
                <w:noProof w:val="0"/>
                <w:rtl/>
              </w:rPr>
              <w:t>האתר באנגלית:</w:t>
            </w:r>
            <w:r>
              <w:rPr>
                <w:noProof w:val="0"/>
                <w:rtl/>
              </w:rPr>
              <w:tab/>
            </w:r>
            <w:hyperlink r:id="rId10" w:history="1">
              <w:r>
                <w:rPr>
                  <w:rStyle w:val="Hyperlink"/>
                </w:rPr>
                <w:t>http://www.vbm-torah.org</w:t>
              </w:r>
            </w:hyperlink>
          </w:p>
          <w:p w14:paraId="6C33C957" w14:textId="77777777" w:rsidR="003C6EAA" w:rsidRDefault="003C6EAA" w:rsidP="003C6EAA">
            <w:pPr>
              <w:pStyle w:val="a0"/>
              <w:rPr>
                <w:rtl/>
              </w:rPr>
            </w:pPr>
          </w:p>
          <w:p w14:paraId="19C00452" w14:textId="77777777" w:rsidR="003C6EAA" w:rsidRDefault="003C6EAA" w:rsidP="003C6EAA">
            <w:pPr>
              <w:pStyle w:val="a0"/>
              <w:rPr>
                <w:rtl/>
              </w:rPr>
            </w:pPr>
            <w:r>
              <w:rPr>
                <w:rtl/>
              </w:rPr>
              <w:t xml:space="preserve">משרדי בית המדרש הוירטואלי: 02-9937300 שלוחה 5 </w:t>
            </w:r>
          </w:p>
          <w:p w14:paraId="76727F0C" w14:textId="77777777" w:rsidR="003C6EAA" w:rsidRDefault="003C6EAA" w:rsidP="003C6EAA">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180F795" w14:textId="77777777" w:rsidR="003C6EAA" w:rsidRDefault="003C6EAA" w:rsidP="003C6EAA">
            <w:pPr>
              <w:pStyle w:val="a0"/>
            </w:pPr>
          </w:p>
        </w:tc>
        <w:tc>
          <w:tcPr>
            <w:tcW w:w="284" w:type="dxa"/>
            <w:tcBorders>
              <w:top w:val="nil"/>
              <w:left w:val="nil"/>
              <w:bottom w:val="nil"/>
              <w:right w:val="nil"/>
            </w:tcBorders>
          </w:tcPr>
          <w:p w14:paraId="6BA6CB4B" w14:textId="77777777" w:rsidR="003C6EAA" w:rsidRDefault="003C6EAA" w:rsidP="003C6EAA">
            <w:pPr>
              <w:pStyle w:val="a0"/>
              <w:rPr>
                <w:rtl/>
              </w:rPr>
            </w:pPr>
            <w:r>
              <w:rPr>
                <w:rtl/>
              </w:rPr>
              <w:t xml:space="preserve">* * * * * * * </w:t>
            </w:r>
          </w:p>
        </w:tc>
      </w:tr>
    </w:tbl>
    <w:p w14:paraId="556AE01A" w14:textId="77777777" w:rsidR="00900424" w:rsidRPr="00597994" w:rsidRDefault="00900424" w:rsidP="00900424"/>
    <w:p w14:paraId="189912E7" w14:textId="77777777" w:rsidR="00144C37" w:rsidRDefault="00144C37" w:rsidP="00984E52">
      <w:pPr>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46AB" w14:textId="77777777" w:rsidR="002C5521" w:rsidRDefault="002C5521" w:rsidP="00984E52">
      <w:r>
        <w:separator/>
      </w:r>
    </w:p>
    <w:p w14:paraId="29D4F4C6" w14:textId="77777777" w:rsidR="002C5521" w:rsidRDefault="002C5521" w:rsidP="00984E52"/>
  </w:endnote>
  <w:endnote w:type="continuationSeparator" w:id="0">
    <w:p w14:paraId="64D20653" w14:textId="77777777" w:rsidR="002C5521" w:rsidRDefault="002C5521" w:rsidP="00984E52">
      <w:r>
        <w:continuationSeparator/>
      </w:r>
    </w:p>
    <w:p w14:paraId="68498613" w14:textId="77777777" w:rsidR="002C5521" w:rsidRDefault="002C5521"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5958C" w14:textId="77777777" w:rsidR="002C5521" w:rsidRDefault="002C5521" w:rsidP="00984E52">
      <w:r>
        <w:separator/>
      </w:r>
    </w:p>
    <w:p w14:paraId="3BD6D5B4" w14:textId="77777777" w:rsidR="002C5521" w:rsidRDefault="002C5521" w:rsidP="00984E52"/>
  </w:footnote>
  <w:footnote w:type="continuationSeparator" w:id="0">
    <w:p w14:paraId="651AFE1A" w14:textId="77777777" w:rsidR="002C5521" w:rsidRDefault="002C5521" w:rsidP="00984E52">
      <w:r>
        <w:continuationSeparator/>
      </w:r>
    </w:p>
    <w:p w14:paraId="57931984" w14:textId="77777777" w:rsidR="002C5521" w:rsidRDefault="002C5521" w:rsidP="00984E52"/>
  </w:footnote>
  <w:footnote w:id="1">
    <w:p w14:paraId="32DC8A74" w14:textId="514324C5"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tl/>
        </w:rPr>
        <w:t>ויקרא רבה, פר' כ', ה.</w:t>
      </w:r>
    </w:p>
  </w:footnote>
  <w:footnote w:id="2">
    <w:p w14:paraId="51B84421" w14:textId="17E6804C"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tl/>
        </w:rPr>
        <w:t>ישנ</w:t>
      </w:r>
      <w:r w:rsidRPr="00C76BBE">
        <w:rPr>
          <w:rFonts w:hint="cs"/>
          <w:rtl/>
        </w:rPr>
        <w:t xml:space="preserve">ם פערים בחומרי העלילה שמקשים על </w:t>
      </w:r>
      <w:r w:rsidRPr="00C76BBE">
        <w:rPr>
          <w:rtl/>
        </w:rPr>
        <w:t xml:space="preserve">הבנת </w:t>
      </w:r>
      <w:r w:rsidRPr="00C76BBE">
        <w:rPr>
          <w:rFonts w:hint="cs"/>
          <w:rtl/>
        </w:rPr>
        <w:t>'סיפור המעשה'</w:t>
      </w:r>
      <w:r w:rsidRPr="00C76BBE">
        <w:rPr>
          <w:rtl/>
        </w:rPr>
        <w:t xml:space="preserve">, </w:t>
      </w:r>
      <w:r w:rsidRPr="00C76BBE">
        <w:rPr>
          <w:rFonts w:hint="cs"/>
          <w:rtl/>
        </w:rPr>
        <w:t>כמו:</w:t>
      </w:r>
    </w:p>
    <w:p w14:paraId="251A847A" w14:textId="32849948" w:rsidR="00C76BBE" w:rsidRPr="00C76BBE" w:rsidRDefault="00C76BBE" w:rsidP="00C76BBE">
      <w:pPr>
        <w:pStyle w:val="FootnoteText"/>
        <w:numPr>
          <w:ilvl w:val="0"/>
          <w:numId w:val="50"/>
        </w:numPr>
        <w:rPr>
          <w:rtl/>
        </w:rPr>
      </w:pPr>
      <w:r w:rsidRPr="00C76BBE">
        <w:rPr>
          <w:rtl/>
        </w:rPr>
        <w:t>מתי הקריבו את ה"אש הזרה"</w:t>
      </w:r>
      <w:r w:rsidRPr="00C76BBE">
        <w:rPr>
          <w:rFonts w:hint="cs"/>
          <w:rtl/>
        </w:rPr>
        <w:t>:</w:t>
      </w:r>
      <w:r w:rsidRPr="00C76BBE">
        <w:rPr>
          <w:rtl/>
        </w:rPr>
        <w:t xml:space="preserve"> לפני שירדה האש מן השמים </w:t>
      </w:r>
      <w:r w:rsidRPr="00C76BBE">
        <w:rPr>
          <w:sz w:val="16"/>
          <w:szCs w:val="16"/>
          <w:rtl/>
        </w:rPr>
        <w:t xml:space="preserve">(כדברי מכילתא </w:t>
      </w:r>
      <w:proofErr w:type="spellStart"/>
      <w:r w:rsidRPr="00C76BBE">
        <w:rPr>
          <w:sz w:val="16"/>
          <w:szCs w:val="16"/>
          <w:rtl/>
        </w:rPr>
        <w:t>דמילואים</w:t>
      </w:r>
      <w:proofErr w:type="spellEnd"/>
      <w:r w:rsidRPr="00C76BBE">
        <w:rPr>
          <w:sz w:val="16"/>
          <w:szCs w:val="16"/>
          <w:rtl/>
        </w:rPr>
        <w:t xml:space="preserve">, שמיני, פר' </w:t>
      </w:r>
      <w:proofErr w:type="spellStart"/>
      <w:r w:rsidRPr="00C76BBE">
        <w:rPr>
          <w:sz w:val="16"/>
          <w:szCs w:val="16"/>
          <w:rtl/>
        </w:rPr>
        <w:t>כב</w:t>
      </w:r>
      <w:proofErr w:type="spellEnd"/>
      <w:r w:rsidRPr="00C76BBE">
        <w:rPr>
          <w:sz w:val="16"/>
          <w:szCs w:val="16"/>
          <w:rtl/>
        </w:rPr>
        <w:t>)</w:t>
      </w:r>
      <w:r w:rsidRPr="00C76BBE">
        <w:rPr>
          <w:rFonts w:hint="cs"/>
          <w:rtl/>
        </w:rPr>
        <w:t>;</w:t>
      </w:r>
      <w:r w:rsidRPr="00C76BBE">
        <w:rPr>
          <w:rtl/>
        </w:rPr>
        <w:t xml:space="preserve"> או שמא לאחר שירדה האש </w:t>
      </w:r>
      <w:r w:rsidRPr="00C76BBE">
        <w:rPr>
          <w:sz w:val="16"/>
          <w:szCs w:val="16"/>
          <w:rtl/>
        </w:rPr>
        <w:t>(כדברי אותו מקור בפר' לב)</w:t>
      </w:r>
      <w:r w:rsidRPr="00C76BBE">
        <w:rPr>
          <w:rFonts w:hint="cs"/>
          <w:rtl/>
        </w:rPr>
        <w:t>?</w:t>
      </w:r>
    </w:p>
    <w:p w14:paraId="0558F1AC" w14:textId="3A79EE18" w:rsidR="00C76BBE" w:rsidRPr="00C76BBE" w:rsidRDefault="00C76BBE" w:rsidP="00C76BBE">
      <w:pPr>
        <w:pStyle w:val="FootnoteText"/>
        <w:numPr>
          <w:ilvl w:val="0"/>
          <w:numId w:val="50"/>
        </w:numPr>
        <w:rPr>
          <w:rtl/>
        </w:rPr>
      </w:pPr>
      <w:r w:rsidRPr="00C76BBE">
        <w:rPr>
          <w:rtl/>
        </w:rPr>
        <w:t>מקום הקרבת האש: בק</w:t>
      </w:r>
      <w:r w:rsidRPr="00C76BBE">
        <w:rPr>
          <w:rFonts w:hint="cs"/>
          <w:rtl/>
        </w:rPr>
        <w:t>ו</w:t>
      </w:r>
      <w:r w:rsidRPr="00C76BBE">
        <w:rPr>
          <w:rtl/>
        </w:rPr>
        <w:t>דש הק</w:t>
      </w:r>
      <w:r w:rsidRPr="00C76BBE">
        <w:rPr>
          <w:rFonts w:hint="cs"/>
          <w:rtl/>
        </w:rPr>
        <w:t>ו</w:t>
      </w:r>
      <w:r w:rsidRPr="00C76BBE">
        <w:rPr>
          <w:rtl/>
        </w:rPr>
        <w:t xml:space="preserve">דשים </w:t>
      </w:r>
      <w:r w:rsidRPr="00C76BBE">
        <w:rPr>
          <w:sz w:val="16"/>
          <w:szCs w:val="16"/>
          <w:rtl/>
        </w:rPr>
        <w:t xml:space="preserve">(במכילתא </w:t>
      </w:r>
      <w:r w:rsidRPr="00C76BBE">
        <w:rPr>
          <w:rFonts w:hint="cs"/>
          <w:sz w:val="16"/>
          <w:szCs w:val="16"/>
          <w:rtl/>
        </w:rPr>
        <w:t>שם</w:t>
      </w:r>
      <w:r w:rsidRPr="00C76BBE">
        <w:rPr>
          <w:sz w:val="16"/>
          <w:szCs w:val="16"/>
          <w:rtl/>
        </w:rPr>
        <w:t xml:space="preserve">, פר' </w:t>
      </w:r>
      <w:proofErr w:type="spellStart"/>
      <w:r w:rsidRPr="00C76BBE">
        <w:rPr>
          <w:sz w:val="16"/>
          <w:szCs w:val="16"/>
          <w:rtl/>
        </w:rPr>
        <w:t>כב</w:t>
      </w:r>
      <w:proofErr w:type="spellEnd"/>
      <w:r w:rsidRPr="00C76BBE">
        <w:rPr>
          <w:sz w:val="16"/>
          <w:szCs w:val="16"/>
          <w:rtl/>
        </w:rPr>
        <w:t>)</w:t>
      </w:r>
      <w:r w:rsidRPr="00C76BBE">
        <w:rPr>
          <w:rtl/>
        </w:rPr>
        <w:t xml:space="preserve">; על מזבח הקטורת </w:t>
      </w:r>
      <w:r w:rsidRPr="00C76BBE">
        <w:rPr>
          <w:sz w:val="16"/>
          <w:szCs w:val="16"/>
          <w:rtl/>
        </w:rPr>
        <w:t xml:space="preserve">(פירוש </w:t>
      </w:r>
      <w:proofErr w:type="spellStart"/>
      <w:r w:rsidRPr="00C76BBE">
        <w:rPr>
          <w:sz w:val="16"/>
          <w:szCs w:val="16"/>
          <w:rtl/>
        </w:rPr>
        <w:t>הראב"ד</w:t>
      </w:r>
      <w:proofErr w:type="spellEnd"/>
      <w:r w:rsidRPr="00C76BBE">
        <w:rPr>
          <w:sz w:val="16"/>
          <w:szCs w:val="16"/>
          <w:rtl/>
        </w:rPr>
        <w:t xml:space="preserve"> על המכילתא הנזכרת)</w:t>
      </w:r>
      <w:r w:rsidRPr="00C76BBE">
        <w:rPr>
          <w:rtl/>
        </w:rPr>
        <w:t xml:space="preserve">; </w:t>
      </w:r>
      <w:r w:rsidRPr="00C76BBE">
        <w:rPr>
          <w:rFonts w:hint="cs"/>
          <w:rtl/>
        </w:rPr>
        <w:t xml:space="preserve">או </w:t>
      </w:r>
      <w:r w:rsidRPr="00C76BBE">
        <w:rPr>
          <w:rtl/>
        </w:rPr>
        <w:t xml:space="preserve">על מזבח העולה </w:t>
      </w:r>
      <w:r w:rsidRPr="00C76BBE">
        <w:rPr>
          <w:sz w:val="16"/>
          <w:szCs w:val="16"/>
          <w:rtl/>
        </w:rPr>
        <w:t>(בעלי התוספות, בבלי עירובין ס"ג ע"א, ד"ה "מאי דרוש")</w:t>
      </w:r>
      <w:r w:rsidRPr="00C76BBE">
        <w:rPr>
          <w:rFonts w:hint="cs"/>
          <w:rtl/>
        </w:rPr>
        <w:t>?</w:t>
      </w:r>
    </w:p>
    <w:p w14:paraId="403C138C" w14:textId="62B89944" w:rsidR="00C76BBE" w:rsidRPr="00C76BBE" w:rsidRDefault="00C76BBE" w:rsidP="00C76BBE">
      <w:pPr>
        <w:pStyle w:val="FootnoteText"/>
        <w:numPr>
          <w:ilvl w:val="0"/>
          <w:numId w:val="50"/>
        </w:numPr>
        <w:rPr>
          <w:rtl/>
        </w:rPr>
      </w:pPr>
      <w:r w:rsidRPr="00C76BBE">
        <w:rPr>
          <w:rtl/>
        </w:rPr>
        <w:t xml:space="preserve">משמעות "אש זרה": אש שהוצתה בידי אדם (מכילתא, שם); אש שהובאה מן הכיריים </w:t>
      </w:r>
      <w:r w:rsidRPr="00C76BBE">
        <w:rPr>
          <w:sz w:val="16"/>
          <w:szCs w:val="16"/>
          <w:rtl/>
        </w:rPr>
        <w:t>(=מקום חולין, זוהי דעתו של ר' עקיבא, במכילתא, פר' לב)</w:t>
      </w:r>
      <w:r w:rsidRPr="00C76BBE">
        <w:rPr>
          <w:rtl/>
        </w:rPr>
        <w:t xml:space="preserve">; אש שהוצתה שלא בזמנה </w:t>
      </w:r>
      <w:r w:rsidRPr="00C76BBE">
        <w:rPr>
          <w:sz w:val="16"/>
          <w:szCs w:val="16"/>
          <w:rtl/>
        </w:rPr>
        <w:t>(דעת ר' ישמעאל, שם)</w:t>
      </w:r>
      <w:r w:rsidRPr="00C76BBE">
        <w:rPr>
          <w:rtl/>
        </w:rPr>
        <w:t xml:space="preserve">; </w:t>
      </w:r>
      <w:r w:rsidRPr="00C76BBE">
        <w:rPr>
          <w:rFonts w:hint="cs"/>
          <w:rtl/>
        </w:rPr>
        <w:t xml:space="preserve">או </w:t>
      </w:r>
      <w:r w:rsidRPr="00C76BBE">
        <w:rPr>
          <w:rtl/>
        </w:rPr>
        <w:t xml:space="preserve">אש שהביאוה על דעת עצמם </w:t>
      </w:r>
      <w:r w:rsidRPr="00C76BBE">
        <w:rPr>
          <w:sz w:val="16"/>
          <w:szCs w:val="16"/>
          <w:rtl/>
        </w:rPr>
        <w:t>(דעת ר' אליעזר, שם)</w:t>
      </w:r>
      <w:r w:rsidRPr="00C76BBE">
        <w:rPr>
          <w:rtl/>
        </w:rPr>
        <w:t>.</w:t>
      </w:r>
    </w:p>
    <w:p w14:paraId="5BC6C750" w14:textId="5EDCA217" w:rsidR="00C76BBE" w:rsidRPr="00C76BBE" w:rsidRDefault="00C76BBE" w:rsidP="00C76BBE">
      <w:pPr>
        <w:pStyle w:val="FootnoteText"/>
        <w:rPr>
          <w:rtl/>
        </w:rPr>
      </w:pPr>
      <w:r>
        <w:rPr>
          <w:rtl/>
        </w:rPr>
        <w:tab/>
      </w:r>
      <w:r w:rsidRPr="00C76BBE">
        <w:rPr>
          <w:rtl/>
        </w:rPr>
        <w:t xml:space="preserve">קצרה יריעה זו מלפתוח דיון ממצה בשאלות אלו ובתשובות השונות שניתנו להן. </w:t>
      </w:r>
      <w:r w:rsidRPr="00C76BBE">
        <w:rPr>
          <w:rFonts w:hint="cs"/>
          <w:rtl/>
        </w:rPr>
        <w:t>לאורך דיוננו אכריע בחלק מן ההתלבטויות הללו</w:t>
      </w:r>
      <w:r w:rsidRPr="00C76BBE">
        <w:rPr>
          <w:rtl/>
        </w:rPr>
        <w:t>.</w:t>
      </w:r>
    </w:p>
  </w:footnote>
  <w:footnote w:id="3">
    <w:p w14:paraId="73D91FA7" w14:textId="00D49837"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Fonts w:hint="cs"/>
          <w:rtl/>
        </w:rPr>
        <w:t xml:space="preserve">סקירות ודיונים </w:t>
      </w:r>
      <w:r w:rsidRPr="00C76BBE">
        <w:rPr>
          <w:rtl/>
        </w:rPr>
        <w:t xml:space="preserve">בגישות חז"ל </w:t>
      </w:r>
      <w:r w:rsidRPr="00C76BBE">
        <w:rPr>
          <w:rFonts w:hint="cs"/>
          <w:rtl/>
        </w:rPr>
        <w:t>המגוונות</w:t>
      </w:r>
      <w:r w:rsidRPr="00C76BBE">
        <w:rPr>
          <w:rtl/>
        </w:rPr>
        <w:t xml:space="preserve"> ימצא ה</w:t>
      </w:r>
      <w:r w:rsidRPr="00C76BBE">
        <w:rPr>
          <w:rFonts w:hint="cs"/>
          <w:rtl/>
        </w:rPr>
        <w:t xml:space="preserve">מעיין במאמרים הבאים: </w:t>
      </w:r>
      <w:r w:rsidRPr="00C76BBE">
        <w:rPr>
          <w:rtl/>
        </w:rPr>
        <w:t>ע</w:t>
      </w:r>
      <w:r w:rsidRPr="00C76BBE">
        <w:rPr>
          <w:rFonts w:hint="cs"/>
          <w:rtl/>
        </w:rPr>
        <w:t xml:space="preserve">' </w:t>
      </w:r>
      <w:r w:rsidRPr="00C76BBE">
        <w:rPr>
          <w:rtl/>
        </w:rPr>
        <w:t>חכם</w:t>
      </w:r>
      <w:r w:rsidRPr="00C76BBE">
        <w:rPr>
          <w:rFonts w:hint="cs"/>
          <w:rtl/>
        </w:rPr>
        <w:t>, "</w:t>
      </w:r>
      <w:r w:rsidRPr="00C76BBE">
        <w:rPr>
          <w:rtl/>
        </w:rPr>
        <w:t>נדב ואביהו</w:t>
      </w:r>
      <w:r w:rsidRPr="00C76BBE">
        <w:rPr>
          <w:rFonts w:hint="cs"/>
          <w:rtl/>
        </w:rPr>
        <w:t>"</w:t>
      </w:r>
      <w:r w:rsidRPr="00C76BBE">
        <w:rPr>
          <w:rtl/>
        </w:rPr>
        <w:t xml:space="preserve">, </w:t>
      </w:r>
      <w:r w:rsidRPr="00C76BBE">
        <w:rPr>
          <w:b/>
          <w:bCs/>
          <w:rtl/>
        </w:rPr>
        <w:t>מעינות</w:t>
      </w:r>
      <w:r w:rsidRPr="00C76BBE">
        <w:rPr>
          <w:rtl/>
        </w:rPr>
        <w:t xml:space="preserve"> </w:t>
      </w:r>
      <w:r w:rsidRPr="00C76BBE">
        <w:rPr>
          <w:rFonts w:hint="cs"/>
          <w:rtl/>
        </w:rPr>
        <w:t>יא (</w:t>
      </w:r>
      <w:r w:rsidRPr="00C76BBE">
        <w:rPr>
          <w:rtl/>
        </w:rPr>
        <w:t>תשמ"ו</w:t>
      </w:r>
      <w:r w:rsidRPr="00C76BBE">
        <w:rPr>
          <w:rFonts w:hint="cs"/>
          <w:rtl/>
        </w:rPr>
        <w:t>)</w:t>
      </w:r>
      <w:r w:rsidRPr="00C76BBE">
        <w:rPr>
          <w:rtl/>
        </w:rPr>
        <w:t>, עמ'</w:t>
      </w:r>
      <w:r w:rsidRPr="00C76BBE">
        <w:rPr>
          <w:rFonts w:hint="cs"/>
          <w:rtl/>
        </w:rPr>
        <w:t xml:space="preserve"> 96</w:t>
      </w:r>
      <w:r w:rsidRPr="00C76BBE">
        <w:rPr>
          <w:rtl/>
        </w:rPr>
        <w:softHyphen/>
      </w:r>
      <w:r w:rsidRPr="00C76BBE">
        <w:rPr>
          <w:rFonts w:hint="cs"/>
          <w:rtl/>
        </w:rPr>
        <w:t>-137;</w:t>
      </w:r>
      <w:r w:rsidRPr="00C76BBE">
        <w:rPr>
          <w:rtl/>
        </w:rPr>
        <w:t xml:space="preserve"> </w:t>
      </w:r>
      <w:r w:rsidRPr="00C76BBE">
        <w:rPr>
          <w:rFonts w:hint="cs"/>
          <w:rtl/>
        </w:rPr>
        <w:t>א' שנאן, "</w:t>
      </w:r>
      <w:r w:rsidRPr="00C76BBE">
        <w:rPr>
          <w:rtl/>
        </w:rPr>
        <w:t>חטאיהם של נדב ואביהוא באגדת חז"ל: לבעיית הסיפור המקראי המורחב באגדת חז"ל</w:t>
      </w:r>
      <w:r w:rsidRPr="00C76BBE">
        <w:rPr>
          <w:rFonts w:hint="cs"/>
          <w:rtl/>
        </w:rPr>
        <w:t xml:space="preserve">", </w:t>
      </w:r>
      <w:r w:rsidRPr="00C76BBE">
        <w:rPr>
          <w:rFonts w:hint="cs"/>
          <w:b/>
          <w:bCs/>
          <w:rtl/>
        </w:rPr>
        <w:t>תרביץ</w:t>
      </w:r>
      <w:r w:rsidRPr="00C76BBE">
        <w:rPr>
          <w:rFonts w:hint="cs"/>
          <w:rtl/>
        </w:rPr>
        <w:t xml:space="preserve"> מח (תשל"ט), עמ' 201</w:t>
      </w:r>
      <w:r w:rsidRPr="00C76BBE">
        <w:rPr>
          <w:rtl/>
        </w:rPr>
        <w:softHyphen/>
      </w:r>
      <w:r w:rsidRPr="00C76BBE">
        <w:rPr>
          <w:rFonts w:hint="cs"/>
          <w:rtl/>
        </w:rPr>
        <w:t xml:space="preserve">-214; </w:t>
      </w:r>
      <w:r w:rsidRPr="00C76BBE">
        <w:t xml:space="preserve">R. </w:t>
      </w:r>
      <w:proofErr w:type="spellStart"/>
      <w:r w:rsidRPr="00C76BBE">
        <w:t>Kirschner</w:t>
      </w:r>
      <w:proofErr w:type="spellEnd"/>
      <w:r w:rsidRPr="00C76BBE">
        <w:t xml:space="preserve">, "The Rabbinic and </w:t>
      </w:r>
      <w:proofErr w:type="spellStart"/>
      <w:r w:rsidRPr="00C76BBE">
        <w:t>Philonic</w:t>
      </w:r>
      <w:proofErr w:type="spellEnd"/>
      <w:r w:rsidRPr="00C76BBE">
        <w:t xml:space="preserve"> Exegeses of the </w:t>
      </w:r>
      <w:proofErr w:type="spellStart"/>
      <w:r w:rsidRPr="00C76BBE">
        <w:t>Nadab</w:t>
      </w:r>
      <w:proofErr w:type="spellEnd"/>
      <w:r w:rsidRPr="00C76BBE">
        <w:t xml:space="preserve"> and </w:t>
      </w:r>
      <w:proofErr w:type="spellStart"/>
      <w:r w:rsidRPr="00C76BBE">
        <w:t>Abihu</w:t>
      </w:r>
      <w:proofErr w:type="spellEnd"/>
      <w:r w:rsidRPr="00C76BBE">
        <w:t xml:space="preserve"> Incident (Lev. 10:1-6)", JQR 73 (1983), pp. 375-393</w:t>
      </w:r>
      <w:r w:rsidRPr="00C76BBE">
        <w:rPr>
          <w:rFonts w:hint="cs"/>
          <w:rtl/>
        </w:rPr>
        <w:t>.</w:t>
      </w:r>
    </w:p>
  </w:footnote>
  <w:footnote w:id="4">
    <w:p w14:paraId="6BA03078" w14:textId="76E016B9"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tl/>
        </w:rPr>
        <w:t>ויקרא רבה, פר' כ', ט</w:t>
      </w:r>
      <w:r w:rsidRPr="00C76BBE">
        <w:rPr>
          <w:rFonts w:hint="cs"/>
          <w:rtl/>
        </w:rPr>
        <w:t>'</w:t>
      </w:r>
      <w:r w:rsidRPr="00C76BBE">
        <w:rPr>
          <w:rtl/>
        </w:rPr>
        <w:t xml:space="preserve"> (דעת ר' לוי. הוא מדגיש שהיו חסרים את המעיל).</w:t>
      </w:r>
    </w:p>
  </w:footnote>
  <w:footnote w:id="5">
    <w:p w14:paraId="7B704D86" w14:textId="0DD49F83"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tl/>
        </w:rPr>
        <w:t xml:space="preserve">ויקרא רבה, </w:t>
      </w:r>
      <w:r w:rsidRPr="00C76BBE">
        <w:rPr>
          <w:rFonts w:hint="cs"/>
          <w:rtl/>
        </w:rPr>
        <w:t xml:space="preserve">שם </w:t>
      </w:r>
      <w:r w:rsidRPr="00C76BBE">
        <w:rPr>
          <w:rtl/>
        </w:rPr>
        <w:t>(דעה שניה בשם ר' לוי).</w:t>
      </w:r>
    </w:p>
  </w:footnote>
  <w:footnote w:id="6">
    <w:p w14:paraId="1E5AF71B" w14:textId="1E79616B"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tl/>
        </w:rPr>
        <w:t xml:space="preserve">בעלי התוספות, בבלי יומא נ"ג ע"א, ד"ה "שהורו", בשם </w:t>
      </w:r>
      <w:proofErr w:type="spellStart"/>
      <w:r w:rsidRPr="00C76BBE">
        <w:rPr>
          <w:rFonts w:hint="cs"/>
          <w:rtl/>
        </w:rPr>
        <w:t>הספרא</w:t>
      </w:r>
      <w:proofErr w:type="spellEnd"/>
      <w:r w:rsidRPr="00C76BBE">
        <w:rPr>
          <w:rFonts w:hint="cs"/>
          <w:rtl/>
        </w:rPr>
        <w:t xml:space="preserve">. </w:t>
      </w:r>
      <w:r w:rsidRPr="00C76BBE">
        <w:rPr>
          <w:rtl/>
        </w:rPr>
        <w:t>ב</w:t>
      </w:r>
      <w:r w:rsidRPr="00C76BBE">
        <w:rPr>
          <w:rFonts w:hint="cs"/>
          <w:rtl/>
        </w:rPr>
        <w:t xml:space="preserve">ספרא </w:t>
      </w:r>
      <w:r w:rsidRPr="00C76BBE">
        <w:rPr>
          <w:rtl/>
        </w:rPr>
        <w:t>שלפנינו דעה זו אינה מופיעה, אך ע</w:t>
      </w:r>
      <w:r w:rsidRPr="00C76BBE">
        <w:rPr>
          <w:rFonts w:hint="cs"/>
          <w:rtl/>
        </w:rPr>
        <w:t xml:space="preserve">מוס </w:t>
      </w:r>
      <w:r w:rsidRPr="00C76BBE">
        <w:rPr>
          <w:rtl/>
        </w:rPr>
        <w:t xml:space="preserve">חכם </w:t>
      </w:r>
      <w:r w:rsidRPr="0089310B">
        <w:rPr>
          <w:sz w:val="16"/>
          <w:szCs w:val="16"/>
          <w:rtl/>
        </w:rPr>
        <w:t>(נדב ואביהו</w:t>
      </w:r>
      <w:r w:rsidRPr="0089310B">
        <w:rPr>
          <w:rFonts w:hint="cs"/>
          <w:sz w:val="16"/>
          <w:szCs w:val="16"/>
          <w:rtl/>
        </w:rPr>
        <w:t>,</w:t>
      </w:r>
      <w:r w:rsidRPr="0089310B">
        <w:rPr>
          <w:sz w:val="16"/>
          <w:szCs w:val="16"/>
          <w:rtl/>
        </w:rPr>
        <w:t xml:space="preserve"> עמ' 106)</w:t>
      </w:r>
      <w:r w:rsidRPr="00C76BBE">
        <w:rPr>
          <w:rtl/>
        </w:rPr>
        <w:t xml:space="preserve"> מעיר שסגנון דומה מופיע </w:t>
      </w:r>
      <w:proofErr w:type="spellStart"/>
      <w:r w:rsidRPr="00C76BBE">
        <w:rPr>
          <w:rtl/>
        </w:rPr>
        <w:t>בויקרא</w:t>
      </w:r>
      <w:proofErr w:type="spellEnd"/>
      <w:r w:rsidRPr="00C76BBE">
        <w:rPr>
          <w:rtl/>
        </w:rPr>
        <w:t xml:space="preserve"> רבה פר' כ', י, </w:t>
      </w:r>
      <w:r w:rsidRPr="00C76BBE">
        <w:rPr>
          <w:rFonts w:hint="cs"/>
          <w:rtl/>
        </w:rPr>
        <w:t>ביחס ל</w:t>
      </w:r>
      <w:r w:rsidRPr="00C76BBE">
        <w:rPr>
          <w:rtl/>
        </w:rPr>
        <w:t>התנהגות נדב ואביהו</w:t>
      </w:r>
      <w:r w:rsidR="00E97A2F">
        <w:rPr>
          <w:rFonts w:hint="cs"/>
          <w:rtl/>
        </w:rPr>
        <w:t>א</w:t>
      </w:r>
      <w:r w:rsidRPr="00C76BBE">
        <w:rPr>
          <w:rtl/>
        </w:rPr>
        <w:t xml:space="preserve"> במעמד הר סיני.</w:t>
      </w:r>
    </w:p>
  </w:footnote>
  <w:footnote w:id="7">
    <w:p w14:paraId="22C6902A" w14:textId="3994CC47"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tl/>
        </w:rPr>
        <w:t xml:space="preserve">מכילתא </w:t>
      </w:r>
      <w:proofErr w:type="spellStart"/>
      <w:r w:rsidRPr="00C76BBE">
        <w:rPr>
          <w:rtl/>
        </w:rPr>
        <w:t>דמילואים</w:t>
      </w:r>
      <w:proofErr w:type="spellEnd"/>
      <w:r w:rsidRPr="00C76BBE">
        <w:rPr>
          <w:rtl/>
        </w:rPr>
        <w:t>, שם (דעתו של ר' אליעזר, וראה ברש"י אצלנו).</w:t>
      </w:r>
    </w:p>
  </w:footnote>
  <w:footnote w:id="8">
    <w:p w14:paraId="36956E6E" w14:textId="1C6D9B22"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tl/>
        </w:rPr>
        <w:t>ויקרא רבה, פר' כ', ט (שוב, בשמו של ר' לוי).</w:t>
      </w:r>
    </w:p>
  </w:footnote>
  <w:footnote w:id="9">
    <w:p w14:paraId="1DBA3D44" w14:textId="33E52AF0" w:rsidR="00C76BBE" w:rsidRPr="00C76BBE" w:rsidRDefault="00C76BBE" w:rsidP="00C76BBE">
      <w:pPr>
        <w:pStyle w:val="FootnoteText"/>
        <w:rPr>
          <w:rtl/>
        </w:rPr>
      </w:pPr>
      <w:r w:rsidRPr="00C76BBE">
        <w:rPr>
          <w:rStyle w:val="FootnoteReference"/>
          <w:rFonts w:eastAsia="Narkisim"/>
          <w:rtl/>
        </w:rPr>
        <w:footnoteRef/>
      </w:r>
      <w:r w:rsidRPr="00C76BBE">
        <w:rPr>
          <w:rtl/>
        </w:rPr>
        <w:t xml:space="preserve"> </w:t>
      </w:r>
      <w:r>
        <w:rPr>
          <w:rtl/>
        </w:rPr>
        <w:tab/>
      </w:r>
      <w:r w:rsidRPr="00C76BBE">
        <w:rPr>
          <w:rtl/>
        </w:rPr>
        <w:t>ויקרא רבה, פר' י', ד-ה.</w:t>
      </w:r>
    </w:p>
  </w:footnote>
  <w:footnote w:id="10">
    <w:p w14:paraId="0CCD223D" w14:textId="79AD0CE1" w:rsidR="00C76BBE" w:rsidRPr="00C76BBE" w:rsidRDefault="00C76BBE" w:rsidP="00C76BBE">
      <w:pPr>
        <w:pStyle w:val="FootnoteText"/>
        <w:rPr>
          <w:rtl/>
        </w:rPr>
      </w:pPr>
      <w:r w:rsidRPr="00C76BBE">
        <w:rPr>
          <w:rStyle w:val="FootnoteReference"/>
          <w:rFonts w:eastAsia="Narkisim"/>
        </w:rPr>
        <w:footnoteRef/>
      </w:r>
      <w:r w:rsidRPr="00C76BBE">
        <w:rPr>
          <w:rtl/>
        </w:rPr>
        <w:t xml:space="preserve"> </w:t>
      </w:r>
      <w:r>
        <w:rPr>
          <w:rtl/>
        </w:rPr>
        <w:tab/>
      </w:r>
      <w:r w:rsidRPr="00C76BBE">
        <w:rPr>
          <w:rFonts w:hint="cs"/>
          <w:rtl/>
        </w:rPr>
        <w:t>ראו על כך במיוחד במאמרו של שנאן שנזכר לעיל, "חטאיהם של נדב ואביהו".</w:t>
      </w:r>
    </w:p>
  </w:footnote>
  <w:footnote w:id="11">
    <w:p w14:paraId="34A72B0B" w14:textId="7ED40FD1" w:rsidR="00C76BBE" w:rsidRPr="00C76BBE" w:rsidRDefault="00C76BBE" w:rsidP="00C76BBE">
      <w:pPr>
        <w:pStyle w:val="FootnoteText"/>
      </w:pPr>
      <w:r w:rsidRPr="00C76BBE">
        <w:rPr>
          <w:rStyle w:val="FootnoteReference"/>
          <w:rFonts w:eastAsia="Narkisim"/>
        </w:rPr>
        <w:footnoteRef/>
      </w:r>
      <w:r w:rsidRPr="00C76BBE">
        <w:rPr>
          <w:rtl/>
        </w:rPr>
        <w:t xml:space="preserve"> </w:t>
      </w:r>
      <w:r>
        <w:rPr>
          <w:rtl/>
        </w:rPr>
        <w:tab/>
      </w:r>
      <w:r w:rsidRPr="00C76BBE">
        <w:rPr>
          <w:rFonts w:hint="cs"/>
          <w:rtl/>
        </w:rPr>
        <w:t>ראו על כך אצל: ר' קרא-</w:t>
      </w:r>
      <w:proofErr w:type="spellStart"/>
      <w:r w:rsidRPr="00C76BBE">
        <w:rPr>
          <w:rFonts w:hint="cs"/>
          <w:rtl/>
        </w:rPr>
        <w:t>איוונוב</w:t>
      </w:r>
      <w:proofErr w:type="spellEnd"/>
      <w:r w:rsidRPr="00C76BBE">
        <w:rPr>
          <w:rFonts w:hint="cs"/>
          <w:rtl/>
        </w:rPr>
        <w:t xml:space="preserve"> </w:t>
      </w:r>
      <w:proofErr w:type="spellStart"/>
      <w:r w:rsidRPr="00C76BBE">
        <w:rPr>
          <w:rFonts w:hint="cs"/>
          <w:rtl/>
        </w:rPr>
        <w:t>קניאל</w:t>
      </w:r>
      <w:proofErr w:type="spellEnd"/>
      <w:r w:rsidRPr="00C76BBE">
        <w:rPr>
          <w:rFonts w:hint="cs"/>
          <w:rtl/>
        </w:rPr>
        <w:t xml:space="preserve">, "לבעור מאהבה", </w:t>
      </w:r>
      <w:r w:rsidRPr="0089310B">
        <w:rPr>
          <w:rFonts w:hint="cs"/>
          <w:b/>
          <w:bCs/>
          <w:rtl/>
        </w:rPr>
        <w:t>תעודה</w:t>
      </w:r>
      <w:r w:rsidRPr="00C76BBE">
        <w:rPr>
          <w:rFonts w:hint="cs"/>
          <w:rtl/>
        </w:rPr>
        <w:t xml:space="preserve"> </w:t>
      </w:r>
      <w:proofErr w:type="spellStart"/>
      <w:r w:rsidRPr="00C76BBE">
        <w:rPr>
          <w:rFonts w:hint="cs"/>
          <w:rtl/>
        </w:rPr>
        <w:t>כו</w:t>
      </w:r>
      <w:proofErr w:type="spellEnd"/>
      <w:r w:rsidRPr="00C76BBE">
        <w:rPr>
          <w:rFonts w:hint="cs"/>
          <w:rtl/>
        </w:rPr>
        <w:t xml:space="preserve"> (תשע"ד), עמ' 585</w:t>
      </w:r>
      <w:r w:rsidRPr="00C76BBE">
        <w:rPr>
          <w:rtl/>
        </w:rPr>
        <w:softHyphen/>
      </w:r>
      <w:r w:rsidRPr="00C76BBE">
        <w:rPr>
          <w:rFonts w:hint="cs"/>
          <w:rtl/>
        </w:rPr>
        <w:t>-654.</w:t>
      </w:r>
    </w:p>
  </w:footnote>
  <w:footnote w:id="12">
    <w:p w14:paraId="0C2B1745" w14:textId="286FBD56" w:rsidR="00C76BBE" w:rsidRPr="00C76BBE" w:rsidRDefault="00C76BBE" w:rsidP="00C76BBE">
      <w:pPr>
        <w:pStyle w:val="FootnoteText"/>
      </w:pPr>
      <w:r w:rsidRPr="00C76BBE">
        <w:rPr>
          <w:rStyle w:val="FootnoteReference"/>
          <w:rFonts w:eastAsia="Narkisim"/>
        </w:rPr>
        <w:footnoteRef/>
      </w:r>
      <w:r w:rsidRPr="00C76BBE">
        <w:rPr>
          <w:rtl/>
        </w:rPr>
        <w:t xml:space="preserve"> </w:t>
      </w:r>
      <w:r>
        <w:rPr>
          <w:rtl/>
        </w:rPr>
        <w:tab/>
      </w:r>
      <w:r w:rsidRPr="00C76BBE">
        <w:rPr>
          <w:rFonts w:hint="cs"/>
          <w:rtl/>
        </w:rPr>
        <w:t>היה אף מי שהציע שמדובר בתאונה טרגית שאיננה עונש כלל:</w:t>
      </w:r>
      <w:r w:rsidRPr="00C76BBE">
        <w:rPr>
          <w:rFonts w:hint="cs"/>
        </w:rPr>
        <w:t xml:space="preserve"> </w:t>
      </w:r>
      <w:r w:rsidRPr="00C76BBE">
        <w:t>S. Levin, "Sense and Incense", JBQ 21 (1993), pp. 242-247</w:t>
      </w:r>
      <w:r w:rsidRPr="00C76BBE">
        <w:rPr>
          <w:rFonts w:hint="cs"/>
          <w:rtl/>
        </w:rPr>
        <w:t>.</w:t>
      </w:r>
    </w:p>
  </w:footnote>
  <w:footnote w:id="13">
    <w:p w14:paraId="6C287679" w14:textId="61BF622F" w:rsidR="00C76BBE" w:rsidRPr="00C76BBE" w:rsidRDefault="00C76BBE" w:rsidP="00C76BBE">
      <w:pPr>
        <w:pStyle w:val="FootnoteText"/>
        <w:rPr>
          <w:rtl/>
        </w:rPr>
      </w:pPr>
      <w:r w:rsidRPr="00C76BBE">
        <w:rPr>
          <w:rStyle w:val="FootnoteReference"/>
          <w:rFonts w:eastAsia="Narkisim"/>
        </w:rPr>
        <w:footnoteRef/>
      </w:r>
      <w:r w:rsidRPr="00C76BBE">
        <w:rPr>
          <w:rtl/>
        </w:rPr>
        <w:t xml:space="preserve"> </w:t>
      </w:r>
      <w:r>
        <w:rPr>
          <w:rtl/>
        </w:rPr>
        <w:tab/>
      </w:r>
      <w:r w:rsidRPr="00C76BBE">
        <w:rPr>
          <w:rFonts w:hint="cs"/>
          <w:rtl/>
        </w:rPr>
        <w:t>לדעתו של מנחם הרן, הבעיה שבמעשיהם הייתה שהם הבעירו את הקטורת על 'אש זרה' שאיננה ממזבח העולה ("</w:t>
      </w:r>
      <w:r w:rsidRPr="00C76BBE">
        <w:rPr>
          <w:rtl/>
        </w:rPr>
        <w:t>קטורת מחתות וקטורת תמיד</w:t>
      </w:r>
      <w:r w:rsidRPr="00C76BBE">
        <w:rPr>
          <w:rFonts w:hint="cs"/>
          <w:rtl/>
        </w:rPr>
        <w:t xml:space="preserve">", </w:t>
      </w:r>
      <w:r w:rsidRPr="000F5DCC">
        <w:rPr>
          <w:rFonts w:hint="cs"/>
          <w:b/>
          <w:bCs/>
          <w:rtl/>
        </w:rPr>
        <w:t>תרביץ</w:t>
      </w:r>
      <w:r w:rsidRPr="00C76BBE">
        <w:rPr>
          <w:rFonts w:hint="cs"/>
          <w:rtl/>
        </w:rPr>
        <w:t xml:space="preserve"> </w:t>
      </w:r>
      <w:proofErr w:type="spellStart"/>
      <w:r w:rsidRPr="00C76BBE">
        <w:rPr>
          <w:rFonts w:hint="cs"/>
          <w:rtl/>
        </w:rPr>
        <w:t>כו</w:t>
      </w:r>
      <w:proofErr w:type="spellEnd"/>
      <w:r w:rsidRPr="00C76BBE">
        <w:rPr>
          <w:rFonts w:hint="cs"/>
          <w:rtl/>
        </w:rPr>
        <w:t xml:space="preserve"> (תשי"ז), עמ' 115</w:t>
      </w:r>
      <w:r w:rsidRPr="00C76BBE">
        <w:rPr>
          <w:rtl/>
        </w:rPr>
        <w:softHyphen/>
      </w:r>
      <w:r w:rsidRPr="00C76BBE">
        <w:rPr>
          <w:rFonts w:hint="cs"/>
          <w:rtl/>
        </w:rPr>
        <w:t>-125). כפי שיעלה בדיון למעלה, נראה שבעצם הקטרת הקטורת יש בעיה.</w:t>
      </w:r>
    </w:p>
  </w:footnote>
  <w:footnote w:id="14">
    <w:p w14:paraId="6755F9F0" w14:textId="06268C08" w:rsidR="00C76BBE" w:rsidRPr="00C76BBE" w:rsidRDefault="00C76BBE" w:rsidP="00C76BBE">
      <w:pPr>
        <w:pStyle w:val="FootnoteText"/>
        <w:rPr>
          <w:rtl/>
        </w:rPr>
      </w:pPr>
      <w:r w:rsidRPr="00C76BBE">
        <w:rPr>
          <w:rStyle w:val="FootnoteReference"/>
          <w:rFonts w:eastAsia="Narkisim"/>
        </w:rPr>
        <w:footnoteRef/>
      </w:r>
      <w:r w:rsidRPr="00C76BBE">
        <w:rPr>
          <w:rtl/>
        </w:rPr>
        <w:t xml:space="preserve"> </w:t>
      </w:r>
      <w:r>
        <w:rPr>
          <w:rtl/>
        </w:rPr>
        <w:tab/>
      </w:r>
      <w:r w:rsidRPr="00C76BBE">
        <w:rPr>
          <w:rFonts w:hint="cs"/>
          <w:rtl/>
        </w:rPr>
        <w:t>הרן הנזכר לעיל נטה לראות את "קטורת המחתות" ואת "קטורת המזבח" כשני אופנים שונים של הקרבת קטורת. כאמור למעלה, נראה יותר שהקטורת הועלתה על מחתה כשהיא הוקרבה מחוץ למקומה הרגיל.</w:t>
      </w:r>
    </w:p>
  </w:footnote>
  <w:footnote w:id="15">
    <w:p w14:paraId="6862614C" w14:textId="0FD6B20D" w:rsidR="00C76BBE" w:rsidRPr="00C76BBE" w:rsidRDefault="00C76BBE" w:rsidP="00C76BBE">
      <w:pPr>
        <w:pStyle w:val="FootnoteText"/>
        <w:rPr>
          <w:rtl/>
        </w:rPr>
      </w:pPr>
      <w:r w:rsidRPr="00C76BBE">
        <w:rPr>
          <w:rStyle w:val="FootnoteReference"/>
          <w:rFonts w:eastAsia="Narkisim"/>
        </w:rPr>
        <w:footnoteRef/>
      </w:r>
      <w:r w:rsidRPr="00C76BBE">
        <w:rPr>
          <w:rtl/>
        </w:rPr>
        <w:t xml:space="preserve"> </w:t>
      </w:r>
      <w:r>
        <w:rPr>
          <w:rtl/>
        </w:rPr>
        <w:tab/>
      </w:r>
      <w:r w:rsidRPr="00C76BBE">
        <w:rPr>
          <w:rFonts w:hint="cs"/>
          <w:rtl/>
        </w:rPr>
        <w:t xml:space="preserve">על כך ראו: מרכז ההדרכה בתנ"ך, בראשית-שמות: </w:t>
      </w:r>
      <w:r w:rsidRPr="000F5DCC">
        <w:rPr>
          <w:rFonts w:hint="cs"/>
          <w:b/>
          <w:bCs/>
          <w:rtl/>
        </w:rPr>
        <w:t>דפים למעיין ולמורה</w:t>
      </w:r>
      <w:r w:rsidRPr="00C76BBE">
        <w:rPr>
          <w:rFonts w:hint="cs"/>
          <w:rtl/>
        </w:rPr>
        <w:t xml:space="preserve"> (מכללת הרצוג), תשרי תשנ"ט, עמ' 76</w:t>
      </w:r>
      <w:r w:rsidRPr="00C76BBE">
        <w:rPr>
          <w:rtl/>
        </w:rPr>
        <w:softHyphen/>
      </w:r>
      <w:r w:rsidRPr="00C76BBE">
        <w:rPr>
          <w:rFonts w:hint="cs"/>
          <w:rtl/>
        </w:rPr>
        <w:t>-77.</w:t>
      </w:r>
    </w:p>
  </w:footnote>
  <w:footnote w:id="16">
    <w:p w14:paraId="213B9D24" w14:textId="3A795778" w:rsidR="00C76BBE" w:rsidRPr="00C76BBE" w:rsidRDefault="00C76BBE" w:rsidP="00C76BBE">
      <w:pPr>
        <w:pStyle w:val="FootnoteText"/>
        <w:rPr>
          <w:rtl/>
        </w:rPr>
      </w:pPr>
      <w:r w:rsidRPr="00C76BBE">
        <w:rPr>
          <w:rStyle w:val="FootnoteReference"/>
          <w:rFonts w:eastAsia="Narkisim"/>
        </w:rPr>
        <w:footnoteRef/>
      </w:r>
      <w:r w:rsidRPr="00C76BBE">
        <w:rPr>
          <w:rtl/>
        </w:rPr>
        <w:t xml:space="preserve"> </w:t>
      </w:r>
      <w:r>
        <w:rPr>
          <w:rtl/>
        </w:rPr>
        <w:tab/>
      </w:r>
      <w:r w:rsidRPr="00C76BBE">
        <w:t xml:space="preserve">Y. </w:t>
      </w:r>
      <w:proofErr w:type="spellStart"/>
      <w:r w:rsidRPr="00C76BBE">
        <w:t>Muchiki</w:t>
      </w:r>
      <w:proofErr w:type="spellEnd"/>
      <w:r w:rsidRPr="00C76BBE">
        <w:t>, "Why the Description of the Altar of Incense was Postponed (</w:t>
      </w:r>
      <w:proofErr w:type="spellStart"/>
      <w:r w:rsidRPr="00C76BBE">
        <w:t>Exod</w:t>
      </w:r>
      <w:proofErr w:type="spellEnd"/>
      <w:r w:rsidRPr="00C76BBE">
        <w:t xml:space="preserve"> 30:1-10), </w:t>
      </w:r>
      <w:proofErr w:type="spellStart"/>
      <w:r w:rsidRPr="00C76BBE">
        <w:t>Exegetica</w:t>
      </w:r>
      <w:proofErr w:type="spellEnd"/>
      <w:r w:rsidRPr="00C76BBE">
        <w:t xml:space="preserve"> 10 (1999), pp. 19-31.</w:t>
      </w:r>
    </w:p>
    <w:p w14:paraId="07084393" w14:textId="5C1D59A7" w:rsidR="00C76BBE" w:rsidRPr="00C76BBE" w:rsidRDefault="00C76BBE" w:rsidP="00C76BBE">
      <w:pPr>
        <w:pStyle w:val="FootnoteText"/>
        <w:rPr>
          <w:rtl/>
        </w:rPr>
      </w:pPr>
      <w:r>
        <w:rPr>
          <w:rtl/>
        </w:rPr>
        <w:tab/>
      </w:r>
      <w:r w:rsidRPr="00C76BBE">
        <w:rPr>
          <w:rFonts w:hint="cs"/>
          <w:rtl/>
        </w:rPr>
        <w:t xml:space="preserve">קרול </w:t>
      </w:r>
      <w:proofErr w:type="spellStart"/>
      <w:r w:rsidRPr="00C76BBE">
        <w:rPr>
          <w:rFonts w:hint="cs"/>
          <w:rtl/>
        </w:rPr>
        <w:t>מיירס</w:t>
      </w:r>
      <w:proofErr w:type="spellEnd"/>
      <w:r w:rsidRPr="00C76BBE">
        <w:rPr>
          <w:rFonts w:hint="cs"/>
          <w:rtl/>
        </w:rPr>
        <w:t xml:space="preserve"> הציעה, שמאחר שהקטורת מוקרבת ביום הכיפורים בקודש הקודשים, 'מזבח הקטורת' הוא במובן מסוים מזבח נודד. מיקומו הטקסטואלי בסוף הרשימה ולא לצד הכלים הקבועים במקומם, משקף את יכולת התנועה שלו:</w:t>
      </w:r>
    </w:p>
    <w:p w14:paraId="63151B8B" w14:textId="6D054B4F" w:rsidR="00C76BBE" w:rsidRPr="00C76BBE" w:rsidRDefault="00C76BBE" w:rsidP="00C76BBE">
      <w:pPr>
        <w:pStyle w:val="FootnoteText"/>
        <w:bidi w:val="0"/>
      </w:pPr>
      <w:r>
        <w:tab/>
      </w:r>
      <w:r w:rsidRPr="00C76BBE">
        <w:t xml:space="preserve">C. Meyers, "Realms of Sanctity: The Case of the `Misplaced' Incense Altar in the Tabernacle Texts of Exodus", in: Texts, Temples and Tradition: A Tribute to </w:t>
      </w:r>
      <w:proofErr w:type="spellStart"/>
      <w:r w:rsidRPr="00C76BBE">
        <w:t>Menachem</w:t>
      </w:r>
      <w:proofErr w:type="spellEnd"/>
      <w:r w:rsidRPr="00C76BBE">
        <w:t xml:space="preserve"> Haran, Winona Lake 1996, pp. 33-46. </w:t>
      </w:r>
    </w:p>
  </w:footnote>
  <w:footnote w:id="17">
    <w:p w14:paraId="3BCE85BA" w14:textId="7F270843" w:rsidR="00C76BBE" w:rsidRPr="00C76BBE" w:rsidRDefault="00C76BBE" w:rsidP="00C76BBE">
      <w:pPr>
        <w:pStyle w:val="FootnoteText"/>
        <w:rPr>
          <w:rtl/>
        </w:rPr>
      </w:pPr>
      <w:r w:rsidRPr="00C76BBE">
        <w:rPr>
          <w:rStyle w:val="FootnoteReference"/>
          <w:rFonts w:eastAsia="Narkisim"/>
        </w:rPr>
        <w:footnoteRef/>
      </w:r>
      <w:r w:rsidRPr="00C76BBE">
        <w:rPr>
          <w:rtl/>
        </w:rPr>
        <w:t xml:space="preserve"> </w:t>
      </w:r>
      <w:r>
        <w:rPr>
          <w:rtl/>
        </w:rPr>
        <w:tab/>
      </w:r>
      <w:r w:rsidRPr="00C76BBE">
        <w:rPr>
          <w:rFonts w:hint="cs"/>
          <w:rtl/>
        </w:rPr>
        <w:t xml:space="preserve">מ"ד קאסוטו, </w:t>
      </w:r>
      <w:r w:rsidRPr="000F5DCC">
        <w:rPr>
          <w:rFonts w:hint="cs"/>
          <w:b/>
          <w:bCs/>
          <w:rtl/>
        </w:rPr>
        <w:t>פירוש על ספר שמות</w:t>
      </w:r>
      <w:r w:rsidRPr="00C76BBE">
        <w:rPr>
          <w:rFonts w:hint="cs"/>
          <w:rtl/>
        </w:rPr>
        <w:t>, ירושלים תשי"ב, עמ' 273.</w:t>
      </w:r>
    </w:p>
  </w:footnote>
  <w:footnote w:id="18">
    <w:p w14:paraId="7CED0F6D" w14:textId="1774E834" w:rsidR="00C76BBE" w:rsidRPr="00C76BBE" w:rsidRDefault="00C76BBE" w:rsidP="00C76BBE">
      <w:pPr>
        <w:pStyle w:val="FootnoteText"/>
      </w:pPr>
      <w:r w:rsidRPr="00C76BBE">
        <w:rPr>
          <w:rStyle w:val="FootnoteReference"/>
          <w:rFonts w:eastAsia="Narkisim"/>
        </w:rPr>
        <w:footnoteRef/>
      </w:r>
      <w:r w:rsidRPr="00C76BBE">
        <w:rPr>
          <w:rtl/>
        </w:rPr>
        <w:t xml:space="preserve"> </w:t>
      </w:r>
      <w:r>
        <w:rPr>
          <w:rtl/>
        </w:rPr>
        <w:tab/>
      </w:r>
      <w:r w:rsidRPr="00C76BBE">
        <w:rPr>
          <w:rFonts w:hint="cs"/>
          <w:rtl/>
        </w:rPr>
        <w:t xml:space="preserve">הרב אברהם סתיו, </w:t>
      </w:r>
      <w:r w:rsidRPr="00021403">
        <w:rPr>
          <w:rFonts w:hint="cs"/>
          <w:b/>
          <w:bCs/>
          <w:rtl/>
        </w:rPr>
        <w:t>מבית לפרוכת</w:t>
      </w:r>
      <w:r w:rsidRPr="00C76BBE">
        <w:rPr>
          <w:rFonts w:hint="cs"/>
          <w:rtl/>
        </w:rPr>
        <w:t xml:space="preserve">, אלון שבות תשע"ו (מהדורה שנייה), עמ' 195. הוא אומנם הסיק מכך מסקנה שונה </w:t>
      </w:r>
      <w:r w:rsidRPr="00C76BBE">
        <w:rPr>
          <w:rtl/>
        </w:rPr>
        <w:t>–</w:t>
      </w:r>
      <w:r w:rsidRPr="00C76BBE">
        <w:rPr>
          <w:rFonts w:hint="cs"/>
          <w:rtl/>
        </w:rPr>
        <w:t xml:space="preserve"> </w:t>
      </w:r>
      <w:proofErr w:type="spellStart"/>
      <w:r w:rsidRPr="00C76BBE">
        <w:rPr>
          <w:rFonts w:hint="cs"/>
          <w:rtl/>
        </w:rPr>
        <w:t>יעויין</w:t>
      </w:r>
      <w:proofErr w:type="spellEnd"/>
      <w:r w:rsidRPr="00C76BBE">
        <w:rPr>
          <w:rFonts w:hint="cs"/>
          <w:rtl/>
        </w:rPr>
        <w:t xml:space="preserve"> שם.</w:t>
      </w:r>
    </w:p>
  </w:footnote>
  <w:footnote w:id="19">
    <w:p w14:paraId="2D75C727" w14:textId="7AFCE216" w:rsidR="00C76BBE" w:rsidRPr="00C76BBE" w:rsidRDefault="00C76BBE" w:rsidP="00C76BBE">
      <w:pPr>
        <w:pStyle w:val="FootnoteText"/>
      </w:pPr>
      <w:r w:rsidRPr="00C76BBE">
        <w:rPr>
          <w:rStyle w:val="FootnoteReference"/>
          <w:rFonts w:eastAsia="Narkisim"/>
        </w:rPr>
        <w:footnoteRef/>
      </w:r>
      <w:r w:rsidRPr="00C76BBE">
        <w:rPr>
          <w:rtl/>
        </w:rPr>
        <w:t xml:space="preserve"> </w:t>
      </w:r>
      <w:r>
        <w:rPr>
          <w:rtl/>
        </w:rPr>
        <w:tab/>
      </w:r>
      <w:r w:rsidRPr="00C76BBE">
        <w:rPr>
          <w:rFonts w:hint="cs"/>
          <w:rtl/>
        </w:rPr>
        <w:t>קאסוטו בפירושו לשמות, עמ' 274.</w:t>
      </w:r>
    </w:p>
  </w:footnote>
  <w:footnote w:id="20">
    <w:p w14:paraId="1A65F511" w14:textId="527A65F8" w:rsidR="00C76BBE" w:rsidRPr="00C76BBE" w:rsidRDefault="00C76BBE" w:rsidP="00C76BBE">
      <w:pPr>
        <w:pStyle w:val="FootnoteText"/>
      </w:pPr>
      <w:r w:rsidRPr="00C76BBE">
        <w:rPr>
          <w:rStyle w:val="FootnoteReference"/>
          <w:rFonts w:eastAsia="Narkisim"/>
        </w:rPr>
        <w:footnoteRef/>
      </w:r>
      <w:r w:rsidRPr="00C76BBE">
        <w:rPr>
          <w:rtl/>
        </w:rPr>
        <w:t xml:space="preserve"> </w:t>
      </w:r>
      <w:r>
        <w:rPr>
          <w:rtl/>
        </w:rPr>
        <w:tab/>
      </w:r>
      <w:r w:rsidRPr="00C76BBE">
        <w:rPr>
          <w:rFonts w:hint="cs"/>
          <w:rtl/>
        </w:rPr>
        <w:t>קאסוטו, בפירושו לשמות, עמ' 274.</w:t>
      </w:r>
    </w:p>
  </w:footnote>
  <w:footnote w:id="21">
    <w:p w14:paraId="5477551B" w14:textId="2AA86933" w:rsidR="00C76BBE" w:rsidRPr="00C76BBE" w:rsidRDefault="00C76BBE" w:rsidP="00021403">
      <w:pPr>
        <w:pStyle w:val="FootnoteText"/>
        <w:rPr>
          <w:rtl/>
        </w:rPr>
      </w:pPr>
      <w:r w:rsidRPr="00C76BBE">
        <w:rPr>
          <w:rStyle w:val="FootnoteReference"/>
          <w:rFonts w:eastAsia="Narkisim"/>
        </w:rPr>
        <w:footnoteRef/>
      </w:r>
      <w:r w:rsidRPr="00C76BBE">
        <w:rPr>
          <w:rtl/>
        </w:rPr>
        <w:t xml:space="preserve"> </w:t>
      </w:r>
      <w:r>
        <w:rPr>
          <w:rtl/>
        </w:rPr>
        <w:tab/>
      </w:r>
      <w:r w:rsidRPr="00C76BBE">
        <w:rPr>
          <w:rFonts w:hint="cs"/>
          <w:rtl/>
        </w:rPr>
        <w:t>שם, עמ' 192</w:t>
      </w:r>
      <w:r w:rsidRPr="00C76BBE">
        <w:rPr>
          <w:rtl/>
        </w:rPr>
        <w:softHyphen/>
      </w:r>
      <w:r w:rsidRPr="00C76BBE">
        <w:rPr>
          <w:rFonts w:hint="cs"/>
          <w:rtl/>
        </w:rPr>
        <w:t xml:space="preserve">-193. זאת בניגוד לעמדת צפנת פענח </w:t>
      </w:r>
      <w:r w:rsidRPr="00021403">
        <w:rPr>
          <w:rFonts w:hint="cs"/>
          <w:sz w:val="16"/>
          <w:szCs w:val="16"/>
          <w:rtl/>
        </w:rPr>
        <w:t xml:space="preserve">(מכתבי תורה, </w:t>
      </w:r>
      <w:proofErr w:type="spellStart"/>
      <w:r w:rsidRPr="00021403">
        <w:rPr>
          <w:rFonts w:hint="cs"/>
          <w:sz w:val="16"/>
          <w:szCs w:val="16"/>
          <w:rtl/>
        </w:rPr>
        <w:t>קמד</w:t>
      </w:r>
      <w:proofErr w:type="spellEnd"/>
      <w:r w:rsidR="00021403">
        <w:rPr>
          <w:rFonts w:hint="cs"/>
          <w:sz w:val="16"/>
          <w:szCs w:val="16"/>
          <w:rtl/>
        </w:rPr>
        <w:t>)</w:t>
      </w:r>
      <w:r w:rsidRPr="00021403">
        <w:rPr>
          <w:rFonts w:hint="cs"/>
          <w:sz w:val="16"/>
          <w:szCs w:val="16"/>
          <w:rtl/>
        </w:rPr>
        <w:t xml:space="preserve"> </w:t>
      </w:r>
      <w:r w:rsidRPr="00C76BBE">
        <w:rPr>
          <w:rFonts w:hint="cs"/>
          <w:rtl/>
        </w:rPr>
        <w:t xml:space="preserve">המובאת שם </w:t>
      </w:r>
      <w:r w:rsidRPr="00021403">
        <w:rPr>
          <w:rFonts w:hint="cs"/>
          <w:sz w:val="16"/>
          <w:szCs w:val="16"/>
          <w:rtl/>
        </w:rPr>
        <w:t>(בעמ' 192)</w:t>
      </w:r>
      <w:r w:rsidRPr="00C76BBE">
        <w:rPr>
          <w:rFonts w:hint="cs"/>
          <w:rtl/>
        </w:rPr>
        <w:t xml:space="preserve">, שהציע את ההיפך </w:t>
      </w:r>
      <w:r w:rsidRPr="00C76BBE">
        <w:rPr>
          <w:rtl/>
        </w:rPr>
        <w:t>–</w:t>
      </w:r>
      <w:r w:rsidRPr="00C76BBE">
        <w:rPr>
          <w:rFonts w:hint="cs"/>
          <w:rtl/>
        </w:rPr>
        <w:t xml:space="preserve"> שדווקא ביום הכיפורים מדובר בקורבן. הרב סתיו אף הראה שבעוד בכל ימות השנה יש להקטיר שיעור של מנה </w:t>
      </w:r>
      <w:r w:rsidRPr="00C76BBE">
        <w:rPr>
          <w:rtl/>
        </w:rPr>
        <w:t>–</w:t>
      </w:r>
      <w:r w:rsidRPr="00C76BBE">
        <w:rPr>
          <w:rFonts w:hint="cs"/>
          <w:rtl/>
        </w:rPr>
        <w:t xml:space="preserve"> פרס בשחרית ופרס בין הערביים </w:t>
      </w:r>
      <w:r w:rsidRPr="00C76BBE">
        <w:rPr>
          <w:rtl/>
        </w:rPr>
        <w:t>–</w:t>
      </w:r>
      <w:r w:rsidRPr="00C76BBE">
        <w:rPr>
          <w:rFonts w:hint="cs"/>
          <w:rtl/>
        </w:rPr>
        <w:t xml:space="preserve"> ביום הכיפורים אין שיעור קבוע שיש לעמוד בו: "הגדול לפי גדלו והקטן לפי קטנו" </w:t>
      </w:r>
      <w:r w:rsidRPr="00021403">
        <w:rPr>
          <w:rFonts w:hint="cs"/>
          <w:sz w:val="16"/>
          <w:szCs w:val="16"/>
          <w:rtl/>
        </w:rPr>
        <w:t>(משנה יומא, פ"ה מ"א)</w:t>
      </w:r>
      <w:r w:rsidRPr="00C76BBE">
        <w:rPr>
          <w:rFonts w:hint="cs"/>
          <w:rtl/>
        </w:rPr>
        <w:t xml:space="preserve">. גם הלכה זו משקפת תפיסה שלהקטרת הקטורת ביום הכיפורים תפקיד שונה מבשאר ימות השנה.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984E52">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92867">
      <w:rPr>
        <w:noProof/>
        <w:rtl/>
      </w:rPr>
      <w:t>4</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896813"/>
    <w:multiLevelType w:val="hybridMultilevel"/>
    <w:tmpl w:val="D9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F3F9A"/>
    <w:multiLevelType w:val="hybridMultilevel"/>
    <w:tmpl w:val="9CF00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1225B"/>
    <w:multiLevelType w:val="hybridMultilevel"/>
    <w:tmpl w:val="BC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33703"/>
    <w:multiLevelType w:val="hybridMultilevel"/>
    <w:tmpl w:val="9A9CBA66"/>
    <w:lvl w:ilvl="0" w:tplc="9C169A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82B7F"/>
    <w:multiLevelType w:val="hybridMultilevel"/>
    <w:tmpl w:val="72628DD6"/>
    <w:lvl w:ilvl="0" w:tplc="AA76FA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643343"/>
    <w:multiLevelType w:val="hybridMultilevel"/>
    <w:tmpl w:val="7828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846960"/>
    <w:multiLevelType w:val="hybridMultilevel"/>
    <w:tmpl w:val="1CCE61B8"/>
    <w:lvl w:ilvl="0" w:tplc="E7A686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7100F"/>
    <w:multiLevelType w:val="singleLevel"/>
    <w:tmpl w:val="AAD8A472"/>
    <w:lvl w:ilvl="0">
      <w:start w:val="1"/>
      <w:numFmt w:val="hebrew1"/>
      <w:lvlText w:val="%1."/>
      <w:lvlJc w:val="left"/>
      <w:pPr>
        <w:tabs>
          <w:tab w:val="num" w:pos="360"/>
        </w:tabs>
        <w:ind w:left="360" w:hanging="360"/>
      </w:pPr>
      <w:rPr>
        <w:rFonts w:hint="default"/>
      </w:rPr>
    </w:lvl>
  </w:abstractNum>
  <w:abstractNum w:abstractNumId="27">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E37BDB"/>
    <w:multiLevelType w:val="hybridMultilevel"/>
    <w:tmpl w:val="8BA0E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D5B54"/>
    <w:multiLevelType w:val="hybridMultilevel"/>
    <w:tmpl w:val="C65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42">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805F4D"/>
    <w:multiLevelType w:val="hybridMultilevel"/>
    <w:tmpl w:val="FCCEFA40"/>
    <w:lvl w:ilvl="0" w:tplc="1846B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1"/>
  </w:num>
  <w:num w:numId="4">
    <w:abstractNumId w:val="31"/>
  </w:num>
  <w:num w:numId="5">
    <w:abstractNumId w:val="5"/>
  </w:num>
  <w:num w:numId="6">
    <w:abstractNumId w:val="48"/>
  </w:num>
  <w:num w:numId="7">
    <w:abstractNumId w:val="8"/>
  </w:num>
  <w:num w:numId="8">
    <w:abstractNumId w:val="30"/>
  </w:num>
  <w:num w:numId="9">
    <w:abstractNumId w:val="37"/>
  </w:num>
  <w:num w:numId="10">
    <w:abstractNumId w:val="21"/>
  </w:num>
  <w:num w:numId="11">
    <w:abstractNumId w:val="1"/>
  </w:num>
  <w:num w:numId="12">
    <w:abstractNumId w:val="35"/>
  </w:num>
  <w:num w:numId="13">
    <w:abstractNumId w:val="20"/>
  </w:num>
  <w:num w:numId="14">
    <w:abstractNumId w:val="42"/>
  </w:num>
  <w:num w:numId="15">
    <w:abstractNumId w:val="36"/>
  </w:num>
  <w:num w:numId="16">
    <w:abstractNumId w:val="25"/>
  </w:num>
  <w:num w:numId="17">
    <w:abstractNumId w:val="47"/>
  </w:num>
  <w:num w:numId="18">
    <w:abstractNumId w:val="28"/>
  </w:num>
  <w:num w:numId="19">
    <w:abstractNumId w:val="14"/>
  </w:num>
  <w:num w:numId="20">
    <w:abstractNumId w:val="43"/>
  </w:num>
  <w:num w:numId="21">
    <w:abstractNumId w:val="40"/>
  </w:num>
  <w:num w:numId="22">
    <w:abstractNumId w:val="13"/>
  </w:num>
  <w:num w:numId="23">
    <w:abstractNumId w:val="45"/>
  </w:num>
  <w:num w:numId="24">
    <w:abstractNumId w:val="44"/>
  </w:num>
  <w:num w:numId="25">
    <w:abstractNumId w:val="27"/>
  </w:num>
  <w:num w:numId="26">
    <w:abstractNumId w:val="24"/>
  </w:num>
  <w:num w:numId="27">
    <w:abstractNumId w:val="3"/>
  </w:num>
  <w:num w:numId="28">
    <w:abstractNumId w:val="29"/>
  </w:num>
  <w:num w:numId="29">
    <w:abstractNumId w:val="41"/>
  </w:num>
  <w:num w:numId="30">
    <w:abstractNumId w:val="9"/>
  </w:num>
  <w:num w:numId="31">
    <w:abstractNumId w:val="17"/>
  </w:num>
  <w:num w:numId="32">
    <w:abstractNumId w:val="34"/>
  </w:num>
  <w:num w:numId="33">
    <w:abstractNumId w:val="0"/>
  </w:num>
  <w:num w:numId="34">
    <w:abstractNumId w:val="38"/>
  </w:num>
  <w:num w:numId="35">
    <w:abstractNumId w:val="22"/>
  </w:num>
  <w:num w:numId="36">
    <w:abstractNumId w:val="19"/>
  </w:num>
  <w:num w:numId="37">
    <w:abstractNumId w:val="18"/>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6"/>
  </w:num>
  <w:num w:numId="41">
    <w:abstractNumId w:val="6"/>
  </w:num>
  <w:num w:numId="42">
    <w:abstractNumId w:val="23"/>
  </w:num>
  <w:num w:numId="43">
    <w:abstractNumId w:val="10"/>
  </w:num>
  <w:num w:numId="44">
    <w:abstractNumId w:val="33"/>
  </w:num>
  <w:num w:numId="45">
    <w:abstractNumId w:val="16"/>
  </w:num>
  <w:num w:numId="46">
    <w:abstractNumId w:val="7"/>
  </w:num>
  <w:num w:numId="47">
    <w:abstractNumId w:val="26"/>
  </w:num>
  <w:num w:numId="48">
    <w:abstractNumId w:val="12"/>
  </w:num>
  <w:num w:numId="49">
    <w:abstractNumId w:val="32"/>
  </w:num>
  <w:num w:numId="5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4752"/>
    <w:rsid w:val="00005156"/>
    <w:rsid w:val="00007261"/>
    <w:rsid w:val="00012A92"/>
    <w:rsid w:val="00013188"/>
    <w:rsid w:val="00013331"/>
    <w:rsid w:val="000139E9"/>
    <w:rsid w:val="00015437"/>
    <w:rsid w:val="00015C4E"/>
    <w:rsid w:val="00017774"/>
    <w:rsid w:val="00017E6D"/>
    <w:rsid w:val="00021403"/>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66A"/>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C674F"/>
    <w:rsid w:val="000D14EE"/>
    <w:rsid w:val="000D150D"/>
    <w:rsid w:val="000D25BF"/>
    <w:rsid w:val="000D2F68"/>
    <w:rsid w:val="000D4260"/>
    <w:rsid w:val="000E21BC"/>
    <w:rsid w:val="000E2322"/>
    <w:rsid w:val="000E3B5A"/>
    <w:rsid w:val="000E6C3C"/>
    <w:rsid w:val="000F5DC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5041"/>
    <w:rsid w:val="001B7F24"/>
    <w:rsid w:val="001C1CAA"/>
    <w:rsid w:val="001C25ED"/>
    <w:rsid w:val="001C4940"/>
    <w:rsid w:val="001C4B5E"/>
    <w:rsid w:val="001C4E63"/>
    <w:rsid w:val="001C6C39"/>
    <w:rsid w:val="001D14A1"/>
    <w:rsid w:val="001E11C3"/>
    <w:rsid w:val="001E1D48"/>
    <w:rsid w:val="001E3883"/>
    <w:rsid w:val="001E5152"/>
    <w:rsid w:val="001F6B32"/>
    <w:rsid w:val="001F6B67"/>
    <w:rsid w:val="00200412"/>
    <w:rsid w:val="00203453"/>
    <w:rsid w:val="002115E2"/>
    <w:rsid w:val="00211DA7"/>
    <w:rsid w:val="00212A5E"/>
    <w:rsid w:val="002142D4"/>
    <w:rsid w:val="00214428"/>
    <w:rsid w:val="0022042F"/>
    <w:rsid w:val="00220D4A"/>
    <w:rsid w:val="00222AFB"/>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AB"/>
    <w:rsid w:val="002826F7"/>
    <w:rsid w:val="002839CF"/>
    <w:rsid w:val="00284937"/>
    <w:rsid w:val="00284E60"/>
    <w:rsid w:val="00291A14"/>
    <w:rsid w:val="00291DC9"/>
    <w:rsid w:val="00293BED"/>
    <w:rsid w:val="0029412F"/>
    <w:rsid w:val="002A26CA"/>
    <w:rsid w:val="002A300A"/>
    <w:rsid w:val="002A3116"/>
    <w:rsid w:val="002A7264"/>
    <w:rsid w:val="002A75BB"/>
    <w:rsid w:val="002B0904"/>
    <w:rsid w:val="002B33FB"/>
    <w:rsid w:val="002B3B0F"/>
    <w:rsid w:val="002B4D51"/>
    <w:rsid w:val="002B6CA6"/>
    <w:rsid w:val="002B7276"/>
    <w:rsid w:val="002B7985"/>
    <w:rsid w:val="002C12A6"/>
    <w:rsid w:val="002C33E6"/>
    <w:rsid w:val="002C3C5F"/>
    <w:rsid w:val="002C5521"/>
    <w:rsid w:val="002D1E82"/>
    <w:rsid w:val="002D22C4"/>
    <w:rsid w:val="002D78FB"/>
    <w:rsid w:val="002D79CE"/>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3B6A"/>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4875"/>
    <w:rsid w:val="0034550A"/>
    <w:rsid w:val="00346874"/>
    <w:rsid w:val="0035152D"/>
    <w:rsid w:val="00351974"/>
    <w:rsid w:val="00351E58"/>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06C4"/>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EAA"/>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25C5E"/>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3F27"/>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364F"/>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3C35"/>
    <w:rsid w:val="005946FD"/>
    <w:rsid w:val="00594DAB"/>
    <w:rsid w:val="005964B2"/>
    <w:rsid w:val="005970EF"/>
    <w:rsid w:val="0059787B"/>
    <w:rsid w:val="00597994"/>
    <w:rsid w:val="005A009C"/>
    <w:rsid w:val="005A0904"/>
    <w:rsid w:val="005A2485"/>
    <w:rsid w:val="005A3EA5"/>
    <w:rsid w:val="005A4E5A"/>
    <w:rsid w:val="005A5215"/>
    <w:rsid w:val="005B08DB"/>
    <w:rsid w:val="005B0A4A"/>
    <w:rsid w:val="005B11E9"/>
    <w:rsid w:val="005B323B"/>
    <w:rsid w:val="005B6383"/>
    <w:rsid w:val="005C06E5"/>
    <w:rsid w:val="005C0C87"/>
    <w:rsid w:val="005C1685"/>
    <w:rsid w:val="005C302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0BE"/>
    <w:rsid w:val="005E65BE"/>
    <w:rsid w:val="005E69C8"/>
    <w:rsid w:val="005F4985"/>
    <w:rsid w:val="005F7954"/>
    <w:rsid w:val="00601885"/>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6868"/>
    <w:rsid w:val="00656A9A"/>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4181"/>
    <w:rsid w:val="007A5439"/>
    <w:rsid w:val="007B0635"/>
    <w:rsid w:val="007B118B"/>
    <w:rsid w:val="007B2890"/>
    <w:rsid w:val="007B2CFF"/>
    <w:rsid w:val="007B40EC"/>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310B"/>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0D91"/>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424"/>
    <w:rsid w:val="00900E0C"/>
    <w:rsid w:val="00901EEB"/>
    <w:rsid w:val="00902F17"/>
    <w:rsid w:val="009038BC"/>
    <w:rsid w:val="00904182"/>
    <w:rsid w:val="00905086"/>
    <w:rsid w:val="009078BC"/>
    <w:rsid w:val="0091527C"/>
    <w:rsid w:val="00915D99"/>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3B7B"/>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34C0"/>
    <w:rsid w:val="009D49AE"/>
    <w:rsid w:val="009D5639"/>
    <w:rsid w:val="009D5EF8"/>
    <w:rsid w:val="009D72D0"/>
    <w:rsid w:val="009D7563"/>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161C"/>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09A7"/>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2E3C"/>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76BBE"/>
    <w:rsid w:val="00C83636"/>
    <w:rsid w:val="00C8748C"/>
    <w:rsid w:val="00C8776F"/>
    <w:rsid w:val="00C91B83"/>
    <w:rsid w:val="00C91E73"/>
    <w:rsid w:val="00C921A2"/>
    <w:rsid w:val="00C92867"/>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28DF"/>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2971"/>
    <w:rsid w:val="00E74F06"/>
    <w:rsid w:val="00E8031F"/>
    <w:rsid w:val="00E821CF"/>
    <w:rsid w:val="00E84C14"/>
    <w:rsid w:val="00E86713"/>
    <w:rsid w:val="00E86FBD"/>
    <w:rsid w:val="00E938A1"/>
    <w:rsid w:val="00E9649B"/>
    <w:rsid w:val="00E97A2F"/>
    <w:rsid w:val="00EA0780"/>
    <w:rsid w:val="00EA4D37"/>
    <w:rsid w:val="00EA7249"/>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3E0A"/>
    <w:rsid w:val="00EF4D81"/>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241C"/>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 w:val="00FF3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s://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FF72-1C77-4F69-86F0-A3325463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10541</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12366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2019-07-09T10:38:00Z</dcterms:created>
  <dcterms:modified xsi:type="dcterms:W3CDTF">2019-07-09T10:38:00Z</dcterms:modified>
</cp:coreProperties>
</file>