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4915A5">
      <w:pPr>
        <w:pStyle w:val="a8"/>
        <w:rPr>
          <w:rtl/>
        </w:rPr>
      </w:pPr>
      <w:r>
        <w:rPr>
          <w:rtl/>
        </w:rPr>
        <w:t xml:space="preserve">הרב </w:t>
      </w:r>
      <w:r w:rsidR="004915A5">
        <w:rPr>
          <w:rFonts w:hint="cs"/>
          <w:rtl/>
        </w:rPr>
        <w:t xml:space="preserve">בנימין </w:t>
      </w:r>
      <w:proofErr w:type="spellStart"/>
      <w:r w:rsidR="004915A5">
        <w:rPr>
          <w:rFonts w:hint="cs"/>
          <w:rtl/>
        </w:rPr>
        <w:t>תבורי</w:t>
      </w:r>
      <w:proofErr w:type="spellEnd"/>
    </w:p>
    <w:p w:rsidR="00FA7791" w:rsidRPr="00835E24" w:rsidRDefault="004915A5" w:rsidP="00826B46">
      <w:pPr>
        <w:pStyle w:val="1"/>
        <w:rPr>
          <w:rtl/>
        </w:rPr>
      </w:pPr>
      <w:bookmarkStart w:id="0" w:name="OLE_LINK1"/>
      <w:r w:rsidRPr="004915A5">
        <w:rPr>
          <w:sz w:val="36"/>
          <w:szCs w:val="36"/>
          <w:rtl/>
        </w:rPr>
        <w:t>טבילת ערב יום הכיפורים</w:t>
      </w:r>
      <w:r w:rsidR="00FA7791" w:rsidRPr="00835E24">
        <w:rPr>
          <w:rStyle w:val="a5"/>
          <w:rtl/>
        </w:rPr>
        <w:footnoteReference w:customMarkFollows="1" w:id="1"/>
        <w:t>*</w:t>
      </w:r>
    </w:p>
    <w:p w:rsidR="003C5309" w:rsidRPr="003C5309" w:rsidRDefault="003C5309" w:rsidP="003C5309">
      <w:pPr>
        <w:rPr>
          <w:szCs w:val="24"/>
          <w:rtl/>
        </w:rPr>
      </w:pPr>
      <w:r w:rsidRPr="003C5309">
        <w:rPr>
          <w:szCs w:val="24"/>
          <w:rtl/>
        </w:rPr>
        <w:t>בגמרא במסכת ראש-השנה (</w:t>
      </w:r>
      <w:proofErr w:type="spellStart"/>
      <w:r w:rsidRPr="003C5309">
        <w:rPr>
          <w:szCs w:val="24"/>
          <w:rtl/>
        </w:rPr>
        <w:t>טז</w:t>
      </w:r>
      <w:proofErr w:type="spellEnd"/>
      <w:r w:rsidRPr="003C5309">
        <w:rPr>
          <w:szCs w:val="24"/>
          <w:rtl/>
        </w:rPr>
        <w:t xml:space="preserve"> ע"ב) מובא שכל אדם חייב לטהר עצמו קודם לרגל:</w:t>
      </w:r>
    </w:p>
    <w:p w:rsidR="003C5309" w:rsidRPr="003C5309" w:rsidRDefault="003C5309" w:rsidP="003C5309">
      <w:pPr>
        <w:rPr>
          <w:szCs w:val="24"/>
          <w:rtl/>
        </w:rPr>
      </w:pPr>
      <w:r w:rsidRPr="003C5309">
        <w:rPr>
          <w:szCs w:val="24"/>
          <w:rtl/>
        </w:rPr>
        <w:t>ואמר רבי יצחק: חייב אדם לטהר את עצמו ברגל, שנאמר:</w:t>
      </w:r>
      <w:r>
        <w:rPr>
          <w:szCs w:val="24"/>
          <w:rtl/>
        </w:rPr>
        <w:t xml:space="preserve"> "</w:t>
      </w:r>
      <w:proofErr w:type="spellStart"/>
      <w:r>
        <w:rPr>
          <w:szCs w:val="24"/>
          <w:rtl/>
        </w:rPr>
        <w:t>ו</w:t>
      </w:r>
      <w:r>
        <w:rPr>
          <w:rFonts w:hint="cs"/>
          <w:szCs w:val="24"/>
          <w:rtl/>
        </w:rPr>
        <w:t>בנבלתם</w:t>
      </w:r>
      <w:proofErr w:type="spellEnd"/>
      <w:r>
        <w:rPr>
          <w:rFonts w:hint="cs"/>
          <w:szCs w:val="24"/>
          <w:rtl/>
        </w:rPr>
        <w:t xml:space="preserve"> לא תגעו</w:t>
      </w:r>
      <w:r w:rsidRPr="003C5309">
        <w:rPr>
          <w:szCs w:val="24"/>
          <w:rtl/>
        </w:rPr>
        <w:t>".</w:t>
      </w:r>
    </w:p>
    <w:p w:rsidR="003C5309" w:rsidRPr="003C5309" w:rsidRDefault="003C5309" w:rsidP="003C5309">
      <w:pPr>
        <w:rPr>
          <w:szCs w:val="24"/>
          <w:rtl/>
        </w:rPr>
      </w:pPr>
      <w:r w:rsidRPr="003C5309">
        <w:rPr>
          <w:szCs w:val="24"/>
          <w:rtl/>
        </w:rPr>
        <w:t>פסוק זה מופיע במקורו בפרשת המאכלות האסורים (ויקרא יא, ח), ואין כל רמז לכך שהוא מתייחס דווקא לרגל. מסיבה זו, הסיק רמב"ן בפירושו לתורה שחובת הטהרה ברגל אינה מן התורה אלא מדברי סופרים. יש מצווה לעלות לרגל לבית המקדש, וכמובן שאדם טמא - שאינו רשאי להיכנס לבית המקדש - אינו יכול לקיים מצווה זו; אך אין מצווה נפרדת להיטהר לפני הרגל.</w:t>
      </w:r>
    </w:p>
    <w:p w:rsidR="003C5309" w:rsidRPr="003C5309" w:rsidRDefault="003C5309" w:rsidP="003C5309">
      <w:pPr>
        <w:rPr>
          <w:szCs w:val="24"/>
          <w:rtl/>
        </w:rPr>
      </w:pPr>
      <w:r w:rsidRPr="003C5309">
        <w:rPr>
          <w:szCs w:val="24"/>
          <w:rtl/>
        </w:rPr>
        <w:t xml:space="preserve">בניגוד לרמב"ן, מדברי הרמב"ם משמע שקיימת מצווה מן התורה להיטהר לפני הרגלים (הל' טומאת </w:t>
      </w:r>
      <w:proofErr w:type="spellStart"/>
      <w:r w:rsidRPr="003C5309">
        <w:rPr>
          <w:szCs w:val="24"/>
          <w:rtl/>
        </w:rPr>
        <w:t>אוכלין</w:t>
      </w:r>
      <w:proofErr w:type="spellEnd"/>
      <w:r w:rsidRPr="003C5309">
        <w:rPr>
          <w:szCs w:val="24"/>
          <w:rtl/>
        </w:rPr>
        <w:t xml:space="preserve"> </w:t>
      </w:r>
      <w:proofErr w:type="spellStart"/>
      <w:r w:rsidRPr="003C5309">
        <w:rPr>
          <w:szCs w:val="24"/>
          <w:rtl/>
        </w:rPr>
        <w:t>טז</w:t>
      </w:r>
      <w:proofErr w:type="spellEnd"/>
      <w:r w:rsidRPr="003C5309">
        <w:rPr>
          <w:szCs w:val="24"/>
          <w:rtl/>
        </w:rPr>
        <w:t xml:space="preserve">, </w:t>
      </w:r>
      <w:proofErr w:type="spellStart"/>
      <w:r w:rsidRPr="003C5309">
        <w:rPr>
          <w:szCs w:val="24"/>
          <w:rtl/>
        </w:rPr>
        <w:t>יב</w:t>
      </w:r>
      <w:proofErr w:type="spellEnd"/>
      <w:r w:rsidRPr="003C5309">
        <w:rPr>
          <w:szCs w:val="24"/>
          <w:rtl/>
        </w:rPr>
        <w:t>):</w:t>
      </w:r>
    </w:p>
    <w:p w:rsidR="003C5309" w:rsidRPr="003C5309" w:rsidRDefault="003C5309" w:rsidP="003C5309">
      <w:pPr>
        <w:rPr>
          <w:szCs w:val="24"/>
          <w:rtl/>
        </w:rPr>
      </w:pPr>
      <w:r w:rsidRPr="003C5309">
        <w:rPr>
          <w:szCs w:val="24"/>
          <w:rtl/>
        </w:rPr>
        <w:t xml:space="preserve">כל ישראל </w:t>
      </w:r>
      <w:proofErr w:type="spellStart"/>
      <w:r w:rsidRPr="003C5309">
        <w:rPr>
          <w:szCs w:val="24"/>
          <w:rtl/>
        </w:rPr>
        <w:t>מוזהרין</w:t>
      </w:r>
      <w:proofErr w:type="spellEnd"/>
      <w:r w:rsidRPr="003C5309">
        <w:rPr>
          <w:szCs w:val="24"/>
          <w:rtl/>
        </w:rPr>
        <w:t xml:space="preserve"> להיות טהורים בכל רגל, מפני שהן נכונים להיכנס למקדש ולאכול קודשים. וזה שנאמר בתורה "</w:t>
      </w:r>
      <w:proofErr w:type="spellStart"/>
      <w:r>
        <w:rPr>
          <w:rFonts w:hint="cs"/>
          <w:szCs w:val="24"/>
          <w:rtl/>
        </w:rPr>
        <w:t>ובנבלתם</w:t>
      </w:r>
      <w:proofErr w:type="spellEnd"/>
      <w:r>
        <w:rPr>
          <w:rFonts w:hint="cs"/>
          <w:szCs w:val="24"/>
          <w:rtl/>
        </w:rPr>
        <w:t xml:space="preserve"> לא תגעו</w:t>
      </w:r>
      <w:r w:rsidRPr="003C5309">
        <w:rPr>
          <w:szCs w:val="24"/>
          <w:rtl/>
        </w:rPr>
        <w:t>" - ברגל בלבד. ואם נטמא, אינו לוקה. אבל בשאר ימות השנה, אינו מוזהר.</w:t>
      </w:r>
    </w:p>
    <w:p w:rsidR="0048565E" w:rsidRDefault="003C5309" w:rsidP="009344D6">
      <w:pPr>
        <w:rPr>
          <w:szCs w:val="24"/>
          <w:rtl/>
        </w:rPr>
      </w:pPr>
      <w:r w:rsidRPr="003C5309">
        <w:rPr>
          <w:szCs w:val="24"/>
          <w:rtl/>
        </w:rPr>
        <w:t>יש לשים לב שאף לדעת הרמב"ם, מי שעובר על המצווה ואינו מטהר עצמו</w:t>
      </w:r>
      <w:r>
        <w:rPr>
          <w:rFonts w:hint="cs"/>
          <w:szCs w:val="24"/>
          <w:rtl/>
        </w:rPr>
        <w:t xml:space="preserve"> </w:t>
      </w:r>
      <w:r w:rsidRPr="003C5309">
        <w:rPr>
          <w:szCs w:val="24"/>
          <w:rtl/>
        </w:rPr>
        <w:t>לפני הרגל - אינו לוקה. אף שמצווה זו היא מצוַ ת לא-תעשה, בכך היא דומה למצוות עשה, שהמבטל אותן אינו לוקה. נראה אפוא שגם הרמב"ם מסכים שמצוַ ת ההיטהרות לפני הרגל אינה מצווה עצמאית, אלא חובה הנספחת למצוַ ת העלייה לרגל. כל אדם חייב לעלות לרגל, ואם הוא טמא ואינו מטהר עצמו - הוא מבטל מצווה זו. האיסור "</w:t>
      </w:r>
      <w:r w:rsidRPr="003C5309">
        <w:rPr>
          <w:rFonts w:hint="cs"/>
          <w:szCs w:val="24"/>
          <w:rtl/>
        </w:rPr>
        <w:t xml:space="preserve"> </w:t>
      </w:r>
      <w:proofErr w:type="spellStart"/>
      <w:r>
        <w:rPr>
          <w:rFonts w:hint="cs"/>
          <w:szCs w:val="24"/>
          <w:rtl/>
        </w:rPr>
        <w:t>ובנבלתם</w:t>
      </w:r>
      <w:proofErr w:type="spellEnd"/>
      <w:r>
        <w:rPr>
          <w:rFonts w:hint="cs"/>
          <w:szCs w:val="24"/>
          <w:rtl/>
        </w:rPr>
        <w:t xml:space="preserve"> לא תגעו</w:t>
      </w:r>
      <w:r w:rsidRPr="003C5309">
        <w:rPr>
          <w:szCs w:val="24"/>
          <w:rtl/>
        </w:rPr>
        <w:t>" הוא סניף של חובת העלייה לרגל, ולכן נחשב כמצוַ ת עשה, ולא כלאו, ואדם העובר עליו אינו לוקה. האם החובה להיטהר לפני הרגל נוהגת גם בזמן הזה? לכאורה, התשובה לשאלה זו שלילית. לאחר חורבן בית המקדש, אין עוד מצווה לעלות לרגל, ואין כל סיבה להיטהר לקראת הרגל. כך אכן כתב ה"נודע ביהודה" במקום אחד (</w:t>
      </w:r>
      <w:proofErr w:type="spellStart"/>
      <w:r w:rsidRPr="003C5309">
        <w:rPr>
          <w:szCs w:val="24"/>
          <w:rtl/>
        </w:rPr>
        <w:t>צל"ח</w:t>
      </w:r>
      <w:proofErr w:type="spellEnd"/>
      <w:r w:rsidRPr="003C5309">
        <w:rPr>
          <w:szCs w:val="24"/>
          <w:rtl/>
        </w:rPr>
        <w:t xml:space="preserve"> ביצה </w:t>
      </w:r>
      <w:proofErr w:type="spellStart"/>
      <w:r w:rsidRPr="003C5309">
        <w:rPr>
          <w:szCs w:val="24"/>
          <w:rtl/>
        </w:rPr>
        <w:t>יז</w:t>
      </w:r>
      <w:proofErr w:type="spellEnd"/>
      <w:r w:rsidRPr="003C5309">
        <w:rPr>
          <w:szCs w:val="24"/>
          <w:rtl/>
        </w:rPr>
        <w:t xml:space="preserve"> ע"ב ד"ה רש"י), שלדעת הרמב"ם חובה זו נוהגת רק בזמן שהיה המקדש קיים, ואף באותה עת לא חל החיוב על מי שגר רחוק מירושלים וממילא לא יעלה אליה לרגל</w:t>
      </w:r>
      <w:r w:rsidR="009344D6">
        <w:rPr>
          <w:rStyle w:val="a5"/>
          <w:rtl/>
        </w:rPr>
        <w:footnoteReference w:id="2"/>
      </w:r>
      <w:r w:rsidRPr="003C5309">
        <w:rPr>
          <w:szCs w:val="24"/>
          <w:rtl/>
        </w:rPr>
        <w:t>.</w:t>
      </w:r>
    </w:p>
    <w:p w:rsidR="003C5309" w:rsidRPr="003C5309" w:rsidRDefault="003C5309" w:rsidP="00AE4BBE">
      <w:pPr>
        <w:rPr>
          <w:szCs w:val="24"/>
          <w:rtl/>
        </w:rPr>
      </w:pPr>
      <w:r w:rsidRPr="003C5309">
        <w:rPr>
          <w:szCs w:val="24"/>
          <w:rtl/>
        </w:rPr>
        <w:t>אולם ניתן להציע הבנה אחרת, שלפיה אף בימינו חייב אדם לטהר עצמו לפני הרגל. בזמן הרגל נחשב האדם כעומד לפני ה', כאמור (על חג הסוכות): "ו</w:t>
      </w:r>
      <w:r>
        <w:rPr>
          <w:rFonts w:hint="cs"/>
          <w:szCs w:val="24"/>
          <w:rtl/>
        </w:rPr>
        <w:t>שמחתם לפני ה' א-</w:t>
      </w:r>
      <w:proofErr w:type="spellStart"/>
      <w:r>
        <w:rPr>
          <w:rFonts w:hint="cs"/>
          <w:szCs w:val="24"/>
          <w:rtl/>
        </w:rPr>
        <w:t>לוהיכם</w:t>
      </w:r>
      <w:proofErr w:type="spellEnd"/>
      <w:r>
        <w:rPr>
          <w:rFonts w:hint="cs"/>
          <w:szCs w:val="24"/>
          <w:rtl/>
        </w:rPr>
        <w:t xml:space="preserve"> שבעת ימים</w:t>
      </w:r>
      <w:r w:rsidRPr="003C5309">
        <w:rPr>
          <w:szCs w:val="24"/>
          <w:rtl/>
        </w:rPr>
        <w:t xml:space="preserve">" (ויקרא </w:t>
      </w:r>
      <w:proofErr w:type="spellStart"/>
      <w:r w:rsidRPr="003C5309">
        <w:rPr>
          <w:szCs w:val="24"/>
          <w:rtl/>
        </w:rPr>
        <w:t>כג</w:t>
      </w:r>
      <w:proofErr w:type="spellEnd"/>
      <w:r w:rsidRPr="003C5309">
        <w:rPr>
          <w:szCs w:val="24"/>
          <w:rtl/>
        </w:rPr>
        <w:t>, מ). על כן, ייתכן שבזמן זה על האדם להיות טהור במיוחד, ולכן עליו לטבול</w:t>
      </w:r>
      <w:r w:rsidR="009344D6">
        <w:rPr>
          <w:rStyle w:val="a5"/>
          <w:rtl/>
        </w:rPr>
        <w:footnoteReference w:id="3"/>
      </w:r>
      <w:r w:rsidRPr="003C5309">
        <w:rPr>
          <w:szCs w:val="24"/>
          <w:rtl/>
        </w:rPr>
        <w:t>. כך כתב ה"נודע ביהודה" במקום אחר (</w:t>
      </w:r>
      <w:proofErr w:type="spellStart"/>
      <w:r w:rsidRPr="003C5309">
        <w:rPr>
          <w:szCs w:val="24"/>
          <w:rtl/>
        </w:rPr>
        <w:t>צל"ח</w:t>
      </w:r>
      <w:proofErr w:type="spellEnd"/>
      <w:r w:rsidRPr="003C5309">
        <w:rPr>
          <w:szCs w:val="24"/>
          <w:rtl/>
        </w:rPr>
        <w:t xml:space="preserve"> ביצה </w:t>
      </w:r>
      <w:proofErr w:type="spellStart"/>
      <w:r w:rsidRPr="003C5309">
        <w:rPr>
          <w:szCs w:val="24"/>
          <w:rtl/>
        </w:rPr>
        <w:t>יח</w:t>
      </w:r>
      <w:proofErr w:type="spellEnd"/>
      <w:r w:rsidRPr="003C5309">
        <w:rPr>
          <w:szCs w:val="24"/>
          <w:rtl/>
        </w:rPr>
        <w:t xml:space="preserve"> ע"א ד"ה רש"י), שחובת הטהרה ברגל חלה אף לאחר החורבן וגם כלפי אנשים שאינם עולים לרגל. קביעה דומה מופיעה בדברי המאירי (בית הבחירה ר"ה </w:t>
      </w:r>
      <w:proofErr w:type="spellStart"/>
      <w:r w:rsidRPr="003C5309">
        <w:rPr>
          <w:szCs w:val="24"/>
          <w:rtl/>
        </w:rPr>
        <w:t>טז</w:t>
      </w:r>
      <w:proofErr w:type="spellEnd"/>
      <w:r w:rsidRPr="003C5309">
        <w:rPr>
          <w:szCs w:val="24"/>
          <w:rtl/>
        </w:rPr>
        <w:t xml:space="preserve"> ע"ב), שכתב שההיטהרות נועדה כדי שיאכל האדם את מאכליו הרגילים בטהרה. לדעתם, חובת ההיטהרות אינה נובעת ישירות ממצוַ ת העלייה לרגל, והיא נוהגת בין כשבית המקדש קיים ובין לאחר חורבנו</w:t>
      </w:r>
      <w:r w:rsidR="00AE4BBE">
        <w:rPr>
          <w:rStyle w:val="a5"/>
          <w:rtl/>
        </w:rPr>
        <w:footnoteReference w:id="4"/>
      </w:r>
      <w:r w:rsidRPr="003C5309">
        <w:rPr>
          <w:szCs w:val="24"/>
          <w:rtl/>
        </w:rPr>
        <w:t>. ואכן, מדברי הרמב"ם למדנו שאכילת מאכלי חולין בטהרה מביאה</w:t>
      </w:r>
      <w:r>
        <w:rPr>
          <w:rFonts w:hint="cs"/>
          <w:szCs w:val="24"/>
          <w:rtl/>
        </w:rPr>
        <w:t xml:space="preserve"> </w:t>
      </w:r>
      <w:r w:rsidRPr="003C5309">
        <w:rPr>
          <w:szCs w:val="24"/>
          <w:rtl/>
        </w:rPr>
        <w:t xml:space="preserve">לידי קדושה ודבקות בשכינה (הל' טומאת </w:t>
      </w:r>
      <w:proofErr w:type="spellStart"/>
      <w:r w:rsidRPr="003C5309">
        <w:rPr>
          <w:szCs w:val="24"/>
          <w:rtl/>
        </w:rPr>
        <w:t>אוכלין</w:t>
      </w:r>
      <w:proofErr w:type="spellEnd"/>
      <w:r w:rsidRPr="003C5309">
        <w:rPr>
          <w:szCs w:val="24"/>
          <w:rtl/>
        </w:rPr>
        <w:t xml:space="preserve"> </w:t>
      </w:r>
      <w:proofErr w:type="spellStart"/>
      <w:r w:rsidRPr="003C5309">
        <w:rPr>
          <w:szCs w:val="24"/>
          <w:rtl/>
        </w:rPr>
        <w:t>טז</w:t>
      </w:r>
      <w:proofErr w:type="spellEnd"/>
      <w:r w:rsidRPr="003C5309">
        <w:rPr>
          <w:szCs w:val="24"/>
          <w:rtl/>
        </w:rPr>
        <w:t xml:space="preserve">, </w:t>
      </w:r>
      <w:proofErr w:type="spellStart"/>
      <w:r w:rsidRPr="003C5309">
        <w:rPr>
          <w:szCs w:val="24"/>
          <w:rtl/>
        </w:rPr>
        <w:t>יב</w:t>
      </w:r>
      <w:proofErr w:type="spellEnd"/>
      <w:r w:rsidRPr="003C5309">
        <w:rPr>
          <w:szCs w:val="24"/>
          <w:rtl/>
        </w:rPr>
        <w:t>):</w:t>
      </w:r>
    </w:p>
    <w:p w:rsidR="003C5309" w:rsidRPr="003C5309" w:rsidRDefault="003C5309" w:rsidP="004B0F18">
      <w:pPr>
        <w:rPr>
          <w:szCs w:val="24"/>
          <w:rtl/>
        </w:rPr>
      </w:pPr>
      <w:r w:rsidRPr="003C5309">
        <w:rPr>
          <w:szCs w:val="24"/>
          <w:rtl/>
        </w:rPr>
        <w:t xml:space="preserve">אף על פי שמותר לאכול </w:t>
      </w:r>
      <w:proofErr w:type="spellStart"/>
      <w:r w:rsidRPr="003C5309">
        <w:rPr>
          <w:szCs w:val="24"/>
          <w:rtl/>
        </w:rPr>
        <w:t>אוכלין</w:t>
      </w:r>
      <w:proofErr w:type="spellEnd"/>
      <w:r w:rsidRPr="003C5309">
        <w:rPr>
          <w:szCs w:val="24"/>
          <w:rtl/>
        </w:rPr>
        <w:t xml:space="preserve"> טמאין ולשתות משקין טמאים, חסידים הראשונים היו </w:t>
      </w:r>
      <w:proofErr w:type="spellStart"/>
      <w:r w:rsidRPr="003C5309">
        <w:rPr>
          <w:szCs w:val="24"/>
          <w:rtl/>
        </w:rPr>
        <w:t>אוכלין</w:t>
      </w:r>
      <w:proofErr w:type="spellEnd"/>
      <w:r w:rsidRPr="003C5309">
        <w:rPr>
          <w:szCs w:val="24"/>
          <w:rtl/>
        </w:rPr>
        <w:t xml:space="preserve"> חולין בטהרה </w:t>
      </w:r>
      <w:proofErr w:type="spellStart"/>
      <w:r w:rsidRPr="003C5309">
        <w:rPr>
          <w:szCs w:val="24"/>
          <w:rtl/>
        </w:rPr>
        <w:t>ונזהרין</w:t>
      </w:r>
      <w:proofErr w:type="spellEnd"/>
      <w:r w:rsidRPr="003C5309">
        <w:rPr>
          <w:szCs w:val="24"/>
          <w:rtl/>
        </w:rPr>
        <w:t xml:space="preserve"> מן הטומאות כולן כל ימיהם, והן הנקראים פרושים. ודבר זה קדושה יתירה היא ודרך חסידות... שהפרישות מביאה לידי טהרת הגוף ממעשים הרעים, וטהרת הגוף מביאה לידי קדושת הנפש מן הדעות הרעות, וקדושת הנפש גורמת להִ דמות בשכינה, שנאמר: "ו</w:t>
      </w:r>
      <w:r w:rsidR="004B0F18">
        <w:rPr>
          <w:rFonts w:hint="cs"/>
          <w:szCs w:val="24"/>
          <w:rtl/>
        </w:rPr>
        <w:t>התקדשתם והייתם קדשים כי אני ה' א-</w:t>
      </w:r>
      <w:proofErr w:type="spellStart"/>
      <w:r w:rsidR="004B0F18">
        <w:rPr>
          <w:rFonts w:hint="cs"/>
          <w:szCs w:val="24"/>
          <w:rtl/>
        </w:rPr>
        <w:t>לוהיכם</w:t>
      </w:r>
      <w:proofErr w:type="spellEnd"/>
      <w:r w:rsidRPr="003C5309">
        <w:rPr>
          <w:szCs w:val="24"/>
          <w:rtl/>
        </w:rPr>
        <w:t>".</w:t>
      </w:r>
    </w:p>
    <w:p w:rsidR="003C5309" w:rsidRPr="003C5309" w:rsidRDefault="003C5309" w:rsidP="004B0F18">
      <w:pPr>
        <w:rPr>
          <w:szCs w:val="24"/>
          <w:rtl/>
        </w:rPr>
      </w:pPr>
      <w:r w:rsidRPr="003C5309">
        <w:rPr>
          <w:szCs w:val="24"/>
          <w:rtl/>
        </w:rPr>
        <w:t>לכאורה, מנהג הטבילה בערב יום הכיפורים תלוי במחלוקת זו. לדעת הרמב"ם, שהחובה להיטהר לפני הרגל תלויה במצוַ ת העלייה לבית המקדש, אין סיבה לטבול בערב יום הכיפורים, שאין בו מצוַ ת עלייה לרגל כלל. לאחר שבית המקדש נחרב, משבטלה לדעת הרמב"ם המצווה לטבול לפני הרגלים, נוספה סיבה נוספת לכך שאין לדעתו חובה לטבול בערב יום הכיפורים. לעומת זאת, לדעת ה"נודע ביהודה" והמאירי, שחובת הטבילה נובעת מעמידתו של האדם לפני ה', מובן שערב יום הכיפורים הוא היום המתאים ביותר בשנה לנהוג בו חובה זו. שהרי מקרא מלא הוא: "כ</w:t>
      </w:r>
      <w:r w:rsidR="004B0F18">
        <w:rPr>
          <w:rFonts w:hint="cs"/>
          <w:szCs w:val="24"/>
          <w:rtl/>
        </w:rPr>
        <w:t xml:space="preserve">י ביום הזה יכפר עליכם לטהר אתכם, מכל </w:t>
      </w:r>
      <w:proofErr w:type="spellStart"/>
      <w:r w:rsidR="004B0F18">
        <w:rPr>
          <w:rFonts w:hint="cs"/>
          <w:szCs w:val="24"/>
          <w:rtl/>
        </w:rPr>
        <w:t>חטאתיכם</w:t>
      </w:r>
      <w:proofErr w:type="spellEnd"/>
      <w:r w:rsidR="004B0F18">
        <w:rPr>
          <w:rFonts w:hint="cs"/>
          <w:szCs w:val="24"/>
          <w:rtl/>
        </w:rPr>
        <w:t xml:space="preserve"> לפני ה' תטהרו</w:t>
      </w:r>
      <w:r w:rsidRPr="003C5309">
        <w:rPr>
          <w:szCs w:val="24"/>
          <w:rtl/>
        </w:rPr>
        <w:t xml:space="preserve">ּ" (ויקרא </w:t>
      </w:r>
      <w:proofErr w:type="spellStart"/>
      <w:r w:rsidRPr="003C5309">
        <w:rPr>
          <w:szCs w:val="24"/>
          <w:rtl/>
        </w:rPr>
        <w:t>טז</w:t>
      </w:r>
      <w:proofErr w:type="spellEnd"/>
      <w:r w:rsidRPr="003C5309">
        <w:rPr>
          <w:szCs w:val="24"/>
          <w:rtl/>
        </w:rPr>
        <w:t xml:space="preserve">, ל). </w:t>
      </w:r>
    </w:p>
    <w:p w:rsidR="003C5309" w:rsidRPr="003C5309" w:rsidRDefault="003C5309" w:rsidP="003C5309">
      <w:pPr>
        <w:rPr>
          <w:szCs w:val="24"/>
          <w:rtl/>
        </w:rPr>
      </w:pPr>
      <w:proofErr w:type="spellStart"/>
      <w:r w:rsidRPr="003C5309">
        <w:rPr>
          <w:szCs w:val="24"/>
          <w:rtl/>
        </w:rPr>
        <w:t>הרא"ש</w:t>
      </w:r>
      <w:proofErr w:type="spellEnd"/>
      <w:r w:rsidRPr="003C5309">
        <w:rPr>
          <w:szCs w:val="24"/>
          <w:rtl/>
        </w:rPr>
        <w:t xml:space="preserve"> (יומא פ"ח סי' כד) מביא את דעת רב סעדיה גאון, ש"בעלייתו מלטבול מברך על הטבילה". </w:t>
      </w:r>
      <w:proofErr w:type="spellStart"/>
      <w:r w:rsidRPr="003C5309">
        <w:rPr>
          <w:szCs w:val="24"/>
          <w:rtl/>
        </w:rPr>
        <w:t>הרא"ש</w:t>
      </w:r>
      <w:proofErr w:type="spellEnd"/>
      <w:r w:rsidRPr="003C5309">
        <w:rPr>
          <w:szCs w:val="24"/>
          <w:rtl/>
        </w:rPr>
        <w:t xml:space="preserve"> עצמו חולק על כך, ומנמק את דבריו בין השאר בכך </w:t>
      </w:r>
      <w:r w:rsidRPr="003C5309">
        <w:rPr>
          <w:szCs w:val="24"/>
          <w:rtl/>
        </w:rPr>
        <w:lastRenderedPageBreak/>
        <w:t xml:space="preserve">שכולנו ממילא טמאי מתים. טבילה, כידוע, אינה מטהרת טמאי מתים, ואין בידינו אפר פרה אדומה </w:t>
      </w:r>
      <w:proofErr w:type="spellStart"/>
      <w:r w:rsidRPr="003C5309">
        <w:rPr>
          <w:szCs w:val="24"/>
          <w:rtl/>
        </w:rPr>
        <w:t>המטהרם</w:t>
      </w:r>
      <w:proofErr w:type="spellEnd"/>
      <w:r w:rsidRPr="003C5309">
        <w:rPr>
          <w:szCs w:val="24"/>
          <w:rtl/>
        </w:rPr>
        <w:t xml:space="preserve">. </w:t>
      </w:r>
      <w:proofErr w:type="spellStart"/>
      <w:r w:rsidRPr="003C5309">
        <w:rPr>
          <w:szCs w:val="24"/>
          <w:rtl/>
        </w:rPr>
        <w:t>הרא"ש</w:t>
      </w:r>
      <w:proofErr w:type="spellEnd"/>
      <w:r w:rsidRPr="003C5309">
        <w:rPr>
          <w:szCs w:val="24"/>
          <w:rtl/>
        </w:rPr>
        <w:t xml:space="preserve"> קובע אפוא שאין מקום לברך על טבילה זו, שאינה מטהרת אותנו לחלוטין.</w:t>
      </w:r>
    </w:p>
    <w:p w:rsidR="003C5309" w:rsidRPr="003C5309" w:rsidRDefault="003C5309" w:rsidP="003C5309">
      <w:pPr>
        <w:rPr>
          <w:szCs w:val="24"/>
          <w:rtl/>
        </w:rPr>
      </w:pPr>
      <w:r w:rsidRPr="003C5309">
        <w:rPr>
          <w:szCs w:val="24"/>
          <w:rtl/>
        </w:rPr>
        <w:t xml:space="preserve">דברי </w:t>
      </w:r>
      <w:proofErr w:type="spellStart"/>
      <w:r w:rsidRPr="003C5309">
        <w:rPr>
          <w:szCs w:val="24"/>
          <w:rtl/>
        </w:rPr>
        <w:t>הרא"ש</w:t>
      </w:r>
      <w:proofErr w:type="spellEnd"/>
      <w:r w:rsidRPr="003C5309">
        <w:rPr>
          <w:szCs w:val="24"/>
          <w:rtl/>
        </w:rPr>
        <w:t xml:space="preserve"> ברורים ונהירים; אך מה פשר שיטת רב סעדיה גאון? כיצד יכול אדם לברך בערב יום הכיפורים על הטבילה, כאשר הוא טמא מת והטבילה אינה מטהרת אותו כלל? נראה שלדעת רב סעדיה גאון, הטבילה בערב יום הכיפורים אכן לא נועדה להשיג טהרה מלאה. בדרך כלל, אדם יכול להיות טהור לחלוטין או טמא לחלוטין, ואין טהרה </w:t>
      </w:r>
      <w:proofErr w:type="spellStart"/>
      <w:r w:rsidRPr="003C5309">
        <w:rPr>
          <w:szCs w:val="24"/>
          <w:rtl/>
        </w:rPr>
        <w:t>לחצאין</w:t>
      </w:r>
      <w:proofErr w:type="spellEnd"/>
      <w:r w:rsidRPr="003C5309">
        <w:rPr>
          <w:szCs w:val="24"/>
          <w:rtl/>
        </w:rPr>
        <w:t>. בערב יום הכיפורים - האדם עומד להיכנס לפני ה', ועליו להיטהר ככל יכולתו. אף שהוא אינו יכול לטהר עצמו לגמרי, די בכך שהאדם מתאמץ להיטהר, ומשתדל בכל כוחו להיכנס</w:t>
      </w:r>
      <w:r>
        <w:rPr>
          <w:rFonts w:hint="cs"/>
          <w:szCs w:val="24"/>
          <w:rtl/>
        </w:rPr>
        <w:t xml:space="preserve"> </w:t>
      </w:r>
      <w:r w:rsidRPr="003C5309">
        <w:rPr>
          <w:szCs w:val="24"/>
          <w:rtl/>
        </w:rPr>
        <w:t>ליום הכיפורים בטהרה, כדי לחייבו בברכה על טבילתו.</w:t>
      </w:r>
    </w:p>
    <w:p w:rsidR="003C5309" w:rsidRPr="003C5309" w:rsidRDefault="003C5309" w:rsidP="003C5309">
      <w:pPr>
        <w:rPr>
          <w:szCs w:val="24"/>
          <w:rtl/>
        </w:rPr>
      </w:pPr>
      <w:r w:rsidRPr="003C5309">
        <w:rPr>
          <w:szCs w:val="24"/>
          <w:rtl/>
        </w:rPr>
        <w:t xml:space="preserve">נימוק נוסף לחובת הטבילה בערב יום הכיפורים מובא בספר "שבלי הלקט" (סי' </w:t>
      </w:r>
      <w:proofErr w:type="spellStart"/>
      <w:r w:rsidRPr="003C5309">
        <w:rPr>
          <w:szCs w:val="24"/>
          <w:rtl/>
        </w:rPr>
        <w:t>רפג</w:t>
      </w:r>
      <w:proofErr w:type="spellEnd"/>
      <w:r w:rsidRPr="003C5309">
        <w:rPr>
          <w:szCs w:val="24"/>
          <w:rtl/>
        </w:rPr>
        <w:t>):</w:t>
      </w:r>
    </w:p>
    <w:p w:rsidR="003C5309" w:rsidRPr="003C5309" w:rsidRDefault="003C5309" w:rsidP="003C5309">
      <w:pPr>
        <w:rPr>
          <w:szCs w:val="24"/>
          <w:rtl/>
        </w:rPr>
      </w:pPr>
      <w:r w:rsidRPr="003C5309">
        <w:rPr>
          <w:szCs w:val="24"/>
          <w:rtl/>
        </w:rPr>
        <w:t>הא למדת, שבכל רגל ורגל חייב אדם לטהר עצמו, כל שכן בראש השנה וביום הכיפורים, שהן ימי משפט, שצריך אדם לטהר ולקדש עצמו ולהוציא כאור צדקו ומשפטו כצהרים.</w:t>
      </w:r>
    </w:p>
    <w:p w:rsidR="003C5309" w:rsidRPr="003C5309" w:rsidRDefault="003C5309" w:rsidP="003C5309">
      <w:pPr>
        <w:rPr>
          <w:szCs w:val="24"/>
          <w:rtl/>
        </w:rPr>
      </w:pPr>
      <w:r w:rsidRPr="003C5309">
        <w:rPr>
          <w:szCs w:val="24"/>
          <w:rtl/>
        </w:rPr>
        <w:t>לכאורה, יש כאן נימוק שונה לחובת ההיטהרות בערב יום הכיפורים: כיוון שיום הכיפורים הוא יום של משפט,</w:t>
      </w:r>
      <w:r>
        <w:rPr>
          <w:rFonts w:hint="cs"/>
          <w:szCs w:val="24"/>
          <w:rtl/>
        </w:rPr>
        <w:t xml:space="preserve"> </w:t>
      </w:r>
      <w:r w:rsidRPr="003C5309">
        <w:rPr>
          <w:szCs w:val="24"/>
          <w:rtl/>
        </w:rPr>
        <w:t xml:space="preserve">על האדם להתקדש ולהוסיף טהרה כדי שהקב"ה ימצא אותו זכאי בדינו. בדומה מצאנו בדברי </w:t>
      </w:r>
      <w:proofErr w:type="spellStart"/>
      <w:r w:rsidRPr="003C5309">
        <w:rPr>
          <w:szCs w:val="24"/>
          <w:rtl/>
        </w:rPr>
        <w:t>הרא"ש</w:t>
      </w:r>
      <w:proofErr w:type="spellEnd"/>
      <w:r w:rsidRPr="003C5309">
        <w:rPr>
          <w:szCs w:val="24"/>
          <w:rtl/>
        </w:rPr>
        <w:t xml:space="preserve"> (יומא פ"ח סי' כד), המספר ש"נהגו העולם לטהר עצמן" בערב יום הכיפורים, ומבאר שמנהג זה נסמך על המדרש הקובע שבני ישראל ביום הכיפורים הם "נקיים כמלאכי השרת" (דברים רבה ב, לו). ואם מצאנו שיש עניין מיוחד לטבול דווקא בערב יום הכיפורים, מסתבר לקשר מנהג זה לטבילותיו הרבות של הכהן הגדול בסדר עבודת יום הכיפורים: כשם שהכהן הגדול לא היה טובל משום טומאתו, שהרי הוא לא נטמא כלל, אלא חמש טבילותיו היו לתוספת קדושה - כך גם אנו טובלים בערב יום הכיפורים לתוספת קדושה לקראת כניסת היום הקדוש (מחזור המקדש ליוה"כ, עמ'49</w:t>
      </w:r>
      <w:r>
        <w:rPr>
          <w:rFonts w:hint="cs"/>
          <w:szCs w:val="24"/>
          <w:rtl/>
        </w:rPr>
        <w:t>)</w:t>
      </w:r>
      <w:r w:rsidRPr="003C5309">
        <w:rPr>
          <w:szCs w:val="24"/>
          <w:rtl/>
        </w:rPr>
        <w:t>.</w:t>
      </w:r>
    </w:p>
    <w:p w:rsidR="003C5309" w:rsidRDefault="003C5309" w:rsidP="003C5309">
      <w:pPr>
        <w:rPr>
          <w:szCs w:val="24"/>
          <w:rtl/>
        </w:rPr>
      </w:pPr>
      <w:r w:rsidRPr="003C5309">
        <w:rPr>
          <w:szCs w:val="24"/>
          <w:rtl/>
        </w:rPr>
        <w:t>אולם למעשה, יש לשים לב שבעל "שבלי הלקט" מקשר בין הטבילה בערב יום הכיפורים לבין הטבילה בערב הרגל. נראה אפוא שכוונתו איננה שהטבילה בערב יום הכיפורים נועדה רק לקדש את האדם ולמרקו. כשם שבכל רגל ורגל חייב האדם לטהר עצמו בטרם יעמוד לפני ה', כך גם ביום הכיפורים. בימים הנוראים עומד האדם לפני יוצרו למשפט, ולקראת מעמד נשגב זה עליו להתקדש ולהיטהר.</w:t>
      </w:r>
    </w:p>
    <w:p w:rsidR="003C5309" w:rsidRPr="003C5309" w:rsidRDefault="003C5309" w:rsidP="004B0F18">
      <w:pPr>
        <w:rPr>
          <w:szCs w:val="24"/>
          <w:rtl/>
        </w:rPr>
      </w:pPr>
      <w:r w:rsidRPr="003C5309">
        <w:rPr>
          <w:szCs w:val="24"/>
          <w:rtl/>
        </w:rPr>
        <w:t>ביום הכיפורים - כך מבטיחה לנו התורה - מטהר הקב"ה את עם ישראל, כאמור: "כ</w:t>
      </w:r>
      <w:r w:rsidR="004B0F18">
        <w:rPr>
          <w:rFonts w:hint="cs"/>
          <w:szCs w:val="24"/>
          <w:rtl/>
        </w:rPr>
        <w:t>י ביום הזה יכפר עליכם לטהר אתכם</w:t>
      </w:r>
      <w:r w:rsidRPr="003C5309">
        <w:rPr>
          <w:szCs w:val="24"/>
          <w:rtl/>
        </w:rPr>
        <w:t xml:space="preserve">" (ויקרא </w:t>
      </w:r>
      <w:proofErr w:type="spellStart"/>
      <w:r w:rsidRPr="003C5309">
        <w:rPr>
          <w:szCs w:val="24"/>
          <w:rtl/>
        </w:rPr>
        <w:t>טז</w:t>
      </w:r>
      <w:proofErr w:type="spellEnd"/>
      <w:r w:rsidRPr="003C5309">
        <w:rPr>
          <w:szCs w:val="24"/>
          <w:rtl/>
        </w:rPr>
        <w:t xml:space="preserve">, ל). טהרה זו אינה טהרה רגילה, מאחת הטומאות המוכרות, אלא טהרה רוחנית - כפרה </w:t>
      </w:r>
      <w:r w:rsidRPr="003C5309">
        <w:rPr>
          <w:szCs w:val="24"/>
          <w:rtl/>
        </w:rPr>
        <w:t>- המתבטאת במירוק נשמתו של האדם ובכפרת עוונותיו. על הקשר שבין הטהרה הגופנית במקווה לבין טהרת הנשמה על ידי הקב"ה מלמד הנביא בדבריו "</w:t>
      </w:r>
      <w:proofErr w:type="spellStart"/>
      <w:r w:rsidR="004B0F18">
        <w:rPr>
          <w:rFonts w:hint="cs"/>
          <w:szCs w:val="24"/>
          <w:rtl/>
        </w:rPr>
        <w:t>מקוה</w:t>
      </w:r>
      <w:proofErr w:type="spellEnd"/>
      <w:r w:rsidR="004B0F18">
        <w:rPr>
          <w:rFonts w:hint="cs"/>
          <w:szCs w:val="24"/>
          <w:rtl/>
        </w:rPr>
        <w:t xml:space="preserve"> ישראל ה'</w:t>
      </w:r>
      <w:r w:rsidRPr="003C5309">
        <w:rPr>
          <w:szCs w:val="24"/>
          <w:rtl/>
        </w:rPr>
        <w:t>", וכפי שהסביר רבי עקיבא בחתימת מסכת יומא (פ"ח מ"ז):</w:t>
      </w:r>
    </w:p>
    <w:p w:rsidR="003C5309" w:rsidRDefault="003C5309" w:rsidP="004B0F18">
      <w:pPr>
        <w:rPr>
          <w:szCs w:val="24"/>
        </w:rPr>
      </w:pPr>
      <w:r w:rsidRPr="003C5309">
        <w:rPr>
          <w:szCs w:val="24"/>
          <w:rtl/>
        </w:rPr>
        <w:t xml:space="preserve">אמר רבי עקיבה: אשריכם ישראל! לפני מי אתם </w:t>
      </w:r>
      <w:proofErr w:type="spellStart"/>
      <w:r w:rsidRPr="003C5309">
        <w:rPr>
          <w:szCs w:val="24"/>
          <w:rtl/>
        </w:rPr>
        <w:t>מיטהרין</w:t>
      </w:r>
      <w:proofErr w:type="spellEnd"/>
      <w:r w:rsidRPr="003C5309">
        <w:rPr>
          <w:szCs w:val="24"/>
          <w:rtl/>
        </w:rPr>
        <w:t xml:space="preserve"> ומי מטהר אתכם - אביכם שבשמיים, שנאמר: "</w:t>
      </w:r>
      <w:r w:rsidR="004B0F18">
        <w:rPr>
          <w:rFonts w:hint="cs"/>
          <w:szCs w:val="24"/>
          <w:rtl/>
        </w:rPr>
        <w:t>וזרקתי עליכם מים טהורים, וטהרתם</w:t>
      </w:r>
      <w:r w:rsidRPr="003C5309">
        <w:rPr>
          <w:szCs w:val="24"/>
          <w:rtl/>
        </w:rPr>
        <w:t>"; ואומר: "</w:t>
      </w:r>
      <w:proofErr w:type="spellStart"/>
      <w:r w:rsidR="004B0F18">
        <w:rPr>
          <w:rFonts w:hint="cs"/>
          <w:szCs w:val="24"/>
          <w:rtl/>
        </w:rPr>
        <w:t>מקוה</w:t>
      </w:r>
      <w:proofErr w:type="spellEnd"/>
      <w:r w:rsidR="004B0F18">
        <w:rPr>
          <w:rFonts w:hint="cs"/>
          <w:szCs w:val="24"/>
          <w:rtl/>
        </w:rPr>
        <w:t xml:space="preserve"> ישראל ה'</w:t>
      </w:r>
      <w:r w:rsidRPr="003C5309">
        <w:rPr>
          <w:szCs w:val="24"/>
          <w:rtl/>
        </w:rPr>
        <w:t xml:space="preserve">" - מה </w:t>
      </w:r>
      <w:proofErr w:type="spellStart"/>
      <w:r w:rsidRPr="003C5309">
        <w:rPr>
          <w:szCs w:val="24"/>
          <w:rtl/>
        </w:rPr>
        <w:t>המקוה</w:t>
      </w:r>
      <w:proofErr w:type="spellEnd"/>
      <w:r w:rsidRPr="003C5309">
        <w:rPr>
          <w:szCs w:val="24"/>
          <w:rtl/>
        </w:rPr>
        <w:t xml:space="preserve"> מטהר את הטמאים, אף הקדוש ברוך הוא מטהר את ישראל. בערב יום הכיפורים אנו טובלים את גופנו במקווה כדי "להזכיר" לקב"ה את הבטחתו לטהר את נשמתנו. כביכול, בטבילה זו מתפללים אנו לקב"ה: הלוא אתה הוא מקווה ישראל, המכפר עלינו ביום הכיפורים. טובלים אנו עתה במקווה, ומטהרים את גופנו מטומאתו לקראת העמידה לפניך </w:t>
      </w:r>
      <w:proofErr w:type="spellStart"/>
      <w:r w:rsidRPr="003C5309">
        <w:rPr>
          <w:szCs w:val="24"/>
          <w:rtl/>
        </w:rPr>
        <w:t>ית</w:t>
      </w:r>
      <w:proofErr w:type="spellEnd"/>
      <w:r w:rsidRPr="003C5309">
        <w:rPr>
          <w:szCs w:val="24"/>
          <w:rtl/>
        </w:rPr>
        <w:t>'. אף אתה - ה' - עשה אפוא את שהבטחתנו, וטהר את נשמתנו מחטאינו עִ ם כניסת היום הקדוש.</w:t>
      </w:r>
    </w:p>
    <w:p w:rsidR="00826B46" w:rsidRDefault="00826B46" w:rsidP="00826B46">
      <w:pPr>
        <w:pStyle w:val="NormalPar"/>
        <w:jc w:val="both"/>
        <w:rPr>
          <w:rFonts w:cs="David"/>
          <w:rtl/>
        </w:rPr>
      </w:pPr>
    </w:p>
    <w:p w:rsidR="00826B46" w:rsidRDefault="00826B46" w:rsidP="00826B46">
      <w:pPr>
        <w:rPr>
          <w:rtl/>
        </w:rPr>
      </w:pPr>
    </w:p>
    <w:p w:rsidR="00826B46" w:rsidRDefault="00826B46" w:rsidP="00826B46">
      <w:pPr>
        <w:pStyle w:val="NormalPar"/>
        <w:jc w:val="both"/>
        <w:rPr>
          <w:rFonts w:cs="David"/>
          <w:rtl/>
        </w:rPr>
      </w:pPr>
    </w:p>
    <w:p w:rsidR="00826B46" w:rsidRDefault="00826B46" w:rsidP="00826B46">
      <w:pPr>
        <w:rPr>
          <w:rtl/>
        </w:rPr>
      </w:pPr>
    </w:p>
    <w:p w:rsidR="00826B46" w:rsidRDefault="00826B46" w:rsidP="00826B46">
      <w:pPr>
        <w:pStyle w:val="NormalPar"/>
        <w:jc w:val="both"/>
        <w:rPr>
          <w:rFonts w:cs="David"/>
          <w:rtl/>
        </w:rPr>
      </w:pPr>
    </w:p>
    <w:tbl>
      <w:tblPr>
        <w:tblpPr w:leftFromText="180" w:rightFromText="180" w:vertAnchor="text" w:horzAnchor="page" w:tblpX="382" w:tblpY="709"/>
        <w:bidiVisual/>
        <w:tblW w:w="4678" w:type="dxa"/>
        <w:tblLayout w:type="fixed"/>
        <w:tblLook w:val="0000" w:firstRow="0" w:lastRow="0" w:firstColumn="0" w:lastColumn="0" w:noHBand="0" w:noVBand="0"/>
      </w:tblPr>
      <w:tblGrid>
        <w:gridCol w:w="283"/>
        <w:gridCol w:w="4111"/>
        <w:gridCol w:w="284"/>
      </w:tblGrid>
      <w:tr w:rsidR="00826B46" w:rsidTr="00826B46">
        <w:trPr>
          <w:cantSplit/>
        </w:trPr>
        <w:tc>
          <w:tcPr>
            <w:tcW w:w="283" w:type="dxa"/>
            <w:tcBorders>
              <w:top w:val="nil"/>
              <w:left w:val="nil"/>
              <w:bottom w:val="nil"/>
              <w:right w:val="nil"/>
            </w:tcBorders>
          </w:tcPr>
          <w:p w:rsidR="00826B46" w:rsidRDefault="00826B46" w:rsidP="00826B46">
            <w:pPr>
              <w:pStyle w:val="ab"/>
              <w:rPr>
                <w:noProof w:val="0"/>
              </w:rPr>
            </w:pPr>
            <w:r>
              <w:rPr>
                <w:noProof w:val="0"/>
                <w:rtl/>
              </w:rPr>
              <w:t>*</w:t>
            </w:r>
          </w:p>
        </w:tc>
        <w:tc>
          <w:tcPr>
            <w:tcW w:w="4111" w:type="dxa"/>
            <w:tcBorders>
              <w:top w:val="nil"/>
              <w:left w:val="nil"/>
              <w:bottom w:val="nil"/>
              <w:right w:val="nil"/>
            </w:tcBorders>
          </w:tcPr>
          <w:p w:rsidR="00826B46" w:rsidRDefault="00826B46" w:rsidP="00826B46">
            <w:pPr>
              <w:pStyle w:val="ab"/>
              <w:rPr>
                <w:noProof w:val="0"/>
              </w:rPr>
            </w:pPr>
            <w:r>
              <w:rPr>
                <w:noProof w:val="0"/>
                <w:rtl/>
              </w:rPr>
              <w:t>**********************************************************</w:t>
            </w:r>
          </w:p>
        </w:tc>
        <w:tc>
          <w:tcPr>
            <w:tcW w:w="284" w:type="dxa"/>
            <w:tcBorders>
              <w:top w:val="nil"/>
              <w:left w:val="nil"/>
              <w:bottom w:val="nil"/>
              <w:right w:val="nil"/>
            </w:tcBorders>
          </w:tcPr>
          <w:p w:rsidR="00826B46" w:rsidRDefault="00826B46" w:rsidP="00826B46">
            <w:pPr>
              <w:pStyle w:val="ab"/>
              <w:rPr>
                <w:noProof w:val="0"/>
              </w:rPr>
            </w:pPr>
            <w:r>
              <w:rPr>
                <w:noProof w:val="0"/>
                <w:rtl/>
              </w:rPr>
              <w:t>*</w:t>
            </w:r>
          </w:p>
        </w:tc>
      </w:tr>
      <w:tr w:rsidR="00826B46" w:rsidTr="00826B46">
        <w:trPr>
          <w:cantSplit/>
        </w:trPr>
        <w:tc>
          <w:tcPr>
            <w:tcW w:w="283" w:type="dxa"/>
            <w:tcBorders>
              <w:top w:val="nil"/>
              <w:left w:val="nil"/>
              <w:bottom w:val="nil"/>
              <w:right w:val="nil"/>
            </w:tcBorders>
          </w:tcPr>
          <w:p w:rsidR="00826B46" w:rsidRDefault="00826B46" w:rsidP="00826B46">
            <w:pPr>
              <w:pStyle w:val="ab"/>
              <w:rPr>
                <w:noProof w:val="0"/>
              </w:rPr>
            </w:pPr>
            <w:r>
              <w:rPr>
                <w:noProof w:val="0"/>
                <w:rtl/>
              </w:rPr>
              <w:t xml:space="preserve">* * * * * * * </w:t>
            </w:r>
          </w:p>
        </w:tc>
        <w:tc>
          <w:tcPr>
            <w:tcW w:w="4111" w:type="dxa"/>
            <w:tcBorders>
              <w:top w:val="nil"/>
              <w:left w:val="nil"/>
              <w:bottom w:val="nil"/>
              <w:right w:val="nil"/>
            </w:tcBorders>
          </w:tcPr>
          <w:p w:rsidR="00826B46" w:rsidRDefault="00826B46" w:rsidP="00AC35CD">
            <w:pPr>
              <w:pStyle w:val="ab"/>
              <w:rPr>
                <w:noProof w:val="0"/>
                <w:rtl/>
              </w:rPr>
            </w:pPr>
            <w:r>
              <w:rPr>
                <w:noProof w:val="0"/>
                <w:rtl/>
              </w:rPr>
              <w:t>כל הזכויות שמורות לישיבת הר עציון</w:t>
            </w:r>
            <w:r>
              <w:rPr>
                <w:rFonts w:hint="cs"/>
                <w:noProof w:val="0"/>
                <w:rtl/>
              </w:rPr>
              <w:t xml:space="preserve"> ולרב </w:t>
            </w:r>
            <w:r w:rsidR="00AC35CD">
              <w:rPr>
                <w:rFonts w:hint="cs"/>
                <w:noProof w:val="0"/>
                <w:rtl/>
              </w:rPr>
              <w:t>יעקב מדן</w:t>
            </w:r>
            <w:r>
              <w:rPr>
                <w:noProof w:val="0"/>
                <w:rtl/>
              </w:rPr>
              <w:t xml:space="preserve"> </w:t>
            </w:r>
          </w:p>
          <w:p w:rsidR="00826B46" w:rsidRDefault="00826B46" w:rsidP="00826B46">
            <w:pPr>
              <w:pStyle w:val="ab"/>
              <w:rPr>
                <w:noProof w:val="0"/>
                <w:rtl/>
              </w:rPr>
            </w:pPr>
            <w:r>
              <w:rPr>
                <w:rFonts w:hint="cs"/>
                <w:noProof w:val="0"/>
                <w:rtl/>
              </w:rPr>
              <w:t>תשע"ט</w:t>
            </w:r>
          </w:p>
          <w:p w:rsidR="00826B46" w:rsidRDefault="00826B46" w:rsidP="00826B46">
            <w:pPr>
              <w:pStyle w:val="ab"/>
              <w:rPr>
                <w:noProof w:val="0"/>
                <w:rtl/>
              </w:rPr>
            </w:pPr>
            <w:r>
              <w:rPr>
                <w:noProof w:val="0"/>
                <w:rtl/>
              </w:rPr>
              <w:t>*******************************************************</w:t>
            </w:r>
          </w:p>
          <w:p w:rsidR="00826B46" w:rsidRDefault="00826B46" w:rsidP="00826B46">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826B46" w:rsidRPr="005734F1" w:rsidRDefault="00826B46" w:rsidP="00826B46">
            <w:pPr>
              <w:pStyle w:val="ab"/>
              <w:rPr>
                <w:noProof w:val="0"/>
                <w:rtl/>
              </w:rPr>
            </w:pPr>
            <w:r w:rsidRPr="005734F1">
              <w:rPr>
                <w:noProof w:val="0"/>
                <w:rtl/>
              </w:rPr>
              <w:t xml:space="preserve">מיסודו של </w:t>
            </w:r>
          </w:p>
          <w:p w:rsidR="00826B46" w:rsidRPr="005734F1" w:rsidRDefault="00826B46" w:rsidP="00826B46">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826B46" w:rsidRDefault="00826B46" w:rsidP="00826B46">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826B46" w:rsidRDefault="00826B46" w:rsidP="00826B46">
            <w:pPr>
              <w:pStyle w:val="ab"/>
              <w:rPr>
                <w:noProof w:val="0"/>
                <w:rtl/>
              </w:rPr>
            </w:pPr>
            <w:r>
              <w:rPr>
                <w:noProof w:val="0"/>
                <w:rtl/>
              </w:rPr>
              <w:t>האתר באנגלית:</w:t>
            </w:r>
            <w:r>
              <w:rPr>
                <w:noProof w:val="0"/>
                <w:rtl/>
              </w:rPr>
              <w:tab/>
            </w:r>
            <w:hyperlink r:id="rId9" w:history="1">
              <w:r>
                <w:rPr>
                  <w:rStyle w:val="Hyperlink"/>
                </w:rPr>
                <w:t>http://www.vbm-torah.org</w:t>
              </w:r>
            </w:hyperlink>
          </w:p>
          <w:p w:rsidR="00826B46" w:rsidRDefault="00826B46" w:rsidP="00826B46">
            <w:pPr>
              <w:pStyle w:val="ab"/>
              <w:rPr>
                <w:noProof w:val="0"/>
                <w:rtl/>
              </w:rPr>
            </w:pPr>
          </w:p>
          <w:p w:rsidR="00826B46" w:rsidRDefault="00826B46" w:rsidP="00826B46">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26B46" w:rsidRDefault="00826B46" w:rsidP="00826B46">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826B46" w:rsidRDefault="00826B46" w:rsidP="00826B46">
            <w:pPr>
              <w:pStyle w:val="ab"/>
              <w:rPr>
                <w:noProof w:val="0"/>
              </w:rPr>
            </w:pPr>
          </w:p>
        </w:tc>
        <w:tc>
          <w:tcPr>
            <w:tcW w:w="284" w:type="dxa"/>
            <w:tcBorders>
              <w:top w:val="nil"/>
              <w:left w:val="nil"/>
              <w:bottom w:val="nil"/>
              <w:right w:val="nil"/>
            </w:tcBorders>
          </w:tcPr>
          <w:p w:rsidR="00826B46" w:rsidRDefault="00826B46" w:rsidP="00826B46">
            <w:pPr>
              <w:pStyle w:val="ab"/>
              <w:rPr>
                <w:noProof w:val="0"/>
              </w:rPr>
            </w:pPr>
            <w:r>
              <w:rPr>
                <w:noProof w:val="0"/>
                <w:rtl/>
              </w:rPr>
              <w:t xml:space="preserve">* * * * * * * </w:t>
            </w:r>
          </w:p>
        </w:tc>
      </w:tr>
    </w:tbl>
    <w:p w:rsidR="00826B46" w:rsidRDefault="00826B46" w:rsidP="00826B46">
      <w:pPr>
        <w:rPr>
          <w:rtl/>
        </w:rPr>
      </w:pPr>
    </w:p>
    <w:p w:rsidR="00826B46" w:rsidRDefault="00826B46" w:rsidP="00826B46">
      <w:pPr>
        <w:pStyle w:val="NormalPar"/>
        <w:jc w:val="both"/>
        <w:rPr>
          <w:rFonts w:cs="David"/>
          <w:rtl/>
        </w:rPr>
      </w:pPr>
    </w:p>
    <w:p w:rsidR="00826B46" w:rsidRDefault="00826B46" w:rsidP="0048565E">
      <w:pPr>
        <w:rPr>
          <w:rtl/>
        </w:rPr>
      </w:pPr>
    </w:p>
    <w:p w:rsidR="00FA7791" w:rsidRPr="007C0DC9" w:rsidRDefault="00FA7791" w:rsidP="00FA7791">
      <w:pPr>
        <w:shd w:val="clear" w:color="auto" w:fill="FFFFFF"/>
        <w:autoSpaceDE/>
        <w:autoSpaceDN/>
        <w:spacing w:line="288" w:lineRule="exact"/>
        <w:rPr>
          <w:sz w:val="22"/>
          <w:rtl/>
        </w:rPr>
      </w:pPr>
    </w:p>
    <w:p w:rsidR="00FA7791" w:rsidRPr="001C4E63" w:rsidRDefault="00FA7791" w:rsidP="00FA7791">
      <w:pPr>
        <w:autoSpaceDE/>
        <w:autoSpaceDN/>
        <w:spacing w:after="50" w:line="240" w:lineRule="atLeast"/>
        <w:rPr>
          <w:rFonts w:cs="Times New Roman"/>
          <w:sz w:val="22"/>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ind w:left="-170" w:right="-170"/>
              <w:rPr>
                <w:noProof w:val="0"/>
              </w:rPr>
            </w:pPr>
          </w:p>
        </w:tc>
        <w:tc>
          <w:tcPr>
            <w:tcW w:w="284" w:type="dxa"/>
            <w:tcBorders>
              <w:top w:val="nil"/>
              <w:left w:val="nil"/>
              <w:bottom w:val="nil"/>
              <w:right w:val="nil"/>
            </w:tcBorders>
          </w:tcPr>
          <w:p w:rsidR="00FA7791" w:rsidRDefault="00FA7791" w:rsidP="00C47D82">
            <w:pPr>
              <w:pStyle w:val="ab"/>
              <w:rPr>
                <w:noProof w:val="0"/>
              </w:rPr>
            </w:pPr>
          </w:p>
        </w:tc>
      </w:tr>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rPr>
                <w:noProof w:val="0"/>
              </w:rPr>
            </w:pPr>
          </w:p>
        </w:tc>
        <w:tc>
          <w:tcPr>
            <w:tcW w:w="284" w:type="dxa"/>
            <w:tcBorders>
              <w:top w:val="nil"/>
              <w:left w:val="nil"/>
              <w:bottom w:val="nil"/>
              <w:right w:val="nil"/>
            </w:tcBorders>
          </w:tcPr>
          <w:p w:rsidR="00FA7791" w:rsidRDefault="00FA7791" w:rsidP="00C47D82">
            <w:pPr>
              <w:pStyle w:val="ab"/>
              <w:rPr>
                <w:noProof w:val="0"/>
              </w:rPr>
            </w:pPr>
          </w:p>
        </w:tc>
      </w:tr>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ind w:left="-227" w:right="-227"/>
              <w:rPr>
                <w:noProof w:val="0"/>
              </w:rPr>
            </w:pPr>
          </w:p>
        </w:tc>
        <w:tc>
          <w:tcPr>
            <w:tcW w:w="284" w:type="dxa"/>
            <w:tcBorders>
              <w:top w:val="nil"/>
              <w:left w:val="nil"/>
              <w:bottom w:val="nil"/>
              <w:right w:val="nil"/>
            </w:tcBorders>
          </w:tcPr>
          <w:p w:rsidR="00FA7791" w:rsidRDefault="00FA7791" w:rsidP="00C47D82">
            <w:pPr>
              <w:pStyle w:val="ab"/>
              <w:rPr>
                <w:noProof w:val="0"/>
              </w:rPr>
            </w:pPr>
          </w:p>
        </w:tc>
      </w:tr>
    </w:tbl>
    <w:p w:rsidR="00FA7791" w:rsidRDefault="00FA7791" w:rsidP="00FA7791">
      <w:pPr>
        <w:rPr>
          <w:sz w:val="21"/>
          <w:rtl/>
        </w:rPr>
      </w:pPr>
    </w:p>
    <w:p w:rsidR="007769B1" w:rsidRPr="00FA7791" w:rsidRDefault="007769B1" w:rsidP="00FA7791">
      <w:pPr>
        <w:rPr>
          <w:szCs w:val="20"/>
          <w:rtl/>
        </w:rPr>
      </w:pPr>
    </w:p>
    <w:sectPr w:rsidR="007769B1"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70" w:rsidRDefault="008C0170">
      <w:r>
        <w:separator/>
      </w:r>
    </w:p>
  </w:endnote>
  <w:endnote w:type="continuationSeparator" w:id="0">
    <w:p w:rsidR="008C0170" w:rsidRDefault="008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70" w:rsidRDefault="008C0170">
      <w:r>
        <w:separator/>
      </w:r>
    </w:p>
  </w:footnote>
  <w:footnote w:type="continuationSeparator" w:id="0">
    <w:p w:rsidR="008C0170" w:rsidRDefault="008C0170">
      <w:r>
        <w:continuationSeparator/>
      </w:r>
    </w:p>
  </w:footnote>
  <w:footnote w:id="1">
    <w:p w:rsidR="00FA7791" w:rsidRPr="009A0FB2" w:rsidRDefault="00FA7791" w:rsidP="004915A5">
      <w:pPr>
        <w:pStyle w:val="a3"/>
        <w:rPr>
          <w:rtl/>
        </w:rPr>
      </w:pPr>
      <w:r>
        <w:rPr>
          <w:rStyle w:val="a5"/>
          <w:rtl/>
        </w:rPr>
        <w:t>*</w:t>
      </w:r>
      <w:r w:rsidRPr="001C4E63">
        <w:rPr>
          <w:rFonts w:hint="cs"/>
          <w:rtl/>
        </w:rPr>
        <w:t xml:space="preserve"> </w:t>
      </w:r>
      <w:bookmarkStart w:id="1" w:name="_ftn1"/>
      <w:bookmarkEnd w:id="1"/>
      <w:r>
        <w:rPr>
          <w:rFonts w:hint="cs"/>
          <w:rtl/>
        </w:rPr>
        <w:tab/>
      </w:r>
      <w:r w:rsidR="004915A5">
        <w:rPr>
          <w:rFonts w:hint="cs"/>
          <w:rtl/>
        </w:rPr>
        <w:t>השיעור הופיע לראשונה ב"יום הכיפורים" מתוך סדרת באר מרים לחגים</w:t>
      </w:r>
      <w:r w:rsidR="0048565E">
        <w:rPr>
          <w:rFonts w:hint="cs"/>
          <w:rtl/>
        </w:rPr>
        <w:t>.</w:t>
      </w:r>
    </w:p>
  </w:footnote>
  <w:footnote w:id="2">
    <w:p w:rsidR="009344D6" w:rsidRDefault="009344D6" w:rsidP="009344D6">
      <w:pPr>
        <w:pStyle w:val="a3"/>
        <w:rPr>
          <w:rFonts w:hint="cs"/>
          <w:rtl/>
        </w:rPr>
      </w:pPr>
      <w:r>
        <w:rPr>
          <w:rStyle w:val="a5"/>
        </w:rPr>
        <w:footnoteRef/>
      </w:r>
      <w:r>
        <w:rPr>
          <w:rtl/>
        </w:rPr>
        <w:t xml:space="preserve"> </w:t>
      </w:r>
      <w:r>
        <w:rPr>
          <w:rtl/>
        </w:rPr>
        <w:tab/>
      </w:r>
      <w:r>
        <w:rPr>
          <w:rtl/>
        </w:rPr>
        <w:t xml:space="preserve">האדמו"ר </w:t>
      </w:r>
      <w:proofErr w:type="spellStart"/>
      <w:r>
        <w:rPr>
          <w:rtl/>
        </w:rPr>
        <w:t>מלובביץ</w:t>
      </w:r>
      <w:proofErr w:type="spellEnd"/>
      <w:r>
        <w:rPr>
          <w:rtl/>
        </w:rPr>
        <w:t>' הוסיף שגם אם לאחר החורבן היו עולים לרגל לירושלים ומקריבים קרבנות במקום המקדש, הרי שחובת ההיטהרות חלה רק בזמן הסמוך לחורבן, כשעדיין היה להם אפר פרה אדומה והיו יכולים להיטהר מטומאת מת (ליקוטי שיחות לב, פרשת שמיני (ב)).</w:t>
      </w:r>
    </w:p>
  </w:footnote>
  <w:footnote w:id="3">
    <w:p w:rsidR="009344D6" w:rsidRDefault="009344D6" w:rsidP="009344D6">
      <w:pPr>
        <w:pStyle w:val="a3"/>
        <w:rPr>
          <w:rFonts w:hint="cs"/>
          <w:rtl/>
        </w:rPr>
      </w:pPr>
      <w:r>
        <w:rPr>
          <w:rStyle w:val="a5"/>
        </w:rPr>
        <w:footnoteRef/>
      </w:r>
      <w:r>
        <w:rPr>
          <w:rtl/>
        </w:rPr>
        <w:t xml:space="preserve"> </w:t>
      </w:r>
      <w:r>
        <w:rPr>
          <w:rtl/>
        </w:rPr>
        <w:tab/>
      </w:r>
      <w:r>
        <w:rPr>
          <w:rtl/>
        </w:rPr>
        <w:t xml:space="preserve">ביטוי לייחודו של זמן הרגל נתן הרב יוסף דב </w:t>
      </w:r>
      <w:proofErr w:type="spellStart"/>
      <w:r>
        <w:rPr>
          <w:rtl/>
        </w:rPr>
        <w:t>סולוביצ'יק</w:t>
      </w:r>
      <w:proofErr w:type="spellEnd"/>
      <w:r>
        <w:rPr>
          <w:rtl/>
        </w:rPr>
        <w:t>, שכתב שבשבת נחשב האדם כאילו הוא נמצא בביתו והקב"ה בא לבקרו, ואילו ברגל נחשב האדם כאילו הוא בא לבקר אצל ה'.</w:t>
      </w:r>
    </w:p>
  </w:footnote>
  <w:footnote w:id="4">
    <w:p w:rsidR="00AE4BBE" w:rsidRDefault="00AE4BBE" w:rsidP="00AE4BBE">
      <w:pPr>
        <w:pStyle w:val="a3"/>
        <w:rPr>
          <w:rFonts w:hint="cs"/>
          <w:rtl/>
        </w:rPr>
      </w:pPr>
      <w:r>
        <w:rPr>
          <w:rStyle w:val="a5"/>
        </w:rPr>
        <w:footnoteRef/>
      </w:r>
      <w:r>
        <w:rPr>
          <w:rtl/>
        </w:rPr>
        <w:t xml:space="preserve"> </w:t>
      </w:r>
      <w:r>
        <w:rPr>
          <w:rtl/>
        </w:rPr>
        <w:tab/>
      </w:r>
      <w:r>
        <w:rPr>
          <w:rFonts w:hint="cs"/>
          <w:rtl/>
        </w:rPr>
        <w:t>רא</w:t>
      </w:r>
      <w:r>
        <w:rPr>
          <w:rtl/>
        </w:rPr>
        <w:t xml:space="preserve">יה לשיטה זו הביא האדמו"ר </w:t>
      </w:r>
      <w:proofErr w:type="spellStart"/>
      <w:r>
        <w:rPr>
          <w:rtl/>
        </w:rPr>
        <w:t>מלובביץ</w:t>
      </w:r>
      <w:proofErr w:type="spellEnd"/>
      <w:r>
        <w:rPr>
          <w:rtl/>
        </w:rPr>
        <w:t xml:space="preserve">' מדברי רש"י (יבמות </w:t>
      </w:r>
      <w:proofErr w:type="spellStart"/>
      <w:r>
        <w:rPr>
          <w:rtl/>
        </w:rPr>
        <w:t>כט</w:t>
      </w:r>
      <w:proofErr w:type="spellEnd"/>
      <w:r>
        <w:rPr>
          <w:rtl/>
        </w:rPr>
        <w:t xml:space="preserve"> ע"ב), שארוסה אינה מיטמאת לבעלה שמת ברגל, כיוון שישראלים מוזהרים בו על הטומאה. והרי נשים אינן </w:t>
      </w:r>
      <w:proofErr w:type="spellStart"/>
      <w:r>
        <w:rPr>
          <w:rtl/>
        </w:rPr>
        <w:t>מחוייבות</w:t>
      </w:r>
      <w:proofErr w:type="spellEnd"/>
      <w:r>
        <w:rPr>
          <w:rtl/>
        </w:rPr>
        <w:t xml:space="preserve"> בעלייה</w:t>
      </w:r>
      <w:r>
        <w:rPr>
          <w:rFonts w:hint="cs"/>
          <w:rtl/>
        </w:rPr>
        <w:t xml:space="preserve"> </w:t>
      </w:r>
      <w:bookmarkStart w:id="2" w:name="_GoBack"/>
      <w:bookmarkEnd w:id="2"/>
      <w:r>
        <w:rPr>
          <w:rtl/>
        </w:rPr>
        <w:t>לרגל, ובכל זאת כתב רש"י שהן חייבות להיטהר.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E4BBE">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4915A5" w:rsidP="004915A5">
          <w:pPr>
            <w:tabs>
              <w:tab w:val="center" w:pos="4818"/>
              <w:tab w:val="right" w:pos="8220"/>
            </w:tabs>
            <w:spacing w:after="0"/>
          </w:pPr>
          <w:r>
            <w:rPr>
              <w:rFonts w:hint="cs"/>
              <w:rtl/>
            </w:rPr>
            <w:t>שיעורים</w:t>
          </w:r>
          <w:r w:rsidR="007769B1">
            <w:rPr>
              <w:rFonts w:hint="cs"/>
              <w:rtl/>
            </w:rPr>
            <w:t xml:space="preserve"> ל</w:t>
          </w:r>
          <w:r>
            <w:rPr>
              <w:rFonts w:hint="cs"/>
              <w:rtl/>
            </w:rPr>
            <w:t>חגי</w:t>
          </w:r>
          <w:r w:rsidR="007769B1">
            <w:rPr>
              <w:rFonts w:hint="cs"/>
              <w:rtl/>
            </w:rPr>
            <w:t xml:space="preserve"> השנה </w:t>
          </w:r>
          <w:r w:rsidR="007769B1">
            <w:rPr>
              <w:rtl/>
            </w:rPr>
            <w:t xml:space="preserve">מאת </w:t>
          </w:r>
          <w:r>
            <w:rPr>
              <w:rFonts w:hint="cs"/>
              <w:rtl/>
            </w:rPr>
            <w:t>רבני</w:t>
          </w:r>
          <w:r w:rsidR="007769B1">
            <w:rPr>
              <w:rFonts w:hint="cs"/>
              <w:rtl/>
            </w:rPr>
            <w:t xml:space="preserve"> הישיבה</w:t>
          </w:r>
        </w:p>
      </w:tc>
      <w:tc>
        <w:tcPr>
          <w:tcW w:w="3348" w:type="dxa"/>
          <w:tcBorders>
            <w:bottom w:val="double" w:sz="4" w:space="0" w:color="auto"/>
          </w:tcBorders>
          <w:vAlign w:val="center"/>
        </w:tcPr>
        <w:p w:rsidR="007769B1" w:rsidRDefault="007769B1" w:rsidP="0048565E">
          <w:pPr>
            <w:tabs>
              <w:tab w:val="right" w:pos="8220"/>
            </w:tabs>
            <w:bidi w:val="0"/>
            <w:spacing w:after="0" w:line="240" w:lineRule="auto"/>
            <w:jc w:val="left"/>
            <w:rPr>
              <w:sz w:val="28"/>
              <w:szCs w:val="24"/>
            </w:rPr>
          </w:pPr>
          <w:r>
            <w:rPr>
              <w:b/>
              <w:bCs/>
              <w:sz w:val="28"/>
              <w:szCs w:val="24"/>
            </w:rPr>
            <w:t>www.etzion.org.il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0D3CEA"/>
    <w:rsid w:val="001051EE"/>
    <w:rsid w:val="001162A4"/>
    <w:rsid w:val="00130F07"/>
    <w:rsid w:val="001316F0"/>
    <w:rsid w:val="00152657"/>
    <w:rsid w:val="001571DB"/>
    <w:rsid w:val="001615CD"/>
    <w:rsid w:val="00163EE5"/>
    <w:rsid w:val="001B7F24"/>
    <w:rsid w:val="001C1CAA"/>
    <w:rsid w:val="001C4E63"/>
    <w:rsid w:val="001E3883"/>
    <w:rsid w:val="00281070"/>
    <w:rsid w:val="00293BED"/>
    <w:rsid w:val="002B4D51"/>
    <w:rsid w:val="002B6A17"/>
    <w:rsid w:val="002D22C4"/>
    <w:rsid w:val="002E0D3F"/>
    <w:rsid w:val="00307245"/>
    <w:rsid w:val="003128B3"/>
    <w:rsid w:val="003403F3"/>
    <w:rsid w:val="00351974"/>
    <w:rsid w:val="0037776B"/>
    <w:rsid w:val="00383BEA"/>
    <w:rsid w:val="003B10E1"/>
    <w:rsid w:val="003B38FF"/>
    <w:rsid w:val="003B5490"/>
    <w:rsid w:val="003C07F9"/>
    <w:rsid w:val="003C5309"/>
    <w:rsid w:val="003E3654"/>
    <w:rsid w:val="004148C3"/>
    <w:rsid w:val="00431FA5"/>
    <w:rsid w:val="00475741"/>
    <w:rsid w:val="00477C74"/>
    <w:rsid w:val="0048565E"/>
    <w:rsid w:val="004915A5"/>
    <w:rsid w:val="004B0F18"/>
    <w:rsid w:val="004D0C20"/>
    <w:rsid w:val="004F7707"/>
    <w:rsid w:val="00535455"/>
    <w:rsid w:val="0057194E"/>
    <w:rsid w:val="005D4972"/>
    <w:rsid w:val="005D5DBD"/>
    <w:rsid w:val="00612A40"/>
    <w:rsid w:val="00622528"/>
    <w:rsid w:val="0062477E"/>
    <w:rsid w:val="00625DC3"/>
    <w:rsid w:val="00664FE2"/>
    <w:rsid w:val="00666CEB"/>
    <w:rsid w:val="00680CBB"/>
    <w:rsid w:val="006C1C74"/>
    <w:rsid w:val="0072125D"/>
    <w:rsid w:val="00725631"/>
    <w:rsid w:val="00731FFA"/>
    <w:rsid w:val="00737519"/>
    <w:rsid w:val="007738DC"/>
    <w:rsid w:val="007769B1"/>
    <w:rsid w:val="007915D4"/>
    <w:rsid w:val="007A3EDF"/>
    <w:rsid w:val="007A5F86"/>
    <w:rsid w:val="007C0DC9"/>
    <w:rsid w:val="007C2346"/>
    <w:rsid w:val="007D5680"/>
    <w:rsid w:val="007F2116"/>
    <w:rsid w:val="00826B46"/>
    <w:rsid w:val="008309A4"/>
    <w:rsid w:val="00890769"/>
    <w:rsid w:val="008A0C18"/>
    <w:rsid w:val="008C0170"/>
    <w:rsid w:val="008C169E"/>
    <w:rsid w:val="008E2357"/>
    <w:rsid w:val="00903190"/>
    <w:rsid w:val="009344D6"/>
    <w:rsid w:val="0094617E"/>
    <w:rsid w:val="009565EF"/>
    <w:rsid w:val="009737F2"/>
    <w:rsid w:val="009A0FB2"/>
    <w:rsid w:val="009B58F1"/>
    <w:rsid w:val="009D22C0"/>
    <w:rsid w:val="00A11992"/>
    <w:rsid w:val="00A47B1D"/>
    <w:rsid w:val="00A54CCF"/>
    <w:rsid w:val="00A70ABB"/>
    <w:rsid w:val="00AA4FCC"/>
    <w:rsid w:val="00AB39B7"/>
    <w:rsid w:val="00AB6820"/>
    <w:rsid w:val="00AC35CD"/>
    <w:rsid w:val="00AD10A8"/>
    <w:rsid w:val="00AE4BBE"/>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B2FAC"/>
    <w:rsid w:val="00CD7181"/>
    <w:rsid w:val="00CD7418"/>
    <w:rsid w:val="00D0716C"/>
    <w:rsid w:val="00D139EF"/>
    <w:rsid w:val="00D73A0A"/>
    <w:rsid w:val="00D774DD"/>
    <w:rsid w:val="00D95E9E"/>
    <w:rsid w:val="00DA0136"/>
    <w:rsid w:val="00E72351"/>
    <w:rsid w:val="00E84C14"/>
    <w:rsid w:val="00ED7E69"/>
    <w:rsid w:val="00F22DB3"/>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60C0B74-CD96-4ADD-BFB2-B61A3D8C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535455"/>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53545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81B1-7DCE-46AD-A9A4-BB89ADA7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1136</Words>
  <Characters>5681</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6804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aam</cp:lastModifiedBy>
  <cp:revision>4</cp:revision>
  <cp:lastPrinted>2019-10-06T11:01:00Z</cp:lastPrinted>
  <dcterms:created xsi:type="dcterms:W3CDTF">2019-10-06T11:30:00Z</dcterms:created>
  <dcterms:modified xsi:type="dcterms:W3CDTF">2019-10-06T18:25:00Z</dcterms:modified>
</cp:coreProperties>
</file>