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C55" w:rsidRDefault="00066C55" w:rsidP="00066C55">
      <w:pPr>
        <w:pStyle w:val="h1"/>
        <w:bidi/>
        <w:jc w:val="both"/>
        <w:rPr>
          <w:rFonts w:ascii="Arial" w:hAnsi="Arial" w:cs="Arial"/>
          <w:b/>
          <w:bCs/>
          <w:color w:val="333333"/>
        </w:rPr>
      </w:pPr>
      <w:r w:rsidRPr="00066C55">
        <w:rPr>
          <w:rFonts w:ascii="Arial" w:hAnsi="Arial" w:cs="Arial"/>
          <w:b/>
          <w:bCs/>
          <w:color w:val="333333"/>
          <w:rtl/>
        </w:rPr>
        <w:t>ט' באב וט"ו באב</w:t>
      </w:r>
    </w:p>
    <w:p w:rsidR="00066C55" w:rsidRPr="00066C55" w:rsidRDefault="00066C55" w:rsidP="00066C55">
      <w:pPr>
        <w:pStyle w:val="h1"/>
        <w:bidi/>
        <w:jc w:val="both"/>
        <w:rPr>
          <w:rFonts w:ascii="Arial" w:hAnsi="Arial" w:cs="Arial" w:hint="cs"/>
          <w:b/>
          <w:bCs/>
          <w:color w:val="333333"/>
          <w:rtl/>
        </w:rPr>
      </w:pPr>
      <w:r>
        <w:rPr>
          <w:rFonts w:ascii="Arial" w:hAnsi="Arial" w:cs="Arial" w:hint="cs"/>
          <w:b/>
          <w:bCs/>
          <w:color w:val="333333"/>
          <w:rtl/>
        </w:rPr>
        <w:t>רב אוהד זמרן</w:t>
      </w:r>
    </w:p>
    <w:p w:rsidR="00066C55" w:rsidRPr="00066C55" w:rsidRDefault="00066C55" w:rsidP="00066C55">
      <w:pPr>
        <w:pStyle w:val="normal0"/>
        <w:bidi/>
        <w:jc w:val="both"/>
        <w:rPr>
          <w:rFonts w:ascii="Arial" w:hAnsi="Arial" w:cs="Arial"/>
          <w:color w:val="333333"/>
        </w:rPr>
      </w:pPr>
      <w:r w:rsidRPr="00066C55">
        <w:rPr>
          <w:rFonts w:ascii="Arial" w:hAnsi="Arial" w:cs="Arial"/>
          <w:color w:val="333333"/>
          <w:rtl/>
        </w:rPr>
        <w:t>באחת מן הקינות לתשעה באב אנו משווים בין היציאה מירושלים לבין היציאה ממצרים. לאורך כל שורותיה, הקינה משווה בין הטוב שהיה לנו ביציאת מצרים לבין הרע שאירע לנו בגלות בבל. לצורך הדגמה נ</w:t>
      </w:r>
      <w:bookmarkStart w:id="0" w:name="_GoBack"/>
      <w:r w:rsidRPr="00066C55">
        <w:rPr>
          <w:rFonts w:ascii="Arial" w:hAnsi="Arial" w:cs="Arial"/>
          <w:color w:val="333333"/>
          <w:rtl/>
        </w:rPr>
        <w:t>ב</w:t>
      </w:r>
      <w:bookmarkEnd w:id="0"/>
      <w:r w:rsidRPr="00066C55">
        <w:rPr>
          <w:rFonts w:ascii="Arial" w:hAnsi="Arial" w:cs="Arial"/>
          <w:color w:val="333333"/>
          <w:rtl/>
        </w:rPr>
        <w:t>יא שתי שורות מן הקינה</w:t>
      </w:r>
      <w:r w:rsidRPr="00066C55">
        <w:rPr>
          <w:rFonts w:ascii="Arial" w:hAnsi="Arial" w:cs="Arial"/>
          <w:color w:val="333333"/>
        </w:rPr>
        <w:t>:</w:t>
      </w:r>
    </w:p>
    <w:p w:rsidR="00066C55" w:rsidRDefault="00066C55" w:rsidP="00066C55">
      <w:pPr>
        <w:pStyle w:val="quote"/>
        <w:bidi/>
        <w:spacing w:before="0" w:beforeAutospacing="0" w:after="0" w:afterAutospacing="0"/>
        <w:ind w:left="720"/>
        <w:jc w:val="both"/>
        <w:rPr>
          <w:rFonts w:ascii="Arial" w:hAnsi="Arial" w:cs="Arial"/>
          <w:color w:val="333333"/>
        </w:rPr>
      </w:pPr>
      <w:r w:rsidRPr="00066C55">
        <w:rPr>
          <w:rFonts w:ascii="Arial" w:hAnsi="Arial" w:cs="Arial"/>
          <w:color w:val="333333"/>
          <w:rtl/>
        </w:rPr>
        <w:t>אז ישיר משה שיר לא ינשה - בצאתי ממצרים</w:t>
      </w:r>
    </w:p>
    <w:p w:rsidR="00066C55" w:rsidRDefault="00066C55" w:rsidP="00066C55">
      <w:pPr>
        <w:pStyle w:val="quote"/>
        <w:bidi/>
        <w:spacing w:before="0" w:beforeAutospacing="0" w:after="0" w:afterAutospacing="0"/>
        <w:ind w:left="720"/>
        <w:jc w:val="both"/>
        <w:rPr>
          <w:rFonts w:ascii="Arial" w:hAnsi="Arial" w:cs="Arial"/>
          <w:color w:val="333333"/>
        </w:rPr>
      </w:pPr>
      <w:r w:rsidRPr="00066C55">
        <w:rPr>
          <w:rFonts w:ascii="Arial" w:hAnsi="Arial" w:cs="Arial"/>
          <w:color w:val="333333"/>
          <w:rtl/>
        </w:rPr>
        <w:t>ויקונן ירמיה ונהה נהי נהיה - בצאתי מירושלים</w:t>
      </w:r>
      <w:r>
        <w:rPr>
          <w:rFonts w:ascii="Arial" w:hAnsi="Arial" w:cs="Arial"/>
          <w:color w:val="333333"/>
        </w:rPr>
        <w:t xml:space="preserve"> </w:t>
      </w:r>
      <w:r w:rsidRPr="00066C55">
        <w:rPr>
          <w:rFonts w:ascii="Arial" w:hAnsi="Arial" w:cs="Arial"/>
          <w:color w:val="333333"/>
          <w:rtl/>
        </w:rPr>
        <w:t>דגן שמים וצור יזוב מים - בצאתי ממצרים</w:t>
      </w:r>
      <w:r w:rsidRPr="00066C55">
        <w:rPr>
          <w:rFonts w:ascii="Arial" w:hAnsi="Arial" w:cs="Arial"/>
          <w:color w:val="333333"/>
        </w:rPr>
        <w:t xml:space="preserve"> </w:t>
      </w:r>
    </w:p>
    <w:p w:rsidR="00066C55" w:rsidRPr="00066C55" w:rsidRDefault="00066C55" w:rsidP="00066C55">
      <w:pPr>
        <w:pStyle w:val="quote"/>
        <w:bidi/>
        <w:spacing w:before="0" w:beforeAutospacing="0" w:after="0" w:afterAutospacing="0"/>
        <w:ind w:left="720"/>
        <w:jc w:val="both"/>
        <w:rPr>
          <w:rFonts w:ascii="Arial" w:hAnsi="Arial" w:cs="Arial"/>
          <w:color w:val="333333"/>
        </w:rPr>
      </w:pPr>
      <w:r w:rsidRPr="00066C55">
        <w:rPr>
          <w:rFonts w:ascii="Arial" w:hAnsi="Arial" w:cs="Arial"/>
          <w:color w:val="333333"/>
          <w:rtl/>
        </w:rPr>
        <w:t>לענה ומרורים ומים המרים - בצאתי מירושלים</w:t>
      </w:r>
      <w:r w:rsidRPr="00066C55">
        <w:rPr>
          <w:rFonts w:ascii="Arial" w:hAnsi="Arial" w:cs="Arial"/>
          <w:color w:val="333333"/>
        </w:rPr>
        <w:t>.</w:t>
      </w:r>
    </w:p>
    <w:p w:rsidR="00066C55" w:rsidRPr="00066C55" w:rsidRDefault="00066C55" w:rsidP="00066C55">
      <w:pPr>
        <w:pStyle w:val="normal0"/>
        <w:bidi/>
        <w:jc w:val="both"/>
        <w:rPr>
          <w:rFonts w:ascii="Arial" w:hAnsi="Arial" w:cs="Arial"/>
          <w:color w:val="333333"/>
        </w:rPr>
      </w:pPr>
      <w:r w:rsidRPr="00066C55">
        <w:rPr>
          <w:rFonts w:ascii="Arial" w:hAnsi="Arial" w:cs="Arial"/>
          <w:color w:val="333333"/>
          <w:rtl/>
        </w:rPr>
        <w:t>ההשוואה בין היציאה ממצרים לבין היציאה מירושלים אינה סתמית, והיא מבוססת על המדרש באיכה זוטא י"ט</w:t>
      </w:r>
      <w:r w:rsidRPr="00066C55">
        <w:rPr>
          <w:rFonts w:ascii="Arial" w:hAnsi="Arial" w:cs="Arial"/>
          <w:color w:val="333333"/>
        </w:rPr>
        <w:t>:</w:t>
      </w:r>
    </w:p>
    <w:p w:rsidR="00066C55" w:rsidRPr="00066C55" w:rsidRDefault="00066C55" w:rsidP="00066C55">
      <w:pPr>
        <w:pStyle w:val="quote"/>
        <w:bidi/>
        <w:ind w:left="720"/>
        <w:jc w:val="both"/>
        <w:rPr>
          <w:rFonts w:ascii="Arial" w:hAnsi="Arial" w:cs="Arial"/>
          <w:color w:val="333333"/>
        </w:rPr>
      </w:pPr>
      <w:proofErr w:type="gramStart"/>
      <w:r w:rsidRPr="00066C55">
        <w:rPr>
          <w:rFonts w:ascii="Arial" w:hAnsi="Arial" w:cs="Arial"/>
          <w:color w:val="333333"/>
        </w:rPr>
        <w:t>"</w:t>
      </w:r>
      <w:r w:rsidRPr="00066C55">
        <w:rPr>
          <w:rFonts w:ascii="Arial" w:hAnsi="Arial" w:cs="Arial"/>
          <w:color w:val="333333"/>
          <w:rtl/>
        </w:rPr>
        <w:t xml:space="preserve">בוא וראה: משה מקלסם ב'מי </w:t>
      </w:r>
      <w:proofErr w:type="spellStart"/>
      <w:r w:rsidRPr="00066C55">
        <w:rPr>
          <w:rFonts w:ascii="Arial" w:hAnsi="Arial" w:cs="Arial"/>
          <w:color w:val="333333"/>
          <w:rtl/>
        </w:rPr>
        <w:t>יתן</w:t>
      </w:r>
      <w:proofErr w:type="spellEnd"/>
      <w:r w:rsidRPr="00066C55">
        <w:rPr>
          <w:rFonts w:ascii="Arial" w:hAnsi="Arial" w:cs="Arial"/>
          <w:color w:val="333333"/>
          <w:rtl/>
        </w:rPr>
        <w:t xml:space="preserve">', שנאמר: 'מי </w:t>
      </w:r>
      <w:proofErr w:type="spellStart"/>
      <w:r w:rsidRPr="00066C55">
        <w:rPr>
          <w:rFonts w:ascii="Arial" w:hAnsi="Arial" w:cs="Arial"/>
          <w:color w:val="333333"/>
          <w:rtl/>
        </w:rPr>
        <w:t>יתן</w:t>
      </w:r>
      <w:proofErr w:type="spellEnd"/>
      <w:r w:rsidRPr="00066C55">
        <w:rPr>
          <w:rFonts w:ascii="Arial" w:hAnsi="Arial" w:cs="Arial"/>
          <w:color w:val="333333"/>
          <w:rtl/>
        </w:rPr>
        <w:t xml:space="preserve"> והיה לבבם זה להם', וירמיה אמר 'מי </w:t>
      </w:r>
      <w:proofErr w:type="spellStart"/>
      <w:r w:rsidRPr="00066C55">
        <w:rPr>
          <w:rFonts w:ascii="Arial" w:hAnsi="Arial" w:cs="Arial"/>
          <w:color w:val="333333"/>
          <w:rtl/>
        </w:rPr>
        <w:t>יתן</w:t>
      </w:r>
      <w:proofErr w:type="spellEnd"/>
      <w:r w:rsidRPr="00066C55">
        <w:rPr>
          <w:rFonts w:ascii="Arial" w:hAnsi="Arial" w:cs="Arial"/>
          <w:color w:val="333333"/>
          <w:rtl/>
        </w:rPr>
        <w:t xml:space="preserve"> ראשי מים', והוא שאמר דניאל 'והוא </w:t>
      </w:r>
      <w:proofErr w:type="spellStart"/>
      <w:r w:rsidRPr="00066C55">
        <w:rPr>
          <w:rFonts w:ascii="Arial" w:hAnsi="Arial" w:cs="Arial"/>
          <w:color w:val="333333"/>
          <w:rtl/>
        </w:rPr>
        <w:t>מהשנא</w:t>
      </w:r>
      <w:proofErr w:type="spellEnd"/>
      <w:r w:rsidRPr="00066C55">
        <w:rPr>
          <w:rFonts w:ascii="Arial" w:hAnsi="Arial" w:cs="Arial"/>
          <w:color w:val="333333"/>
          <w:rtl/>
        </w:rPr>
        <w:t xml:space="preserve"> </w:t>
      </w:r>
      <w:proofErr w:type="spellStart"/>
      <w:r w:rsidRPr="00066C55">
        <w:rPr>
          <w:rFonts w:ascii="Arial" w:hAnsi="Arial" w:cs="Arial"/>
          <w:color w:val="333333"/>
          <w:rtl/>
        </w:rPr>
        <w:t>עדניא</w:t>
      </w:r>
      <w:proofErr w:type="spellEnd"/>
      <w:r w:rsidRPr="00066C55">
        <w:rPr>
          <w:rFonts w:ascii="Arial" w:hAnsi="Arial" w:cs="Arial"/>
          <w:color w:val="333333"/>
          <w:rtl/>
        </w:rPr>
        <w:t xml:space="preserve"> </w:t>
      </w:r>
      <w:proofErr w:type="spellStart"/>
      <w:r w:rsidRPr="00066C55">
        <w:rPr>
          <w:rFonts w:ascii="Arial" w:hAnsi="Arial" w:cs="Arial"/>
          <w:color w:val="333333"/>
          <w:rtl/>
        </w:rPr>
        <w:t>וזמניא</w:t>
      </w:r>
      <w:proofErr w:type="spellEnd"/>
      <w:r w:rsidRPr="00066C55">
        <w:rPr>
          <w:rFonts w:ascii="Arial" w:hAnsi="Arial" w:cs="Arial"/>
          <w:color w:val="333333"/>
          <w:rtl/>
        </w:rPr>
        <w:t>'.</w:t>
      </w:r>
      <w:proofErr w:type="gramEnd"/>
      <w:r w:rsidRPr="00066C55">
        <w:rPr>
          <w:rFonts w:ascii="Arial" w:hAnsi="Arial" w:cs="Arial"/>
          <w:color w:val="333333"/>
          <w:rtl/>
        </w:rPr>
        <w:t xml:space="preserve"> וכשיצאו ממצרים אמר משה: '</w:t>
      </w:r>
      <w:proofErr w:type="spellStart"/>
      <w:r w:rsidRPr="00066C55">
        <w:rPr>
          <w:rFonts w:ascii="Arial" w:hAnsi="Arial" w:cs="Arial"/>
          <w:color w:val="333333"/>
          <w:rtl/>
        </w:rPr>
        <w:t>ויושע</w:t>
      </w:r>
      <w:proofErr w:type="spellEnd"/>
      <w:r w:rsidRPr="00066C55">
        <w:rPr>
          <w:rFonts w:ascii="Arial" w:hAnsi="Arial" w:cs="Arial"/>
          <w:color w:val="333333"/>
          <w:rtl/>
        </w:rPr>
        <w:t xml:space="preserve"> ה' ביום ההוא את ישראל', וכשיצאו ישראל מירושלים אמר ירמיה '</w:t>
      </w:r>
      <w:proofErr w:type="spellStart"/>
      <w:r w:rsidRPr="00066C55">
        <w:rPr>
          <w:rFonts w:ascii="Arial" w:hAnsi="Arial" w:cs="Arial"/>
          <w:color w:val="333333"/>
          <w:rtl/>
        </w:rPr>
        <w:t>נתנני</w:t>
      </w:r>
      <w:proofErr w:type="spellEnd"/>
      <w:r w:rsidRPr="00066C55">
        <w:rPr>
          <w:rFonts w:ascii="Arial" w:hAnsi="Arial" w:cs="Arial"/>
          <w:color w:val="333333"/>
          <w:rtl/>
        </w:rPr>
        <w:t xml:space="preserve"> ה' בידי לא אוכל קום</w:t>
      </w:r>
      <w:r w:rsidRPr="00066C55">
        <w:rPr>
          <w:rFonts w:ascii="Arial" w:hAnsi="Arial" w:cs="Arial"/>
          <w:color w:val="333333"/>
        </w:rPr>
        <w:t>'"...</w:t>
      </w:r>
    </w:p>
    <w:p w:rsidR="00066C55" w:rsidRPr="00066C55" w:rsidRDefault="00066C55" w:rsidP="00066C55">
      <w:pPr>
        <w:pStyle w:val="normal0"/>
        <w:bidi/>
        <w:jc w:val="both"/>
        <w:rPr>
          <w:rFonts w:ascii="Arial" w:hAnsi="Arial" w:cs="Arial"/>
          <w:color w:val="333333"/>
        </w:rPr>
      </w:pPr>
      <w:r w:rsidRPr="00066C55">
        <w:rPr>
          <w:rFonts w:ascii="Arial" w:hAnsi="Arial" w:cs="Arial"/>
          <w:color w:val="333333"/>
          <w:rtl/>
        </w:rPr>
        <w:t xml:space="preserve">למעשה, ההשוואה בין היציאה ממצרים לבין היציאה מירושלים קשורה גם למדרש אחר, הקובע שחורבן בית המקדש היה במידה </w:t>
      </w:r>
      <w:proofErr w:type="spellStart"/>
      <w:r w:rsidRPr="00066C55">
        <w:rPr>
          <w:rFonts w:ascii="Arial" w:hAnsi="Arial" w:cs="Arial"/>
          <w:color w:val="333333"/>
          <w:rtl/>
        </w:rPr>
        <w:t>מסויימת</w:t>
      </w:r>
      <w:proofErr w:type="spellEnd"/>
      <w:r w:rsidRPr="00066C55">
        <w:rPr>
          <w:rFonts w:ascii="Arial" w:hAnsi="Arial" w:cs="Arial"/>
          <w:color w:val="333333"/>
          <w:rtl/>
        </w:rPr>
        <w:t xml:space="preserve"> עונש על חטא המרגלים</w:t>
      </w:r>
      <w:r w:rsidRPr="00066C55">
        <w:rPr>
          <w:rFonts w:ascii="Arial" w:hAnsi="Arial" w:cs="Arial"/>
          <w:color w:val="333333"/>
        </w:rPr>
        <w:t>:</w:t>
      </w:r>
    </w:p>
    <w:p w:rsidR="00066C55" w:rsidRPr="00066C55" w:rsidRDefault="00066C55" w:rsidP="00066C55">
      <w:pPr>
        <w:pStyle w:val="quote"/>
        <w:bidi/>
        <w:ind w:left="720"/>
        <w:jc w:val="both"/>
        <w:rPr>
          <w:rFonts w:ascii="Arial" w:hAnsi="Arial" w:cs="Arial"/>
          <w:color w:val="333333"/>
        </w:rPr>
      </w:pPr>
      <w:r w:rsidRPr="00066C55">
        <w:rPr>
          <w:rFonts w:ascii="Arial" w:hAnsi="Arial" w:cs="Arial"/>
          <w:color w:val="333333"/>
        </w:rPr>
        <w:t>"</w:t>
      </w:r>
      <w:r w:rsidRPr="00066C55">
        <w:rPr>
          <w:rFonts w:ascii="Arial" w:hAnsi="Arial" w:cs="Arial"/>
          <w:color w:val="333333"/>
          <w:rtl/>
        </w:rPr>
        <w:t xml:space="preserve">שבכו בליל ט' באב, ואמר להם הקב"ה: אתם בכיתם בכיה של חנם לפני - אני אקבע לכם בכיה לדורות. ומן אותה שעה נגזרה על </w:t>
      </w:r>
      <w:proofErr w:type="spellStart"/>
      <w:r w:rsidRPr="00066C55">
        <w:rPr>
          <w:rFonts w:ascii="Arial" w:hAnsi="Arial" w:cs="Arial"/>
          <w:color w:val="333333"/>
          <w:rtl/>
        </w:rPr>
        <w:t>ביהמ"ק</w:t>
      </w:r>
      <w:proofErr w:type="spellEnd"/>
      <w:r w:rsidRPr="00066C55">
        <w:rPr>
          <w:rFonts w:ascii="Arial" w:hAnsi="Arial" w:cs="Arial"/>
          <w:color w:val="333333"/>
          <w:rtl/>
        </w:rPr>
        <w:t xml:space="preserve"> </w:t>
      </w:r>
      <w:proofErr w:type="spellStart"/>
      <w:r w:rsidRPr="00066C55">
        <w:rPr>
          <w:rFonts w:ascii="Arial" w:hAnsi="Arial" w:cs="Arial"/>
          <w:color w:val="333333"/>
          <w:rtl/>
        </w:rPr>
        <w:t>שתתחרב</w:t>
      </w:r>
      <w:proofErr w:type="spellEnd"/>
      <w:r w:rsidRPr="00066C55">
        <w:rPr>
          <w:rFonts w:ascii="Arial" w:hAnsi="Arial" w:cs="Arial"/>
          <w:color w:val="333333"/>
          <w:rtl/>
        </w:rPr>
        <w:t xml:space="preserve"> כדי שיגלו ישראל לבין האומות</w:t>
      </w:r>
      <w:r w:rsidRPr="00066C55">
        <w:rPr>
          <w:rFonts w:ascii="Arial" w:hAnsi="Arial" w:cs="Arial"/>
          <w:color w:val="333333"/>
        </w:rPr>
        <w:t>...".</w:t>
      </w:r>
    </w:p>
    <w:p w:rsidR="00066C55" w:rsidRPr="00066C55" w:rsidRDefault="00066C55" w:rsidP="00066C55">
      <w:pPr>
        <w:pStyle w:val="normal0"/>
        <w:bidi/>
        <w:jc w:val="both"/>
        <w:rPr>
          <w:rFonts w:ascii="Arial" w:hAnsi="Arial" w:cs="Arial"/>
          <w:color w:val="333333"/>
        </w:rPr>
      </w:pPr>
      <w:r w:rsidRPr="00066C55">
        <w:rPr>
          <w:rFonts w:ascii="Arial" w:hAnsi="Arial" w:cs="Arial"/>
          <w:color w:val="333333"/>
          <w:rtl/>
        </w:rPr>
        <w:t>הרי שביציאת מצרים כבר קבעו ישראל את עתידם - את היציאה מירושלים</w:t>
      </w:r>
      <w:r w:rsidRPr="00066C55">
        <w:rPr>
          <w:rFonts w:ascii="Arial" w:hAnsi="Arial" w:cs="Arial"/>
          <w:color w:val="333333"/>
        </w:rPr>
        <w:t>.</w:t>
      </w:r>
    </w:p>
    <w:p w:rsidR="00066C55" w:rsidRPr="00066C55" w:rsidRDefault="00066C55" w:rsidP="00066C55">
      <w:pPr>
        <w:pStyle w:val="normal0"/>
        <w:bidi/>
        <w:jc w:val="both"/>
        <w:rPr>
          <w:rFonts w:ascii="Arial" w:hAnsi="Arial" w:cs="Arial"/>
          <w:color w:val="333333"/>
        </w:rPr>
      </w:pPr>
      <w:r w:rsidRPr="00066C55">
        <w:rPr>
          <w:rFonts w:ascii="Arial" w:hAnsi="Arial" w:cs="Arial"/>
          <w:color w:val="333333"/>
          <w:rtl/>
        </w:rPr>
        <w:t>ממו"ר הרב נריה זצ"ל שמעתי שאלמלא חטאו ישראל והאמינו לדברי המרגלים, הרי שתשעה באב היה הופך ליום בשורת הארץ ולחג גדול לישראל; חג אמונה גדול על הבטחת הקב"ה לעם ישראל את ארץ זבת חלב ודבש. בפני דור המדבר עמדו שתי אפשרויות: לחגוג את יום ט' באב כחג גדול מעין חג עצמאות ('הצהרת האומות'), היום שבו התבשרו מהו ייעודם ולאן פניהם מועדות, או לבכות בחוסר אמונה ולהפוך יום זה ליום של בכייה לדורות</w:t>
      </w:r>
      <w:r w:rsidRPr="00066C55">
        <w:rPr>
          <w:rFonts w:ascii="Arial" w:hAnsi="Arial" w:cs="Arial"/>
          <w:color w:val="333333"/>
        </w:rPr>
        <w:t>.</w:t>
      </w:r>
    </w:p>
    <w:p w:rsidR="00066C55" w:rsidRPr="00066C55" w:rsidRDefault="00066C55" w:rsidP="00066C55">
      <w:pPr>
        <w:pStyle w:val="normal0"/>
        <w:bidi/>
        <w:jc w:val="both"/>
        <w:rPr>
          <w:rFonts w:ascii="Arial" w:hAnsi="Arial" w:cs="Arial"/>
          <w:color w:val="333333"/>
        </w:rPr>
      </w:pPr>
      <w:r w:rsidRPr="00066C55">
        <w:rPr>
          <w:rFonts w:ascii="Arial" w:hAnsi="Arial" w:cs="Arial"/>
          <w:color w:val="333333"/>
          <w:rtl/>
        </w:rPr>
        <w:t xml:space="preserve">לאחר שחטאו ישראל, היום שבו הקב"ה ציווה על משה "קומו סעו ועברו... היום הזה אחל תת פחדך ויראתך על פני העמים" - יום זה הוא יום ההכרזה האלוקית על כיבוש הארץ. היה זה ביום ט"ו באב (בבא </w:t>
      </w:r>
      <w:proofErr w:type="spellStart"/>
      <w:r w:rsidRPr="00066C55">
        <w:rPr>
          <w:rFonts w:ascii="Arial" w:hAnsi="Arial" w:cs="Arial"/>
          <w:color w:val="333333"/>
          <w:rtl/>
        </w:rPr>
        <w:t>בתרא</w:t>
      </w:r>
      <w:proofErr w:type="spellEnd"/>
      <w:r w:rsidRPr="00066C55">
        <w:rPr>
          <w:rFonts w:ascii="Arial" w:hAnsi="Arial" w:cs="Arial"/>
          <w:color w:val="333333"/>
          <w:rtl/>
        </w:rPr>
        <w:t xml:space="preserve"> </w:t>
      </w:r>
      <w:proofErr w:type="spellStart"/>
      <w:r w:rsidRPr="00066C55">
        <w:rPr>
          <w:rFonts w:ascii="Arial" w:hAnsi="Arial" w:cs="Arial"/>
          <w:color w:val="333333"/>
          <w:rtl/>
        </w:rPr>
        <w:t>קכא</w:t>
      </w:r>
      <w:proofErr w:type="spellEnd"/>
      <w:r w:rsidRPr="00066C55">
        <w:rPr>
          <w:rFonts w:ascii="Arial" w:hAnsi="Arial" w:cs="Arial"/>
          <w:color w:val="333333"/>
          <w:rtl/>
        </w:rPr>
        <w:t xml:space="preserve"> ע"א), ולכן בט"ו באב נחוג החג שהיה אמור להיות ביום ט' באב. ט"ו באב הוא יום התיקון, ולכן חז"ל השוו אותו ליום הכיפורים: כשם שיום הכיפורים הוא יום של סליחה, נתינת הלוחות השניים וכפרה על העגל, כך ט"ו באב הוא יום של כפרה ותיקון על חטא המרגלים. וכשם שבט' באב נאמר "בכייה לדורות", כך בט"ו באב נאמר שלעולם לא יתבטל</w:t>
      </w:r>
      <w:r w:rsidRPr="00066C55">
        <w:rPr>
          <w:rFonts w:ascii="Arial" w:hAnsi="Arial" w:cs="Arial"/>
          <w:color w:val="333333"/>
        </w:rPr>
        <w:t>.</w:t>
      </w:r>
    </w:p>
    <w:p w:rsidR="00A23593" w:rsidRPr="00066C55" w:rsidRDefault="00A23593" w:rsidP="00066C55">
      <w:pPr>
        <w:bidi/>
        <w:jc w:val="both"/>
        <w:rPr>
          <w:sz w:val="24"/>
          <w:szCs w:val="24"/>
        </w:rPr>
      </w:pPr>
    </w:p>
    <w:sectPr w:rsidR="00A23593" w:rsidRPr="00066C5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C55"/>
    <w:rsid w:val="00066C55"/>
    <w:rsid w:val="00A235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066C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066C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e">
    <w:name w:val="quote"/>
    <w:basedOn w:val="Normal"/>
    <w:rsid w:val="00066C5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066C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066C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e">
    <w:name w:val="quote"/>
    <w:basedOn w:val="Normal"/>
    <w:rsid w:val="00066C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96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1</cp:revision>
  <dcterms:created xsi:type="dcterms:W3CDTF">2017-07-25T09:34:00Z</dcterms:created>
  <dcterms:modified xsi:type="dcterms:W3CDTF">2017-07-25T09:39:00Z</dcterms:modified>
</cp:coreProperties>
</file>