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74614" w14:textId="54894153" w:rsidR="00A946EB" w:rsidRPr="00A946EB" w:rsidRDefault="00A946EB" w:rsidP="00912CE8">
      <w:pPr>
        <w:pStyle w:val="Heading1"/>
        <w:contextualSpacing/>
        <w:jc w:val="both"/>
        <w:rPr>
          <w:sz w:val="4"/>
          <w:szCs w:val="24"/>
          <w:rtl/>
        </w:rPr>
      </w:pPr>
      <w:bookmarkStart w:id="0" w:name="_GoBack"/>
      <w:bookmarkEnd w:id="0"/>
      <w:r>
        <w:rPr>
          <w:rFonts w:hint="cs"/>
          <w:sz w:val="4"/>
          <w:szCs w:val="24"/>
          <w:rtl/>
        </w:rPr>
        <w:t xml:space="preserve">הרב </w:t>
      </w:r>
      <w:r w:rsidR="00912CE8">
        <w:rPr>
          <w:rFonts w:hint="cs"/>
          <w:sz w:val="4"/>
          <w:szCs w:val="24"/>
          <w:rtl/>
        </w:rPr>
        <w:t>אביעד ברטוב</w:t>
      </w:r>
    </w:p>
    <w:p w14:paraId="5D536C5A" w14:textId="6AEE2163" w:rsidR="00285CB1" w:rsidRDefault="00912CE8" w:rsidP="00DA0BD0">
      <w:pPr>
        <w:pStyle w:val="Heading1"/>
        <w:contextualSpacing/>
        <w:rPr>
          <w:rtl/>
        </w:rPr>
      </w:pPr>
      <w:r>
        <w:rPr>
          <w:rFonts w:hint="cs"/>
          <w:rtl/>
        </w:rPr>
        <w:t>שליחות בקידושין ובנישואין</w:t>
      </w:r>
      <w:r w:rsidR="00EA10E7">
        <w:rPr>
          <w:rStyle w:val="FootnoteReference"/>
          <w:rtl/>
        </w:rPr>
        <w:footnoteReference w:id="1"/>
      </w:r>
    </w:p>
    <w:p w14:paraId="647094EE" w14:textId="52A90F98" w:rsidR="00285CB1" w:rsidRPr="008C644E" w:rsidRDefault="00285CB1" w:rsidP="00DA0BD0">
      <w:pPr>
        <w:pStyle w:val="ListParagraph"/>
        <w:ind w:left="0"/>
        <w:jc w:val="both"/>
        <w:rPr>
          <w:rFonts w:cs="Narkisim"/>
          <w:rtl/>
        </w:rPr>
      </w:pPr>
      <w:r w:rsidRPr="008C644E">
        <w:rPr>
          <w:rFonts w:cs="Narkisim" w:hint="cs"/>
          <w:rtl/>
        </w:rPr>
        <w:t xml:space="preserve">בעולמנו פעולות רבות </w:t>
      </w:r>
      <w:r w:rsidR="00912CE8" w:rsidRPr="008C644E">
        <w:rPr>
          <w:rFonts w:cs="Narkisim" w:hint="cs"/>
          <w:rtl/>
        </w:rPr>
        <w:t>ה</w:t>
      </w:r>
      <w:r w:rsidRPr="008C644E">
        <w:rPr>
          <w:rFonts w:cs="Narkisim" w:hint="cs"/>
          <w:rtl/>
        </w:rPr>
        <w:t>מתבצעות באמצעות שליחים. לעיתים פעולת השליחות היא עניין טכני</w:t>
      </w:r>
      <w:r w:rsidR="00912CE8" w:rsidRPr="008C644E">
        <w:rPr>
          <w:rFonts w:cs="Narkisim" w:hint="cs"/>
          <w:rtl/>
        </w:rPr>
        <w:t xml:space="preserve">, כמו במקרה שבו שליח הפיצה או הדואר מביאים </w:t>
      </w:r>
      <w:r w:rsidRPr="008C644E">
        <w:rPr>
          <w:rFonts w:cs="Narkisim" w:hint="cs"/>
          <w:rtl/>
        </w:rPr>
        <w:t>את המוצר לבית הלקוח</w:t>
      </w:r>
      <w:r w:rsidR="00912CE8" w:rsidRPr="008C644E">
        <w:rPr>
          <w:rFonts w:cs="Narkisim" w:hint="cs"/>
          <w:rtl/>
        </w:rPr>
        <w:t>;</w:t>
      </w:r>
      <w:r w:rsidRPr="008C644E">
        <w:rPr>
          <w:rFonts w:cs="Narkisim" w:hint="cs"/>
          <w:rtl/>
        </w:rPr>
        <w:t xml:space="preserve"> במקום שמזמין המוצר הקונה יבוא לבית העסק הוא נעזר בשליח שיביא את הסחורה</w:t>
      </w:r>
      <w:r w:rsidR="00912CE8" w:rsidRPr="008C644E">
        <w:rPr>
          <w:rFonts w:cs="Narkisim" w:hint="cs"/>
          <w:rtl/>
        </w:rPr>
        <w:t xml:space="preserve"> אליו.</w:t>
      </w:r>
      <w:r w:rsidRPr="008C644E">
        <w:rPr>
          <w:rFonts w:cs="Narkisim" w:hint="cs"/>
          <w:rtl/>
        </w:rPr>
        <w:t xml:space="preserve"> </w:t>
      </w:r>
      <w:r w:rsidR="00912CE8" w:rsidRPr="008C644E">
        <w:rPr>
          <w:rFonts w:cs="Narkisim" w:hint="cs"/>
          <w:rtl/>
        </w:rPr>
        <w:t xml:space="preserve">במקרים אחרים, עשויה </w:t>
      </w:r>
      <w:r w:rsidRPr="008C644E">
        <w:rPr>
          <w:rFonts w:cs="Narkisim" w:hint="cs"/>
          <w:rtl/>
        </w:rPr>
        <w:t xml:space="preserve">פעולת השליחות </w:t>
      </w:r>
      <w:r w:rsidR="00912CE8" w:rsidRPr="008C644E">
        <w:rPr>
          <w:rFonts w:cs="Narkisim" w:hint="cs"/>
          <w:rtl/>
        </w:rPr>
        <w:t>להיות</w:t>
      </w:r>
      <w:r w:rsidRPr="008C644E">
        <w:rPr>
          <w:rFonts w:cs="Narkisim" w:hint="cs"/>
          <w:rtl/>
        </w:rPr>
        <w:t xml:space="preserve"> פעולה מהותית </w:t>
      </w:r>
      <w:r w:rsidR="00912CE8" w:rsidRPr="008C644E">
        <w:rPr>
          <w:rFonts w:cs="Narkisim" w:hint="cs"/>
          <w:rtl/>
        </w:rPr>
        <w:t>יותר, כמו '</w:t>
      </w:r>
      <w:r w:rsidRPr="008C644E">
        <w:rPr>
          <w:rFonts w:cs="Narkisim" w:hint="cs"/>
          <w:rtl/>
        </w:rPr>
        <w:t>שליח ציבור</w:t>
      </w:r>
      <w:r w:rsidR="00912CE8" w:rsidRPr="008C644E">
        <w:rPr>
          <w:rFonts w:cs="Narkisim" w:hint="cs"/>
          <w:rtl/>
        </w:rPr>
        <w:t>' המשמש כמורה ל</w:t>
      </w:r>
      <w:r w:rsidRPr="008C644E">
        <w:rPr>
          <w:rFonts w:cs="Narkisim" w:hint="cs"/>
          <w:rtl/>
        </w:rPr>
        <w:t>ילדנו</w:t>
      </w:r>
      <w:r w:rsidR="00912CE8" w:rsidRPr="008C644E">
        <w:rPr>
          <w:rFonts w:cs="Narkisim" w:hint="cs"/>
          <w:rtl/>
        </w:rPr>
        <w:t>,</w:t>
      </w:r>
      <w:r w:rsidRPr="008C644E">
        <w:rPr>
          <w:rFonts w:cs="Narkisim" w:hint="cs"/>
          <w:rtl/>
        </w:rPr>
        <w:t xml:space="preserve"> או </w:t>
      </w:r>
      <w:r w:rsidR="00912CE8" w:rsidRPr="008C644E">
        <w:rPr>
          <w:rFonts w:cs="Narkisim" w:hint="cs"/>
          <w:rtl/>
        </w:rPr>
        <w:t>'</w:t>
      </w:r>
      <w:r w:rsidRPr="008C644E">
        <w:rPr>
          <w:rFonts w:cs="Narkisim" w:hint="cs"/>
          <w:rtl/>
        </w:rPr>
        <w:t>שליח ציבור</w:t>
      </w:r>
      <w:r w:rsidR="00912CE8" w:rsidRPr="008C644E">
        <w:rPr>
          <w:rFonts w:cs="Narkisim" w:hint="cs"/>
          <w:rtl/>
        </w:rPr>
        <w:t>' המתפקד כ</w:t>
      </w:r>
      <w:r w:rsidRPr="008C644E">
        <w:rPr>
          <w:rFonts w:cs="Narkisim" w:hint="cs"/>
          <w:rtl/>
        </w:rPr>
        <w:t>פוליטיקאי</w:t>
      </w:r>
      <w:r w:rsidR="00912CE8" w:rsidRPr="008C644E">
        <w:rPr>
          <w:rFonts w:cs="Narkisim" w:hint="cs"/>
          <w:rtl/>
        </w:rPr>
        <w:t xml:space="preserve"> ו</w:t>
      </w:r>
      <w:r w:rsidRPr="008C644E">
        <w:rPr>
          <w:rFonts w:cs="Narkisim" w:hint="cs"/>
          <w:rtl/>
        </w:rPr>
        <w:t>מייצג את המפלגה בה בחרנו. שליחים אלו אינם מבצעים פעולה טכנית של הזזת דבר ממקום למקום אלא במידה לא מעטה אנו מוסרים לידם יכולות השפעה על חיינו.</w:t>
      </w:r>
    </w:p>
    <w:p w14:paraId="4E0E5F4D" w14:textId="77777777" w:rsidR="00285CB1" w:rsidRPr="008C644E" w:rsidRDefault="00285CB1" w:rsidP="00912CE8">
      <w:pPr>
        <w:pStyle w:val="ListParagraph"/>
        <w:ind w:left="0"/>
        <w:jc w:val="both"/>
        <w:rPr>
          <w:rFonts w:cs="Narkisim"/>
          <w:rtl/>
        </w:rPr>
      </w:pPr>
    </w:p>
    <w:p w14:paraId="186AFBF2" w14:textId="59B51823" w:rsidR="00285CB1" w:rsidRPr="008C644E" w:rsidRDefault="00285CB1" w:rsidP="00912CE8">
      <w:pPr>
        <w:pStyle w:val="ListParagraph"/>
        <w:ind w:left="0"/>
        <w:jc w:val="both"/>
        <w:rPr>
          <w:rFonts w:cs="Narkisim"/>
          <w:rtl/>
        </w:rPr>
      </w:pPr>
      <w:r w:rsidRPr="008C644E">
        <w:rPr>
          <w:rFonts w:cs="Narkisim" w:hint="cs"/>
          <w:rtl/>
        </w:rPr>
        <w:t>כאשר אנו עוסקים בשליחות לביצוע פעולות הלכתיות עלינו לשאול מה טיבה של שליחות</w:t>
      </w:r>
      <w:r w:rsidR="00912CE8" w:rsidRPr="008C644E">
        <w:rPr>
          <w:rFonts w:cs="Narkisim" w:hint="cs"/>
          <w:rtl/>
        </w:rPr>
        <w:t xml:space="preserve"> זו.</w:t>
      </w:r>
      <w:r w:rsidRPr="008C644E">
        <w:rPr>
          <w:rFonts w:cs="Narkisim" w:hint="cs"/>
          <w:rtl/>
        </w:rPr>
        <w:t xml:space="preserve"> באיזו מידה פעולת השליחות היא פעולה טכנית או פעולה מהותית. סוגיית הפתיחה של </w:t>
      </w:r>
      <w:r w:rsidR="00912CE8" w:rsidRPr="008C644E">
        <w:rPr>
          <w:rFonts w:cs="Narkisim" w:hint="cs"/>
          <w:rtl/>
        </w:rPr>
        <w:t>ה</w:t>
      </w:r>
      <w:r w:rsidRPr="008C644E">
        <w:rPr>
          <w:rFonts w:cs="Narkisim" w:hint="cs"/>
          <w:rtl/>
        </w:rPr>
        <w:t xml:space="preserve">פרק </w:t>
      </w:r>
      <w:r w:rsidR="00912CE8" w:rsidRPr="008C644E">
        <w:rPr>
          <w:rFonts w:cs="Narkisim" w:hint="cs"/>
          <w:rtl/>
        </w:rPr>
        <w:t>ה</w:t>
      </w:r>
      <w:r w:rsidRPr="008C644E">
        <w:rPr>
          <w:rFonts w:cs="Narkisim" w:hint="cs"/>
          <w:rtl/>
        </w:rPr>
        <w:t>שני</w:t>
      </w:r>
      <w:r w:rsidR="00912CE8" w:rsidRPr="008C644E">
        <w:rPr>
          <w:rFonts w:cs="Narkisim" w:hint="cs"/>
          <w:rtl/>
        </w:rPr>
        <w:t xml:space="preserve"> של מסכתנו</w:t>
      </w:r>
      <w:r w:rsidRPr="008C644E">
        <w:rPr>
          <w:rFonts w:cs="Narkisim" w:hint="cs"/>
          <w:rtl/>
        </w:rPr>
        <w:t xml:space="preserve"> עוסקת בשאלה זו ובהגדרת דין 'שלוחו של אדם כמותו'. בשיעור זה נתמקד בעיקר בעניין שליחות לעניין קידושין וגיטין ונבחן את הדרשה אשר באמצעותה דרשו חכמים את קיומו של מוסד השליחות </w:t>
      </w:r>
      <w:proofErr w:type="spellStart"/>
      <w:r w:rsidRPr="008C644E">
        <w:rPr>
          <w:rFonts w:cs="Narkisim" w:hint="cs"/>
          <w:rtl/>
        </w:rPr>
        <w:t>בגיטין</w:t>
      </w:r>
      <w:proofErr w:type="spellEnd"/>
      <w:r w:rsidRPr="008C644E">
        <w:rPr>
          <w:rFonts w:cs="Narkisim" w:hint="cs"/>
          <w:rtl/>
        </w:rPr>
        <w:t xml:space="preserve"> וקידושין, את האופנים השונים בהם יכולה להיעשות השליחות במקרים אלו, </w:t>
      </w:r>
      <w:r w:rsidR="00912CE8" w:rsidRPr="008C644E">
        <w:rPr>
          <w:rFonts w:cs="Narkisim" w:hint="cs"/>
          <w:rtl/>
        </w:rPr>
        <w:t>ו</w:t>
      </w:r>
      <w:r w:rsidRPr="008C644E">
        <w:rPr>
          <w:rFonts w:cs="Narkisim" w:hint="cs"/>
          <w:rtl/>
        </w:rPr>
        <w:t>מהם הסיטואציות הלכתיות בהם נעשה שימוש בשליח לעניין גיטין וקידושין בזמן הזה</w:t>
      </w:r>
      <w:r w:rsidR="00912CE8" w:rsidRPr="008C644E">
        <w:rPr>
          <w:rFonts w:cs="Narkisim" w:hint="cs"/>
          <w:rtl/>
        </w:rPr>
        <w:t xml:space="preserve">. באופן ספציפי נתמקד בדיון ההלכתי לגבי </w:t>
      </w:r>
      <w:r w:rsidRPr="008C644E">
        <w:rPr>
          <w:rFonts w:cs="Narkisim" w:hint="cs"/>
          <w:rtl/>
        </w:rPr>
        <w:t>אנשים המרצים תקופת מעצר.</w:t>
      </w:r>
    </w:p>
    <w:p w14:paraId="5B5026C3" w14:textId="77777777" w:rsidR="00285CB1" w:rsidRPr="008C644E" w:rsidRDefault="00285CB1" w:rsidP="00912CE8">
      <w:pPr>
        <w:pStyle w:val="ListParagraph"/>
        <w:ind w:left="0"/>
        <w:jc w:val="both"/>
        <w:rPr>
          <w:rFonts w:cs="Narkisim"/>
          <w:rtl/>
        </w:rPr>
      </w:pPr>
    </w:p>
    <w:p w14:paraId="2CEBFB5B" w14:textId="77777777" w:rsidR="00285CB1" w:rsidRPr="008C644E" w:rsidRDefault="00285CB1" w:rsidP="00912CE8">
      <w:pPr>
        <w:pStyle w:val="ListParagraph"/>
        <w:ind w:left="0"/>
        <w:jc w:val="both"/>
        <w:rPr>
          <w:rFonts w:cs="Narkisim"/>
          <w:b/>
          <w:bCs/>
          <w:rtl/>
        </w:rPr>
      </w:pPr>
      <w:r w:rsidRPr="008C644E">
        <w:rPr>
          <w:rFonts w:cs="Narkisim" w:hint="cs"/>
          <w:b/>
          <w:bCs/>
          <w:rtl/>
        </w:rPr>
        <w:t>הדרשה</w:t>
      </w:r>
    </w:p>
    <w:p w14:paraId="741696D7" w14:textId="7498015B" w:rsidR="00285CB1" w:rsidRPr="008C644E" w:rsidRDefault="00285CB1" w:rsidP="00912CE8">
      <w:pPr>
        <w:pStyle w:val="ListParagraph"/>
        <w:ind w:left="0"/>
        <w:jc w:val="both"/>
        <w:rPr>
          <w:rFonts w:cs="Narkisim"/>
          <w:rtl/>
        </w:rPr>
      </w:pPr>
      <w:r w:rsidRPr="008C644E">
        <w:rPr>
          <w:rFonts w:cs="Narkisim" w:hint="cs"/>
          <w:rtl/>
        </w:rPr>
        <w:t xml:space="preserve">הסוגיה בדף </w:t>
      </w:r>
      <w:proofErr w:type="spellStart"/>
      <w:r w:rsidRPr="008C644E">
        <w:rPr>
          <w:rFonts w:cs="Narkisim" w:hint="cs"/>
          <w:rtl/>
        </w:rPr>
        <w:t>מא</w:t>
      </w:r>
      <w:proofErr w:type="spellEnd"/>
      <w:r w:rsidRPr="008C644E">
        <w:rPr>
          <w:rFonts w:cs="Narkisim" w:hint="cs"/>
          <w:rtl/>
        </w:rPr>
        <w:t>. מביא</w:t>
      </w:r>
      <w:r w:rsidR="00912CE8" w:rsidRPr="008C644E">
        <w:rPr>
          <w:rFonts w:cs="Narkisim" w:hint="cs"/>
          <w:rtl/>
        </w:rPr>
        <w:t>ה</w:t>
      </w:r>
      <w:r w:rsidRPr="008C644E">
        <w:rPr>
          <w:rFonts w:cs="Narkisim" w:hint="cs"/>
          <w:rtl/>
        </w:rPr>
        <w:t xml:space="preserve"> מקור לדין שליחות </w:t>
      </w:r>
      <w:proofErr w:type="spellStart"/>
      <w:r w:rsidRPr="008C644E">
        <w:rPr>
          <w:rFonts w:cs="Narkisim" w:hint="cs"/>
          <w:rtl/>
        </w:rPr>
        <w:t>בגיטין</w:t>
      </w:r>
      <w:proofErr w:type="spellEnd"/>
      <w:r w:rsidRPr="008C644E">
        <w:rPr>
          <w:rFonts w:cs="Narkisim" w:hint="cs"/>
          <w:rtl/>
        </w:rPr>
        <w:t xml:space="preserve"> וקידושין</w:t>
      </w:r>
      <w:r w:rsidR="00912CE8" w:rsidRPr="008C644E">
        <w:rPr>
          <w:rFonts w:cs="Narkisim" w:hint="cs"/>
          <w:rtl/>
        </w:rPr>
        <w:t xml:space="preserve"> </w:t>
      </w:r>
      <w:r w:rsidR="00912CE8" w:rsidRPr="008C644E">
        <w:rPr>
          <w:rFonts w:cs="Narkisim"/>
          <w:rtl/>
        </w:rPr>
        <w:t>–</w:t>
      </w:r>
      <w:r w:rsidRPr="008C644E">
        <w:rPr>
          <w:rFonts w:cs="Narkisim" w:hint="cs"/>
          <w:rtl/>
        </w:rPr>
        <w:t xml:space="preserve"> דרשת הפסוקים העוסקים בפעולות הגירושין בפרשת 'כי תצא':</w:t>
      </w:r>
    </w:p>
    <w:p w14:paraId="21A5AC92" w14:textId="77777777" w:rsidR="00285CB1" w:rsidRPr="008C644E" w:rsidRDefault="00285CB1" w:rsidP="00912CE8">
      <w:pPr>
        <w:pStyle w:val="ListParagraph"/>
        <w:jc w:val="both"/>
        <w:rPr>
          <w:rFonts w:asciiTheme="minorBidi" w:hAnsiTheme="minorBidi"/>
          <w:rtl/>
        </w:rPr>
      </w:pPr>
      <w:r w:rsidRPr="008C644E">
        <w:rPr>
          <w:rFonts w:asciiTheme="minorBidi" w:hAnsiTheme="minorBidi"/>
          <w:rtl/>
        </w:rPr>
        <w:t xml:space="preserve">שליחות </w:t>
      </w:r>
      <w:proofErr w:type="spellStart"/>
      <w:r w:rsidRPr="008C644E">
        <w:rPr>
          <w:rFonts w:asciiTheme="minorBidi" w:hAnsiTheme="minorBidi"/>
          <w:rtl/>
        </w:rPr>
        <w:t>מנלן</w:t>
      </w:r>
      <w:proofErr w:type="spellEnd"/>
      <w:r w:rsidRPr="008C644E">
        <w:rPr>
          <w:rFonts w:asciiTheme="minorBidi" w:hAnsiTheme="minorBidi"/>
          <w:rtl/>
        </w:rPr>
        <w:t xml:space="preserve">? </w:t>
      </w:r>
      <w:proofErr w:type="spellStart"/>
      <w:r w:rsidRPr="008C644E">
        <w:rPr>
          <w:rFonts w:asciiTheme="minorBidi" w:hAnsiTheme="minorBidi"/>
          <w:rtl/>
        </w:rPr>
        <w:t>דתניא</w:t>
      </w:r>
      <w:proofErr w:type="spellEnd"/>
      <w:r w:rsidRPr="008C644E">
        <w:rPr>
          <w:rFonts w:asciiTheme="minorBidi" w:hAnsiTheme="minorBidi"/>
          <w:rtl/>
        </w:rPr>
        <w:t xml:space="preserve">: ושלח - מלמד שהוא עושה שליח, ושלחה - מלמד שהיא עושה שליח, ושלח ושלחה - מלמד שהשליח עושה שליח. אשכחן בגירושין, בקידושין </w:t>
      </w:r>
      <w:proofErr w:type="spellStart"/>
      <w:r w:rsidRPr="008C644E">
        <w:rPr>
          <w:rFonts w:asciiTheme="minorBidi" w:hAnsiTheme="minorBidi"/>
          <w:rtl/>
        </w:rPr>
        <w:t>מנלן</w:t>
      </w:r>
      <w:proofErr w:type="spellEnd"/>
      <w:r w:rsidRPr="008C644E">
        <w:rPr>
          <w:rFonts w:asciiTheme="minorBidi" w:hAnsiTheme="minorBidi"/>
          <w:rtl/>
        </w:rPr>
        <w:t xml:space="preserve">? </w:t>
      </w:r>
      <w:proofErr w:type="spellStart"/>
      <w:r w:rsidRPr="008C644E">
        <w:rPr>
          <w:rFonts w:asciiTheme="minorBidi" w:hAnsiTheme="minorBidi"/>
          <w:rtl/>
        </w:rPr>
        <w:t>וכ"ת</w:t>
      </w:r>
      <w:proofErr w:type="spellEnd"/>
      <w:r w:rsidRPr="008C644E">
        <w:rPr>
          <w:rFonts w:asciiTheme="minorBidi" w:hAnsiTheme="minorBidi"/>
          <w:rtl/>
        </w:rPr>
        <w:t xml:space="preserve"> </w:t>
      </w:r>
      <w:proofErr w:type="spellStart"/>
      <w:r w:rsidRPr="008C644E">
        <w:rPr>
          <w:rFonts w:asciiTheme="minorBidi" w:hAnsiTheme="minorBidi"/>
          <w:rtl/>
        </w:rPr>
        <w:t>דיליף</w:t>
      </w:r>
      <w:proofErr w:type="spellEnd"/>
      <w:r w:rsidRPr="008C644E">
        <w:rPr>
          <w:rFonts w:asciiTheme="minorBidi" w:hAnsiTheme="minorBidi"/>
          <w:rtl/>
        </w:rPr>
        <w:t xml:space="preserve"> מגירושין, מה לגירושין שכן ישנן בעל </w:t>
      </w:r>
      <w:proofErr w:type="spellStart"/>
      <w:r w:rsidRPr="008C644E">
        <w:rPr>
          <w:rFonts w:asciiTheme="minorBidi" w:hAnsiTheme="minorBidi"/>
          <w:rtl/>
        </w:rPr>
        <w:t>כרחה</w:t>
      </w:r>
      <w:proofErr w:type="spellEnd"/>
      <w:r w:rsidRPr="008C644E">
        <w:rPr>
          <w:rFonts w:asciiTheme="minorBidi" w:hAnsiTheme="minorBidi"/>
          <w:rtl/>
        </w:rPr>
        <w:t xml:space="preserve">! אמר קרא: ויצאה </w:t>
      </w:r>
      <w:proofErr w:type="spellStart"/>
      <w:r w:rsidRPr="008C644E">
        <w:rPr>
          <w:rFonts w:asciiTheme="minorBidi" w:hAnsiTheme="minorBidi"/>
          <w:rtl/>
        </w:rPr>
        <w:t>והיתה</w:t>
      </w:r>
      <w:proofErr w:type="spellEnd"/>
      <w:r w:rsidRPr="008C644E">
        <w:rPr>
          <w:rFonts w:asciiTheme="minorBidi" w:hAnsiTheme="minorBidi"/>
          <w:rtl/>
        </w:rPr>
        <w:t xml:space="preserve">, מקיש הויה ליציאה, מה יציאה משוי שליח, אף הויה </w:t>
      </w:r>
      <w:proofErr w:type="spellStart"/>
      <w:r w:rsidRPr="008C644E">
        <w:rPr>
          <w:rFonts w:asciiTheme="minorBidi" w:hAnsiTheme="minorBidi"/>
          <w:rtl/>
        </w:rPr>
        <w:t>נמי</w:t>
      </w:r>
      <w:proofErr w:type="spellEnd"/>
      <w:r w:rsidRPr="008C644E">
        <w:rPr>
          <w:rFonts w:asciiTheme="minorBidi" w:hAnsiTheme="minorBidi"/>
          <w:rtl/>
        </w:rPr>
        <w:t xml:space="preserve"> משוי שליח.</w:t>
      </w:r>
    </w:p>
    <w:p w14:paraId="6BDA1742" w14:textId="25BAF4F3" w:rsidR="00285CB1" w:rsidRPr="008C644E" w:rsidRDefault="00285CB1" w:rsidP="00912CE8">
      <w:pPr>
        <w:spacing w:line="276" w:lineRule="auto"/>
        <w:rPr>
          <w:sz w:val="22"/>
          <w:szCs w:val="22"/>
          <w:rtl/>
        </w:rPr>
      </w:pPr>
      <w:r w:rsidRPr="008C644E">
        <w:rPr>
          <w:rFonts w:hint="cs"/>
          <w:sz w:val="22"/>
          <w:szCs w:val="22"/>
          <w:rtl/>
        </w:rPr>
        <w:lastRenderedPageBreak/>
        <w:t xml:space="preserve">בדרשה שלפנינו יש מספר לימודים. לימוד ראשון הוא המקור ממנו לומדים כי הגבר יכול לעשות שליח למסירת הגט </w:t>
      </w:r>
      <w:r w:rsidR="008F4A58" w:rsidRPr="008C644E">
        <w:rPr>
          <w:rFonts w:hint="cs"/>
          <w:sz w:val="22"/>
          <w:szCs w:val="22"/>
          <w:rtl/>
        </w:rPr>
        <w:t>'</w:t>
      </w:r>
      <w:r w:rsidRPr="008C644E">
        <w:rPr>
          <w:rFonts w:hint="cs"/>
          <w:sz w:val="22"/>
          <w:szCs w:val="22"/>
          <w:rtl/>
        </w:rPr>
        <w:t>ושלח</w:t>
      </w:r>
      <w:r w:rsidR="008F4A58" w:rsidRPr="008C644E">
        <w:rPr>
          <w:rFonts w:hint="cs"/>
          <w:sz w:val="22"/>
          <w:szCs w:val="22"/>
          <w:rtl/>
        </w:rPr>
        <w:t xml:space="preserve"> </w:t>
      </w:r>
      <w:r w:rsidRPr="008C644E">
        <w:rPr>
          <w:rFonts w:hint="cs"/>
          <w:sz w:val="22"/>
          <w:szCs w:val="22"/>
          <w:rtl/>
        </w:rPr>
        <w:t>-</w:t>
      </w:r>
      <w:r w:rsidR="008F4A58" w:rsidRPr="008C644E">
        <w:rPr>
          <w:rFonts w:hint="cs"/>
          <w:sz w:val="22"/>
          <w:szCs w:val="22"/>
          <w:rtl/>
        </w:rPr>
        <w:t xml:space="preserve"> </w:t>
      </w:r>
      <w:r w:rsidRPr="008C644E">
        <w:rPr>
          <w:rFonts w:hint="cs"/>
          <w:sz w:val="22"/>
          <w:szCs w:val="22"/>
          <w:rtl/>
        </w:rPr>
        <w:t>מלמד שהוא עושה שליח</w:t>
      </w:r>
      <w:r w:rsidR="008F4A58" w:rsidRPr="008C644E">
        <w:rPr>
          <w:rFonts w:hint="cs"/>
          <w:sz w:val="22"/>
          <w:szCs w:val="22"/>
          <w:rtl/>
        </w:rPr>
        <w:t>'</w:t>
      </w:r>
      <w:r w:rsidRPr="008C644E">
        <w:rPr>
          <w:rFonts w:hint="cs"/>
          <w:sz w:val="22"/>
          <w:szCs w:val="22"/>
          <w:rtl/>
        </w:rPr>
        <w:t>. לימוד זה אומר 'דרשני'</w:t>
      </w:r>
      <w:r w:rsidR="008F4A58" w:rsidRPr="008C644E">
        <w:rPr>
          <w:rFonts w:hint="cs"/>
          <w:sz w:val="22"/>
          <w:szCs w:val="22"/>
          <w:rtl/>
        </w:rPr>
        <w:t>, שכן</w:t>
      </w:r>
      <w:r w:rsidRPr="008C644E">
        <w:rPr>
          <w:rFonts w:hint="cs"/>
          <w:sz w:val="22"/>
          <w:szCs w:val="22"/>
          <w:rtl/>
        </w:rPr>
        <w:t xml:space="preserve"> בפסוקים בפרשת כי תצא </w:t>
      </w:r>
      <w:r w:rsidR="008F4A58" w:rsidRPr="008C644E">
        <w:rPr>
          <w:rFonts w:hint="cs"/>
          <w:sz w:val="22"/>
          <w:szCs w:val="22"/>
          <w:rtl/>
        </w:rPr>
        <w:t>כלל לא</w:t>
      </w:r>
      <w:r w:rsidRPr="008C644E">
        <w:rPr>
          <w:rFonts w:hint="cs"/>
          <w:sz w:val="22"/>
          <w:szCs w:val="22"/>
          <w:rtl/>
        </w:rPr>
        <w:t xml:space="preserve"> מופיע</w:t>
      </w:r>
      <w:r w:rsidR="008F4A58" w:rsidRPr="008C644E">
        <w:rPr>
          <w:rFonts w:hint="cs"/>
          <w:sz w:val="22"/>
          <w:szCs w:val="22"/>
          <w:rtl/>
        </w:rPr>
        <w:t>ה</w:t>
      </w:r>
      <w:r w:rsidRPr="008C644E">
        <w:rPr>
          <w:rFonts w:hint="cs"/>
          <w:sz w:val="22"/>
          <w:szCs w:val="22"/>
          <w:rtl/>
        </w:rPr>
        <w:t xml:space="preserve"> המילה 'ושלח':</w:t>
      </w:r>
    </w:p>
    <w:p w14:paraId="28BB1DFD" w14:textId="0B3D459C"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 xml:space="preserve">(א) כִּי </w:t>
      </w:r>
      <w:proofErr w:type="spellStart"/>
      <w:r w:rsidRPr="008C644E">
        <w:rPr>
          <w:rFonts w:asciiTheme="minorBidi" w:hAnsiTheme="minorBidi" w:cstheme="minorBidi"/>
          <w:sz w:val="22"/>
          <w:szCs w:val="22"/>
          <w:rtl/>
        </w:rPr>
        <w:t>יִקַּח</w:t>
      </w:r>
      <w:proofErr w:type="spellEnd"/>
      <w:r w:rsidRPr="008C644E">
        <w:rPr>
          <w:rFonts w:asciiTheme="minorBidi" w:hAnsiTheme="minorBidi" w:cstheme="minorBidi"/>
          <w:sz w:val="22"/>
          <w:szCs w:val="22"/>
          <w:rtl/>
        </w:rPr>
        <w:t xml:space="preserve"> אִישׁ </w:t>
      </w:r>
      <w:proofErr w:type="spellStart"/>
      <w:r w:rsidRPr="008C644E">
        <w:rPr>
          <w:rFonts w:asciiTheme="minorBidi" w:hAnsiTheme="minorBidi" w:cstheme="minorBidi"/>
          <w:sz w:val="22"/>
          <w:szCs w:val="22"/>
          <w:rtl/>
        </w:rPr>
        <w:t>אִשָּׁה</w:t>
      </w:r>
      <w:proofErr w:type="spellEnd"/>
      <w:r w:rsidRPr="008C644E">
        <w:rPr>
          <w:rFonts w:asciiTheme="minorBidi" w:hAnsiTheme="minorBidi" w:cstheme="minorBidi"/>
          <w:sz w:val="22"/>
          <w:szCs w:val="22"/>
          <w:rtl/>
        </w:rPr>
        <w:t xml:space="preserve"> וּבְעָלָהּ וְהָיָה אִם לֹא תִמְצָא חֵן בְּעֵינָיו כִּי מָצָא בָהּ עֶרְוַת דָּבָר וְכָתַב לָהּ סֵפֶר כְּרִיתֻת וְנָתַן בְּיָדָהּ </w:t>
      </w:r>
      <w:r w:rsidRPr="008C644E">
        <w:rPr>
          <w:rFonts w:asciiTheme="minorBidi" w:hAnsiTheme="minorBidi" w:cstheme="minorBidi"/>
          <w:b/>
          <w:bCs/>
          <w:sz w:val="22"/>
          <w:szCs w:val="22"/>
          <w:rtl/>
        </w:rPr>
        <w:t xml:space="preserve">וְשִׁלְּחָהּ </w:t>
      </w:r>
      <w:r w:rsidRPr="008C644E">
        <w:rPr>
          <w:rFonts w:asciiTheme="minorBidi" w:hAnsiTheme="minorBidi" w:cstheme="minorBidi"/>
          <w:sz w:val="22"/>
          <w:szCs w:val="22"/>
          <w:rtl/>
        </w:rPr>
        <w:t>מִבֵּיתוֹ:</w:t>
      </w:r>
    </w:p>
    <w:p w14:paraId="2D7A32AD" w14:textId="77777777"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 xml:space="preserve">(ב) וְיָצְאָה מִבֵּיתוֹ וְהָלְכָה </w:t>
      </w:r>
      <w:proofErr w:type="spellStart"/>
      <w:r w:rsidRPr="008C644E">
        <w:rPr>
          <w:rFonts w:asciiTheme="minorBidi" w:hAnsiTheme="minorBidi" w:cstheme="minorBidi"/>
          <w:sz w:val="22"/>
          <w:szCs w:val="22"/>
          <w:rtl/>
        </w:rPr>
        <w:t>וְהָיְתָה</w:t>
      </w:r>
      <w:proofErr w:type="spellEnd"/>
      <w:r w:rsidRPr="008C644E">
        <w:rPr>
          <w:rFonts w:asciiTheme="minorBidi" w:hAnsiTheme="minorBidi" w:cstheme="minorBidi"/>
          <w:sz w:val="22"/>
          <w:szCs w:val="22"/>
          <w:rtl/>
        </w:rPr>
        <w:t xml:space="preserve"> לְאִישׁ אַחֵר:</w:t>
      </w:r>
    </w:p>
    <w:p w14:paraId="43F6E06D" w14:textId="77777777"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 xml:space="preserve">(ג) וּשְׂנֵאָהּ הָאִישׁ הָאַחֲרוֹן וְכָתַב לָהּ סֵפֶר כְּרִיתֻת וְנָתַן בְּיָדָהּ </w:t>
      </w:r>
      <w:r w:rsidRPr="008C644E">
        <w:rPr>
          <w:rFonts w:asciiTheme="minorBidi" w:hAnsiTheme="minorBidi" w:cstheme="minorBidi"/>
          <w:b/>
          <w:bCs/>
          <w:sz w:val="22"/>
          <w:szCs w:val="22"/>
          <w:rtl/>
        </w:rPr>
        <w:t xml:space="preserve">וְשִׁלְּחָהּ </w:t>
      </w:r>
      <w:r w:rsidRPr="008C644E">
        <w:rPr>
          <w:rFonts w:asciiTheme="minorBidi" w:hAnsiTheme="minorBidi" w:cstheme="minorBidi"/>
          <w:sz w:val="22"/>
          <w:szCs w:val="22"/>
          <w:rtl/>
        </w:rPr>
        <w:t>מִבֵּיתוֹ אוֹ כִי יָמוּת הָאִישׁ הָאַחֲרוֹן אֲשֶׁר לְקָחָהּ לוֹ לְאִשָּׁה:</w:t>
      </w:r>
    </w:p>
    <w:p w14:paraId="710C9DAC" w14:textId="77777777" w:rsidR="00285CB1" w:rsidRPr="008C644E" w:rsidRDefault="00285CB1" w:rsidP="00912CE8">
      <w:pPr>
        <w:spacing w:line="276" w:lineRule="auto"/>
        <w:rPr>
          <w:sz w:val="22"/>
          <w:szCs w:val="22"/>
          <w:rtl/>
        </w:rPr>
      </w:pPr>
      <w:r w:rsidRPr="008C644E">
        <w:rPr>
          <w:rFonts w:hint="cs"/>
          <w:sz w:val="22"/>
          <w:szCs w:val="22"/>
          <w:rtl/>
        </w:rPr>
        <w:t>רש"י על אתר מסביר א"כ מהו הלימוד מן המילה 'ושלח' שאינה מופיע בכתוב</w:t>
      </w:r>
    </w:p>
    <w:p w14:paraId="0C09B4CA" w14:textId="0D76D73E"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בגירושין כתיב ושלחה מביתו</w:t>
      </w:r>
      <w:r w:rsidR="008C644E">
        <w:rPr>
          <w:rFonts w:asciiTheme="minorBidi" w:hAnsiTheme="minorBidi" w:cstheme="minorBidi" w:hint="cs"/>
          <w:sz w:val="22"/>
          <w:szCs w:val="22"/>
          <w:rtl/>
        </w:rPr>
        <w:t>,</w:t>
      </w:r>
      <w:r w:rsidRPr="008C644E">
        <w:rPr>
          <w:rFonts w:asciiTheme="minorBidi" w:hAnsiTheme="minorBidi" w:cstheme="minorBidi"/>
          <w:sz w:val="22"/>
          <w:szCs w:val="22"/>
          <w:rtl/>
        </w:rPr>
        <w:t xml:space="preserve"> </w:t>
      </w:r>
      <w:proofErr w:type="spellStart"/>
      <w:r w:rsidRPr="008C644E">
        <w:rPr>
          <w:rFonts w:asciiTheme="minorBidi" w:hAnsiTheme="minorBidi" w:cstheme="minorBidi"/>
          <w:sz w:val="22"/>
          <w:szCs w:val="22"/>
          <w:rtl/>
        </w:rPr>
        <w:t>ומדלא</w:t>
      </w:r>
      <w:proofErr w:type="spellEnd"/>
      <w:r w:rsidRPr="008C644E">
        <w:rPr>
          <w:rFonts w:asciiTheme="minorBidi" w:hAnsiTheme="minorBidi" w:cstheme="minorBidi"/>
          <w:sz w:val="22"/>
          <w:szCs w:val="22"/>
          <w:rtl/>
        </w:rPr>
        <w:t xml:space="preserve"> כתב וגירשה </w:t>
      </w:r>
      <w:proofErr w:type="spellStart"/>
      <w:r w:rsidRPr="008C644E">
        <w:rPr>
          <w:rFonts w:asciiTheme="minorBidi" w:hAnsiTheme="minorBidi" w:cstheme="minorBidi"/>
          <w:sz w:val="22"/>
          <w:szCs w:val="22"/>
          <w:rtl/>
        </w:rPr>
        <w:t>ללמדינו</w:t>
      </w:r>
      <w:proofErr w:type="spellEnd"/>
      <w:r w:rsidRPr="008C644E">
        <w:rPr>
          <w:rFonts w:asciiTheme="minorBidi" w:hAnsiTheme="minorBidi" w:cstheme="minorBidi"/>
          <w:sz w:val="22"/>
          <w:szCs w:val="22"/>
          <w:rtl/>
        </w:rPr>
        <w:t xml:space="preserve"> בא שהאיש עושה שליח להוליך גט לאשתו.</w:t>
      </w:r>
    </w:p>
    <w:p w14:paraId="6B697309" w14:textId="1DD44ACD" w:rsidR="00285CB1" w:rsidRPr="008C644E" w:rsidRDefault="00285CB1" w:rsidP="00912CE8">
      <w:pPr>
        <w:spacing w:line="276" w:lineRule="auto"/>
        <w:rPr>
          <w:sz w:val="22"/>
          <w:szCs w:val="22"/>
          <w:rtl/>
        </w:rPr>
      </w:pPr>
      <w:r w:rsidRPr="008C644E">
        <w:rPr>
          <w:rFonts w:hint="cs"/>
          <w:sz w:val="22"/>
          <w:szCs w:val="22"/>
          <w:rtl/>
        </w:rPr>
        <w:t xml:space="preserve">השימוש הכפול במילה 'ושלחה' בפרשת גירושין מעלה תמיהה. כאשר הכתוב רצה לתאר את פעולת ניתוק קשר של נישואים היא משתמש בלשון גירושין, לדוגמא בפרשת 'אמור' כאשר התורה מונה אלו נשים יכולים לשאת בני אהרון היא אוסרת הנישואין לה 'אישה גרושה מאשה'. אם כן מדוע בחרה התורה </w:t>
      </w:r>
      <w:r w:rsidR="008F4A58" w:rsidRPr="008C644E">
        <w:rPr>
          <w:rFonts w:hint="cs"/>
          <w:sz w:val="22"/>
          <w:szCs w:val="22"/>
          <w:rtl/>
        </w:rPr>
        <w:t xml:space="preserve">בפרשת כי תצא </w:t>
      </w:r>
      <w:r w:rsidRPr="008C644E">
        <w:rPr>
          <w:rFonts w:hint="cs"/>
          <w:sz w:val="22"/>
          <w:szCs w:val="22"/>
          <w:rtl/>
        </w:rPr>
        <w:t>בפועל 'שלח'? שאלה זו</w:t>
      </w:r>
      <w:r w:rsidR="008F4A58" w:rsidRPr="008C644E">
        <w:rPr>
          <w:rFonts w:hint="cs"/>
          <w:sz w:val="22"/>
          <w:szCs w:val="22"/>
          <w:rtl/>
        </w:rPr>
        <w:t>, מסביר רש"י,</w:t>
      </w:r>
      <w:r w:rsidRPr="008C644E">
        <w:rPr>
          <w:rFonts w:hint="cs"/>
          <w:sz w:val="22"/>
          <w:szCs w:val="22"/>
          <w:rtl/>
        </w:rPr>
        <w:t xml:space="preserve"> מנוסחת בלשון קצרה </w:t>
      </w:r>
      <w:r w:rsidR="008F4A58" w:rsidRPr="008C644E">
        <w:rPr>
          <w:rFonts w:hint="cs"/>
          <w:sz w:val="22"/>
          <w:szCs w:val="22"/>
          <w:rtl/>
        </w:rPr>
        <w:t>ב</w:t>
      </w:r>
      <w:r w:rsidRPr="008C644E">
        <w:rPr>
          <w:rFonts w:hint="cs"/>
          <w:sz w:val="22"/>
          <w:szCs w:val="22"/>
          <w:rtl/>
        </w:rPr>
        <w:t xml:space="preserve">דרשה המופיע בגמרא שלפנינו: ושלח </w:t>
      </w:r>
      <w:r w:rsidRPr="008C644E">
        <w:rPr>
          <w:sz w:val="22"/>
          <w:szCs w:val="22"/>
          <w:rtl/>
        </w:rPr>
        <w:t>–</w:t>
      </w:r>
      <w:r w:rsidRPr="008C644E">
        <w:rPr>
          <w:rFonts w:hint="cs"/>
          <w:sz w:val="22"/>
          <w:szCs w:val="22"/>
          <w:rtl/>
        </w:rPr>
        <w:t xml:space="preserve"> מלמד שעושה שליח. כלומר מכך שהתורה בחרה בלשון שילוח לתאר את פועלת הגירושין אנו לומדים כי פעולה זו יכולה להיעשות ע"י שליח. </w:t>
      </w:r>
      <w:proofErr w:type="spellStart"/>
      <w:r w:rsidRPr="008C644E">
        <w:rPr>
          <w:rFonts w:hint="cs"/>
          <w:sz w:val="22"/>
          <w:szCs w:val="22"/>
          <w:rtl/>
        </w:rPr>
        <w:t>הרש"ר</w:t>
      </w:r>
      <w:proofErr w:type="spellEnd"/>
      <w:r w:rsidRPr="008C644E">
        <w:rPr>
          <w:rFonts w:hint="cs"/>
          <w:sz w:val="22"/>
          <w:szCs w:val="22"/>
          <w:rtl/>
        </w:rPr>
        <w:t xml:space="preserve"> הירש בפרושו לתורה מוצא בדרשה זו  היבט חשוב</w:t>
      </w:r>
      <w:r w:rsidR="00F17B57" w:rsidRPr="008C644E">
        <w:rPr>
          <w:rFonts w:hint="cs"/>
          <w:sz w:val="22"/>
          <w:szCs w:val="22"/>
          <w:rtl/>
        </w:rPr>
        <w:t xml:space="preserve"> נוסף</w:t>
      </w:r>
      <w:r w:rsidRPr="008C644E">
        <w:rPr>
          <w:rFonts w:hint="cs"/>
          <w:sz w:val="22"/>
          <w:szCs w:val="22"/>
          <w:rtl/>
        </w:rPr>
        <w:t xml:space="preserve"> </w:t>
      </w:r>
      <w:r w:rsidR="00F17B57" w:rsidRPr="008C644E">
        <w:rPr>
          <w:rFonts w:hint="cs"/>
          <w:sz w:val="22"/>
          <w:szCs w:val="22"/>
          <w:rtl/>
        </w:rPr>
        <w:t>בנוגע ל</w:t>
      </w:r>
      <w:r w:rsidRPr="008C644E">
        <w:rPr>
          <w:rFonts w:hint="cs"/>
          <w:sz w:val="22"/>
          <w:szCs w:val="22"/>
          <w:rtl/>
        </w:rPr>
        <w:t>מהות פעולת הגירושין אשר מסבירה מדוע פעולה זו יכולה להיעשות על ידי שליח (</w:t>
      </w:r>
      <w:proofErr w:type="spellStart"/>
      <w:r w:rsidRPr="008C644E">
        <w:rPr>
          <w:rFonts w:hint="cs"/>
          <w:sz w:val="22"/>
          <w:szCs w:val="22"/>
          <w:rtl/>
        </w:rPr>
        <w:t>רש</w:t>
      </w:r>
      <w:r w:rsidRPr="008C644E">
        <w:rPr>
          <w:sz w:val="22"/>
          <w:szCs w:val="22"/>
          <w:rtl/>
        </w:rPr>
        <w:t>"</w:t>
      </w:r>
      <w:r w:rsidRPr="008C644E">
        <w:rPr>
          <w:rFonts w:hint="cs"/>
          <w:sz w:val="22"/>
          <w:szCs w:val="22"/>
          <w:rtl/>
        </w:rPr>
        <w:t>ר</w:t>
      </w:r>
      <w:proofErr w:type="spellEnd"/>
      <w:r w:rsidRPr="008C644E">
        <w:rPr>
          <w:sz w:val="22"/>
          <w:szCs w:val="22"/>
          <w:rtl/>
        </w:rPr>
        <w:t xml:space="preserve"> </w:t>
      </w:r>
      <w:r w:rsidRPr="008C644E">
        <w:rPr>
          <w:rFonts w:hint="cs"/>
          <w:sz w:val="22"/>
          <w:szCs w:val="22"/>
          <w:rtl/>
        </w:rPr>
        <w:t>הירש</w:t>
      </w:r>
      <w:r w:rsidRPr="008C644E">
        <w:rPr>
          <w:sz w:val="22"/>
          <w:szCs w:val="22"/>
          <w:rtl/>
        </w:rPr>
        <w:t xml:space="preserve"> </w:t>
      </w:r>
      <w:r w:rsidRPr="008C644E">
        <w:rPr>
          <w:rFonts w:hint="cs"/>
          <w:sz w:val="22"/>
          <w:szCs w:val="22"/>
          <w:rtl/>
        </w:rPr>
        <w:t>דברים</w:t>
      </w:r>
      <w:r w:rsidRPr="008C644E">
        <w:rPr>
          <w:sz w:val="22"/>
          <w:szCs w:val="22"/>
          <w:rtl/>
        </w:rPr>
        <w:t xml:space="preserve"> </w:t>
      </w:r>
      <w:r w:rsidRPr="008C644E">
        <w:rPr>
          <w:rFonts w:hint="cs"/>
          <w:sz w:val="22"/>
          <w:szCs w:val="22"/>
          <w:rtl/>
        </w:rPr>
        <w:t>פרק</w:t>
      </w:r>
      <w:r w:rsidRPr="008C644E">
        <w:rPr>
          <w:sz w:val="22"/>
          <w:szCs w:val="22"/>
          <w:rtl/>
        </w:rPr>
        <w:t xml:space="preserve"> </w:t>
      </w:r>
      <w:r w:rsidRPr="008C644E">
        <w:rPr>
          <w:rFonts w:hint="cs"/>
          <w:sz w:val="22"/>
          <w:szCs w:val="22"/>
          <w:rtl/>
        </w:rPr>
        <w:t>כד</w:t>
      </w:r>
      <w:r w:rsidRPr="008C644E">
        <w:rPr>
          <w:sz w:val="22"/>
          <w:szCs w:val="22"/>
          <w:rtl/>
        </w:rPr>
        <w:t xml:space="preserve"> </w:t>
      </w:r>
      <w:r w:rsidRPr="008C644E">
        <w:rPr>
          <w:rFonts w:hint="cs"/>
          <w:sz w:val="22"/>
          <w:szCs w:val="22"/>
          <w:rtl/>
        </w:rPr>
        <w:t>פסוק</w:t>
      </w:r>
      <w:r w:rsidRPr="008C644E">
        <w:rPr>
          <w:sz w:val="22"/>
          <w:szCs w:val="22"/>
          <w:rtl/>
        </w:rPr>
        <w:t xml:space="preserve"> </w:t>
      </w:r>
      <w:r w:rsidRPr="008C644E">
        <w:rPr>
          <w:rFonts w:hint="cs"/>
          <w:sz w:val="22"/>
          <w:szCs w:val="22"/>
          <w:rtl/>
        </w:rPr>
        <w:t>א)</w:t>
      </w:r>
      <w:r w:rsidR="00F17B57" w:rsidRPr="008C644E">
        <w:rPr>
          <w:rFonts w:hint="cs"/>
          <w:sz w:val="22"/>
          <w:szCs w:val="22"/>
          <w:rtl/>
        </w:rPr>
        <w:t>:</w:t>
      </w:r>
    </w:p>
    <w:p w14:paraId="476F0F50" w14:textId="3560576E" w:rsidR="00285CB1" w:rsidRPr="008C644E" w:rsidRDefault="00285CB1" w:rsidP="007B506A">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 xml:space="preserve">משום כך גם לא נאמר כאן: "וגרשה מביתו" - כעין האמור במקום אחר: "ואשה גרושה מאישה" (ויקרא </w:t>
      </w:r>
      <w:proofErr w:type="spellStart"/>
      <w:r w:rsidRPr="008C644E">
        <w:rPr>
          <w:rFonts w:asciiTheme="minorBidi" w:hAnsiTheme="minorBidi" w:cstheme="minorBidi"/>
          <w:sz w:val="22"/>
          <w:szCs w:val="22"/>
          <w:rtl/>
        </w:rPr>
        <w:t>כא</w:t>
      </w:r>
      <w:proofErr w:type="spellEnd"/>
      <w:r w:rsidRPr="008C644E">
        <w:rPr>
          <w:rFonts w:asciiTheme="minorBidi" w:hAnsiTheme="minorBidi" w:cstheme="minorBidi"/>
          <w:sz w:val="22"/>
          <w:szCs w:val="22"/>
          <w:rtl/>
        </w:rPr>
        <w:t xml:space="preserve">, ז), שאילו נאמר כן, היינו אומרים שסוף מעשה הגירושין הוא ההרחקה המוחשית מן הבית; אלא נאמר "ושלחה". יש רק מקרים נדירים </w:t>
      </w:r>
      <w:proofErr w:type="spellStart"/>
      <w:r w:rsidRPr="008C644E">
        <w:rPr>
          <w:rFonts w:asciiTheme="minorBidi" w:hAnsiTheme="minorBidi" w:cstheme="minorBidi"/>
          <w:sz w:val="22"/>
          <w:szCs w:val="22"/>
          <w:rtl/>
        </w:rPr>
        <w:t>ש"שַׁלֵּח</w:t>
      </w:r>
      <w:proofErr w:type="spellEnd"/>
      <w:r w:rsidRPr="008C644E">
        <w:rPr>
          <w:rFonts w:asciiTheme="minorBidi" w:hAnsiTheme="minorBidi" w:cstheme="minorBidi"/>
          <w:sz w:val="22"/>
          <w:szCs w:val="22"/>
          <w:rtl/>
        </w:rPr>
        <w:t xml:space="preserve">ַ" מורה בהם על סילוק והרחקה. עיקר הוראתו היא תמיד שלילית: לשחרר, להרפות מדבר, להניח אותו לעצמו, להימנע מלהחזיק בו, לפטור וכדו'. במשמעות זו הוא מצוי במקומות רבים </w:t>
      </w:r>
    </w:p>
    <w:p w14:paraId="0AAB5166" w14:textId="467443ED" w:rsidR="00285CB1" w:rsidRPr="008C644E" w:rsidRDefault="00285CB1" w:rsidP="00912CE8">
      <w:pPr>
        <w:spacing w:line="276" w:lineRule="auto"/>
        <w:rPr>
          <w:sz w:val="22"/>
          <w:szCs w:val="22"/>
          <w:rtl/>
        </w:rPr>
      </w:pPr>
      <w:r w:rsidRPr="008C644E">
        <w:rPr>
          <w:rFonts w:hint="cs"/>
          <w:sz w:val="22"/>
          <w:szCs w:val="22"/>
          <w:rtl/>
        </w:rPr>
        <w:t>פעולת הגירושין היא פעולה בתחום המשפט ולא בתחום הפיזי</w:t>
      </w:r>
      <w:r w:rsidR="00F17B57" w:rsidRPr="008C644E">
        <w:rPr>
          <w:rFonts w:hint="cs"/>
          <w:sz w:val="22"/>
          <w:szCs w:val="22"/>
          <w:rtl/>
        </w:rPr>
        <w:t>;</w:t>
      </w:r>
      <w:r w:rsidRPr="008C644E">
        <w:rPr>
          <w:rFonts w:hint="cs"/>
          <w:sz w:val="22"/>
          <w:szCs w:val="22"/>
          <w:rtl/>
        </w:rPr>
        <w:t xml:space="preserve"> כאשר אדם רוצה לנתק את הקשר עם אשתו הוא עושה באמצעות פעולה משפטית ולא באמצעות פעולה פיזית. זוג המתגרש מביא לידי ביטוי את גירושיו באמצעות ניתוק משפטי ולא רק בפעולת הפירוד. ניתוק הפיזי משמעותי ככל אשר יהיה אינו מנתק את הקשר. מדוע ? כי קשר הנישואין הוא במהותו קשר משפטי שאינו שיקוף של חיים משותפים. אישה ואשה המקיימים משק בית משותף </w:t>
      </w:r>
      <w:r w:rsidRPr="008C644E">
        <w:rPr>
          <w:rFonts w:hint="cs"/>
          <w:sz w:val="22"/>
          <w:szCs w:val="22"/>
          <w:rtl/>
        </w:rPr>
        <w:lastRenderedPageBreak/>
        <w:t xml:space="preserve">אינם נשואים עד אשר הם יגבו את הקשר בביטוי המשפטי. הבנה זו מבהירה לנו מדוע, בחרה הגמרא לדרוש את מוסד השליחות בנישואין מן הפסוקים בגירושין. כאשר הגמרא אמרה 'מקיש הוויה ליציאה' אין הדבר נובע רק מן הלשון הכתוב 'ויצאה </w:t>
      </w:r>
      <w:proofErr w:type="spellStart"/>
      <w:r w:rsidRPr="008C644E">
        <w:rPr>
          <w:rFonts w:hint="cs"/>
          <w:sz w:val="22"/>
          <w:szCs w:val="22"/>
          <w:rtl/>
        </w:rPr>
        <w:t>והיתה</w:t>
      </w:r>
      <w:proofErr w:type="spellEnd"/>
      <w:r w:rsidRPr="008C644E">
        <w:rPr>
          <w:rFonts w:hint="cs"/>
          <w:sz w:val="22"/>
          <w:szCs w:val="22"/>
          <w:rtl/>
        </w:rPr>
        <w:t xml:space="preserve">' אלא מן המהות המשותפת לשניהם לפיה קשר אישי נובע בהכרח מביצוע של פעולה משפטית. </w:t>
      </w:r>
      <w:r w:rsidR="007B506A" w:rsidRPr="008C644E">
        <w:rPr>
          <w:rStyle w:val="FootnoteReference"/>
          <w:sz w:val="22"/>
          <w:szCs w:val="22"/>
          <w:rtl/>
        </w:rPr>
        <w:footnoteReference w:id="2"/>
      </w:r>
    </w:p>
    <w:p w14:paraId="695E67A8" w14:textId="77777777" w:rsidR="00285CB1" w:rsidRPr="008C644E" w:rsidRDefault="00285CB1" w:rsidP="00912CE8">
      <w:pPr>
        <w:spacing w:line="276" w:lineRule="auto"/>
        <w:rPr>
          <w:b/>
          <w:bCs/>
          <w:sz w:val="22"/>
          <w:szCs w:val="22"/>
          <w:rtl/>
        </w:rPr>
      </w:pPr>
      <w:r w:rsidRPr="008C644E">
        <w:rPr>
          <w:rFonts w:hint="cs"/>
          <w:b/>
          <w:bCs/>
          <w:sz w:val="22"/>
          <w:szCs w:val="22"/>
          <w:rtl/>
        </w:rPr>
        <w:t>האם צריך שליח כדי להחיל קידושין מרחוק</w:t>
      </w:r>
    </w:p>
    <w:p w14:paraId="65BB7B4F" w14:textId="465DB573" w:rsidR="00285CB1" w:rsidRPr="008C644E" w:rsidRDefault="00285CB1" w:rsidP="00912CE8">
      <w:pPr>
        <w:spacing w:line="276" w:lineRule="auto"/>
        <w:rPr>
          <w:sz w:val="22"/>
          <w:szCs w:val="22"/>
          <w:rtl/>
        </w:rPr>
      </w:pPr>
      <w:r w:rsidRPr="008C644E">
        <w:rPr>
          <w:rFonts w:hint="cs"/>
          <w:sz w:val="22"/>
          <w:szCs w:val="22"/>
          <w:rtl/>
        </w:rPr>
        <w:t xml:space="preserve">אמרנו כי קידושין הוא קשר משפטי ולכן </w:t>
      </w:r>
      <w:r w:rsidR="00F17B57" w:rsidRPr="008C644E">
        <w:rPr>
          <w:rFonts w:hint="cs"/>
          <w:sz w:val="22"/>
          <w:szCs w:val="22"/>
          <w:rtl/>
        </w:rPr>
        <w:t xml:space="preserve">הוא </w:t>
      </w:r>
      <w:r w:rsidRPr="008C644E">
        <w:rPr>
          <w:rFonts w:hint="cs"/>
          <w:sz w:val="22"/>
          <w:szCs w:val="22"/>
          <w:rtl/>
        </w:rPr>
        <w:t xml:space="preserve">צריך להיעשות על ידי שליח, וכאן עולה השאלה האם חייבים לבצעו באמצעות שליח </w:t>
      </w:r>
      <w:proofErr w:type="spellStart"/>
      <w:r w:rsidRPr="008C644E">
        <w:rPr>
          <w:rFonts w:hint="cs"/>
          <w:sz w:val="22"/>
          <w:szCs w:val="22"/>
          <w:rtl/>
        </w:rPr>
        <w:t>בדווקא</w:t>
      </w:r>
      <w:proofErr w:type="spellEnd"/>
      <w:r w:rsidRPr="008C644E">
        <w:rPr>
          <w:rFonts w:hint="cs"/>
          <w:sz w:val="22"/>
          <w:szCs w:val="22"/>
          <w:rtl/>
        </w:rPr>
        <w:t xml:space="preserve"> ? כלומר בימנו שאמצעי התקשרות מרובים וכדי להעביר מסמך משפטי אין צורך בשליח להיעשותה האם ניתן לקדש או לגרש באמצעות הדואר , הדואר האלקטרוני,</w:t>
      </w:r>
      <w:r w:rsidR="00F23370" w:rsidRPr="008C644E">
        <w:rPr>
          <w:rFonts w:hint="cs"/>
          <w:sz w:val="22"/>
          <w:szCs w:val="22"/>
          <w:rtl/>
        </w:rPr>
        <w:t xml:space="preserve"> או</w:t>
      </w:r>
      <w:r w:rsidRPr="008C644E">
        <w:rPr>
          <w:rFonts w:hint="cs"/>
          <w:sz w:val="22"/>
          <w:szCs w:val="22"/>
          <w:rtl/>
        </w:rPr>
        <w:t xml:space="preserve"> אמצעים שונים העומדים לאדם במרשתת ?</w:t>
      </w:r>
    </w:p>
    <w:p w14:paraId="64767963" w14:textId="77134C8A" w:rsidR="00285CB1" w:rsidRPr="008C644E" w:rsidRDefault="00285CB1" w:rsidP="00912CE8">
      <w:pPr>
        <w:spacing w:line="276" w:lineRule="auto"/>
        <w:rPr>
          <w:sz w:val="22"/>
          <w:szCs w:val="22"/>
          <w:rtl/>
        </w:rPr>
      </w:pPr>
      <w:r w:rsidRPr="008C644E">
        <w:rPr>
          <w:rFonts w:hint="cs"/>
          <w:sz w:val="22"/>
          <w:szCs w:val="22"/>
          <w:rtl/>
        </w:rPr>
        <w:t>ככל הנראה בנוגע לשאלה זו יש להבחין בין גיטין לקידושין</w:t>
      </w:r>
      <w:r w:rsidR="00F23370" w:rsidRPr="008C644E">
        <w:rPr>
          <w:rFonts w:hint="cs"/>
          <w:sz w:val="22"/>
          <w:szCs w:val="22"/>
          <w:rtl/>
        </w:rPr>
        <w:t>.</w:t>
      </w:r>
      <w:r w:rsidRPr="008C644E">
        <w:rPr>
          <w:rFonts w:hint="cs"/>
          <w:sz w:val="22"/>
          <w:szCs w:val="22"/>
          <w:rtl/>
        </w:rPr>
        <w:t xml:space="preserve"> </w:t>
      </w:r>
      <w:proofErr w:type="spellStart"/>
      <w:r w:rsidRPr="008C644E">
        <w:rPr>
          <w:rFonts w:hint="cs"/>
          <w:sz w:val="22"/>
          <w:szCs w:val="22"/>
          <w:rtl/>
        </w:rPr>
        <w:t>בגיטין</w:t>
      </w:r>
      <w:proofErr w:type="spellEnd"/>
      <w:r w:rsidRPr="008C644E">
        <w:rPr>
          <w:rFonts w:hint="cs"/>
          <w:sz w:val="22"/>
          <w:szCs w:val="22"/>
          <w:rtl/>
        </w:rPr>
        <w:t xml:space="preserve"> </w:t>
      </w:r>
      <w:r w:rsidR="00F23370" w:rsidRPr="008C644E">
        <w:rPr>
          <w:rFonts w:hint="cs"/>
          <w:sz w:val="22"/>
          <w:szCs w:val="22"/>
          <w:rtl/>
        </w:rPr>
        <w:t xml:space="preserve">התורה דורשת במפורש </w:t>
      </w:r>
      <w:r w:rsidRPr="008C644E">
        <w:rPr>
          <w:rFonts w:hint="cs"/>
          <w:sz w:val="22"/>
          <w:szCs w:val="22"/>
          <w:rtl/>
        </w:rPr>
        <w:t>כי</w:t>
      </w:r>
      <w:r w:rsidR="00F23370" w:rsidRPr="008C644E">
        <w:rPr>
          <w:rFonts w:hint="cs"/>
          <w:sz w:val="22"/>
          <w:szCs w:val="22"/>
          <w:rtl/>
        </w:rPr>
        <w:t xml:space="preserve"> </w:t>
      </w:r>
      <w:r w:rsidRPr="008C644E">
        <w:rPr>
          <w:rFonts w:hint="cs"/>
          <w:sz w:val="22"/>
          <w:szCs w:val="22"/>
          <w:rtl/>
        </w:rPr>
        <w:t xml:space="preserve">ספר הכריתות </w:t>
      </w:r>
      <w:proofErr w:type="spellStart"/>
      <w:r w:rsidRPr="008C644E">
        <w:rPr>
          <w:rFonts w:hint="cs"/>
          <w:sz w:val="22"/>
          <w:szCs w:val="22"/>
          <w:rtl/>
        </w:rPr>
        <w:t>ימסר</w:t>
      </w:r>
      <w:proofErr w:type="spellEnd"/>
      <w:r w:rsidRPr="008C644E">
        <w:rPr>
          <w:rFonts w:hint="cs"/>
          <w:sz w:val="22"/>
          <w:szCs w:val="22"/>
          <w:rtl/>
        </w:rPr>
        <w:t xml:space="preserve"> מיד ליד</w:t>
      </w:r>
      <w:r w:rsidR="00F23370" w:rsidRPr="008C644E">
        <w:rPr>
          <w:rFonts w:hint="cs"/>
          <w:sz w:val="22"/>
          <w:szCs w:val="22"/>
          <w:rtl/>
        </w:rPr>
        <w:t xml:space="preserve"> </w:t>
      </w:r>
      <w:r w:rsidR="00F23370" w:rsidRPr="008C644E">
        <w:rPr>
          <w:sz w:val="22"/>
          <w:szCs w:val="22"/>
          <w:rtl/>
        </w:rPr>
        <w:t>–</w:t>
      </w:r>
      <w:r w:rsidRPr="008C644E">
        <w:rPr>
          <w:rFonts w:hint="cs"/>
          <w:sz w:val="22"/>
          <w:szCs w:val="22"/>
          <w:rtl/>
        </w:rPr>
        <w:t xml:space="preserve"> 'ונתן בידה</w:t>
      </w:r>
      <w:r w:rsidR="00F23370" w:rsidRPr="008C644E">
        <w:rPr>
          <w:rFonts w:hint="cs"/>
          <w:sz w:val="22"/>
          <w:szCs w:val="22"/>
          <w:rtl/>
        </w:rPr>
        <w:t>'</w:t>
      </w:r>
      <w:r w:rsidRPr="008C644E">
        <w:rPr>
          <w:rStyle w:val="FootnoteReference"/>
          <w:sz w:val="22"/>
          <w:szCs w:val="22"/>
          <w:rtl/>
        </w:rPr>
        <w:footnoteReference w:id="3"/>
      </w:r>
      <w:r w:rsidRPr="008C644E">
        <w:rPr>
          <w:rFonts w:hint="cs"/>
          <w:sz w:val="22"/>
          <w:szCs w:val="22"/>
          <w:rtl/>
        </w:rPr>
        <w:t>, ולכן קבעה הגמרא ש</w:t>
      </w:r>
      <w:r w:rsidR="00F23370" w:rsidRPr="008C644E">
        <w:rPr>
          <w:rFonts w:hint="cs"/>
          <w:sz w:val="22"/>
          <w:szCs w:val="22"/>
          <w:rtl/>
        </w:rPr>
        <w:t>ה</w:t>
      </w:r>
      <w:r w:rsidRPr="008C644E">
        <w:rPr>
          <w:rFonts w:hint="cs"/>
          <w:sz w:val="22"/>
          <w:szCs w:val="22"/>
          <w:rtl/>
        </w:rPr>
        <w:t xml:space="preserve">אומר </w:t>
      </w:r>
      <w:r w:rsidR="00F23370" w:rsidRPr="008C644E">
        <w:rPr>
          <w:rFonts w:hint="cs"/>
          <w:sz w:val="22"/>
          <w:szCs w:val="22"/>
          <w:rtl/>
        </w:rPr>
        <w:t>'</w:t>
      </w:r>
      <w:r w:rsidRPr="008C644E">
        <w:rPr>
          <w:rFonts w:hint="cs"/>
          <w:sz w:val="22"/>
          <w:szCs w:val="22"/>
          <w:rtl/>
        </w:rPr>
        <w:t xml:space="preserve">טלי </w:t>
      </w:r>
      <w:proofErr w:type="spellStart"/>
      <w:r w:rsidRPr="008C644E">
        <w:rPr>
          <w:rFonts w:hint="cs"/>
          <w:sz w:val="22"/>
          <w:szCs w:val="22"/>
          <w:rtl/>
        </w:rPr>
        <w:t>גיטך</w:t>
      </w:r>
      <w:proofErr w:type="spellEnd"/>
      <w:r w:rsidRPr="008C644E">
        <w:rPr>
          <w:rFonts w:hint="cs"/>
          <w:sz w:val="22"/>
          <w:szCs w:val="22"/>
          <w:rtl/>
        </w:rPr>
        <w:t xml:space="preserve"> מעל גבי קרקע</w:t>
      </w:r>
      <w:r w:rsidR="00F23370" w:rsidRPr="008C644E">
        <w:rPr>
          <w:rFonts w:hint="cs"/>
          <w:sz w:val="22"/>
          <w:szCs w:val="22"/>
          <w:rtl/>
        </w:rPr>
        <w:t>'</w:t>
      </w:r>
      <w:r w:rsidRPr="008C644E">
        <w:rPr>
          <w:rStyle w:val="FootnoteReference"/>
          <w:sz w:val="22"/>
          <w:szCs w:val="22"/>
          <w:rtl/>
        </w:rPr>
        <w:footnoteReference w:id="4"/>
      </w:r>
      <w:r w:rsidRPr="008C644E">
        <w:rPr>
          <w:rFonts w:hint="cs"/>
          <w:sz w:val="22"/>
          <w:szCs w:val="22"/>
          <w:rtl/>
        </w:rPr>
        <w:t xml:space="preserve"> אינה מגורשת. בקידושין לעומת זאת</w:t>
      </w:r>
      <w:r w:rsidR="00F23370" w:rsidRPr="008C644E">
        <w:rPr>
          <w:rFonts w:hint="cs"/>
          <w:sz w:val="22"/>
          <w:szCs w:val="22"/>
          <w:rtl/>
        </w:rPr>
        <w:t>,</w:t>
      </w:r>
      <w:r w:rsidRPr="008C644E">
        <w:rPr>
          <w:rFonts w:hint="cs"/>
          <w:sz w:val="22"/>
          <w:szCs w:val="22"/>
          <w:rtl/>
        </w:rPr>
        <w:t xml:space="preserve"> יש</w:t>
      </w:r>
      <w:r w:rsidR="00F23370" w:rsidRPr="008C644E">
        <w:rPr>
          <w:rFonts w:hint="cs"/>
          <w:sz w:val="22"/>
          <w:szCs w:val="22"/>
          <w:rtl/>
        </w:rPr>
        <w:t>נם</w:t>
      </w:r>
      <w:r w:rsidRPr="008C644E">
        <w:rPr>
          <w:rFonts w:hint="cs"/>
          <w:sz w:val="22"/>
          <w:szCs w:val="22"/>
          <w:rtl/>
        </w:rPr>
        <w:t xml:space="preserve"> אחרונים הסבורים כי האומר לאישה טלי קידושיך מעל גבי קרקע </w:t>
      </w:r>
      <w:r w:rsidR="00F23370" w:rsidRPr="008C644E">
        <w:rPr>
          <w:rFonts w:hint="cs"/>
          <w:sz w:val="22"/>
          <w:szCs w:val="22"/>
          <w:rtl/>
        </w:rPr>
        <w:t xml:space="preserve">הרי היא </w:t>
      </w:r>
      <w:r w:rsidRPr="008C644E">
        <w:rPr>
          <w:rFonts w:hint="cs"/>
          <w:sz w:val="22"/>
          <w:szCs w:val="22"/>
          <w:rtl/>
        </w:rPr>
        <w:t>מקודשת</w:t>
      </w:r>
      <w:r w:rsidR="00F23370" w:rsidRPr="008C644E">
        <w:rPr>
          <w:rFonts w:hint="cs"/>
          <w:sz w:val="22"/>
          <w:szCs w:val="22"/>
          <w:rtl/>
        </w:rPr>
        <w:t>.</w:t>
      </w:r>
      <w:r w:rsidRPr="008C644E">
        <w:rPr>
          <w:rStyle w:val="FootnoteReference"/>
          <w:sz w:val="22"/>
          <w:szCs w:val="22"/>
          <w:rtl/>
        </w:rPr>
        <w:footnoteReference w:id="5"/>
      </w:r>
      <w:r w:rsidRPr="008C644E">
        <w:rPr>
          <w:rFonts w:hint="cs"/>
          <w:sz w:val="22"/>
          <w:szCs w:val="22"/>
          <w:rtl/>
        </w:rPr>
        <w:t xml:space="preserve"> מכאן</w:t>
      </w:r>
      <w:r w:rsidR="00F23370" w:rsidRPr="008C644E">
        <w:rPr>
          <w:rFonts w:hint="cs"/>
          <w:sz w:val="22"/>
          <w:szCs w:val="22"/>
          <w:rtl/>
        </w:rPr>
        <w:t>,</w:t>
      </w:r>
      <w:r w:rsidRPr="008C644E">
        <w:rPr>
          <w:rFonts w:hint="cs"/>
          <w:sz w:val="22"/>
          <w:szCs w:val="22"/>
          <w:rtl/>
        </w:rPr>
        <w:t xml:space="preserve"> היו אחרונים שהבינו כי לפעולת הקידושין לא נדרש 'שליח אנושי' שלגבי</w:t>
      </w:r>
      <w:r w:rsidR="00F23370" w:rsidRPr="008C644E">
        <w:rPr>
          <w:rFonts w:hint="cs"/>
          <w:sz w:val="22"/>
          <w:szCs w:val="22"/>
          <w:rtl/>
        </w:rPr>
        <w:t>ו</w:t>
      </w:r>
      <w:r w:rsidRPr="008C644E">
        <w:rPr>
          <w:rFonts w:hint="cs"/>
          <w:sz w:val="22"/>
          <w:szCs w:val="22"/>
          <w:rtl/>
        </w:rPr>
        <w:t xml:space="preserve"> התחדש הדין של של</w:t>
      </w:r>
      <w:r w:rsidR="00F23370" w:rsidRPr="008C644E">
        <w:rPr>
          <w:rFonts w:hint="cs"/>
          <w:sz w:val="22"/>
          <w:szCs w:val="22"/>
          <w:rtl/>
        </w:rPr>
        <w:t>ו</w:t>
      </w:r>
      <w:r w:rsidRPr="008C644E">
        <w:rPr>
          <w:rFonts w:hint="cs"/>
          <w:sz w:val="22"/>
          <w:szCs w:val="22"/>
          <w:rtl/>
        </w:rPr>
        <w:t xml:space="preserve">חו של אדם כמותו, אלא גם קוף יכול להביא לאישה את הקידושין ולגרום </w:t>
      </w:r>
      <w:r w:rsidR="007B506A" w:rsidRPr="008C644E">
        <w:rPr>
          <w:rFonts w:hint="cs"/>
          <w:sz w:val="22"/>
          <w:szCs w:val="22"/>
          <w:rtl/>
        </w:rPr>
        <w:t>לקידושיה</w:t>
      </w:r>
      <w:r w:rsidRPr="008C644E">
        <w:rPr>
          <w:rFonts w:hint="cs"/>
          <w:sz w:val="22"/>
          <w:szCs w:val="22"/>
          <w:rtl/>
        </w:rPr>
        <w:t xml:space="preserve">. </w:t>
      </w:r>
      <w:r w:rsidR="007B506A" w:rsidRPr="008C644E">
        <w:rPr>
          <w:rFonts w:hint="cs"/>
          <w:sz w:val="22"/>
          <w:szCs w:val="22"/>
          <w:rtl/>
        </w:rPr>
        <w:t xml:space="preserve">כפי שנראה בהמשך, לדעה זו הלימוד מן הפסוק נצרך רק בשביל לרבות 'שליחות מהותית' לקידושין, כמו במקרה בו הבעל שולח שליח לקדש לו אישה, מבלי להצביע על מישהי קונקרטית. </w:t>
      </w:r>
      <w:r w:rsidRPr="008C644E">
        <w:rPr>
          <w:rFonts w:hint="cs"/>
          <w:sz w:val="22"/>
          <w:szCs w:val="22"/>
          <w:rtl/>
        </w:rPr>
        <w:t>במילים אחרות נאמר כי 'שלוחו של אדם כמותו' רק כאשר השליח מבצע מעשה מהותי ולא מעשה טכני שהוא בבחינת מעשה קוף. לפני שנענה על שאלה זו, נדון בנקודה נוספת המהותית לעניין זה.</w:t>
      </w:r>
    </w:p>
    <w:p w14:paraId="301BB630" w14:textId="6190613F" w:rsidR="00285CB1" w:rsidRPr="008C644E" w:rsidRDefault="00285CB1" w:rsidP="007B506A">
      <w:pPr>
        <w:spacing w:line="276" w:lineRule="auto"/>
        <w:rPr>
          <w:sz w:val="22"/>
          <w:szCs w:val="22"/>
          <w:rtl/>
        </w:rPr>
      </w:pPr>
      <w:r w:rsidRPr="008C644E">
        <w:rPr>
          <w:rFonts w:hint="cs"/>
          <w:sz w:val="22"/>
          <w:szCs w:val="22"/>
          <w:rtl/>
        </w:rPr>
        <w:t xml:space="preserve">מה דינו של אדם ששולח שליח </w:t>
      </w:r>
      <w:r w:rsidR="00660428" w:rsidRPr="008C644E">
        <w:rPr>
          <w:rFonts w:hint="cs"/>
          <w:sz w:val="22"/>
          <w:szCs w:val="22"/>
          <w:rtl/>
        </w:rPr>
        <w:t xml:space="preserve">לקדש </w:t>
      </w:r>
      <w:proofErr w:type="spellStart"/>
      <w:r w:rsidRPr="008C644E">
        <w:rPr>
          <w:rFonts w:hint="cs"/>
          <w:sz w:val="22"/>
          <w:szCs w:val="22"/>
          <w:rtl/>
        </w:rPr>
        <w:t>אשה</w:t>
      </w:r>
      <w:proofErr w:type="spellEnd"/>
      <w:r w:rsidRPr="008C644E">
        <w:rPr>
          <w:rFonts w:hint="cs"/>
          <w:sz w:val="22"/>
          <w:szCs w:val="22"/>
          <w:rtl/>
        </w:rPr>
        <w:t xml:space="preserve"> מבלי לציין מי האישה</w:t>
      </w:r>
      <w:r w:rsidR="00660428" w:rsidRPr="008C644E">
        <w:rPr>
          <w:rFonts w:hint="cs"/>
          <w:sz w:val="22"/>
          <w:szCs w:val="22"/>
          <w:rtl/>
        </w:rPr>
        <w:t>.</w:t>
      </w:r>
      <w:r w:rsidRPr="008C644E">
        <w:rPr>
          <w:rFonts w:hint="cs"/>
          <w:sz w:val="22"/>
          <w:szCs w:val="22"/>
          <w:rtl/>
        </w:rPr>
        <w:t xml:space="preserve"> במקרה זה שליחותו של השליח איננה שליחות טכנית אלא מהותית, </w:t>
      </w:r>
      <w:r w:rsidR="00660428" w:rsidRPr="008C644E">
        <w:rPr>
          <w:rFonts w:hint="cs"/>
          <w:sz w:val="22"/>
          <w:szCs w:val="22"/>
          <w:rtl/>
        </w:rPr>
        <w:t xml:space="preserve">שכן </w:t>
      </w:r>
      <w:r w:rsidRPr="008C644E">
        <w:rPr>
          <w:rFonts w:hint="cs"/>
          <w:sz w:val="22"/>
          <w:szCs w:val="22"/>
          <w:rtl/>
        </w:rPr>
        <w:t xml:space="preserve">רק </w:t>
      </w:r>
      <w:proofErr w:type="spellStart"/>
      <w:r w:rsidRPr="008C644E">
        <w:rPr>
          <w:rFonts w:hint="cs"/>
          <w:sz w:val="22"/>
          <w:szCs w:val="22"/>
          <w:rtl/>
        </w:rPr>
        <w:t>מכח</w:t>
      </w:r>
      <w:proofErr w:type="spellEnd"/>
      <w:r w:rsidRPr="008C644E">
        <w:rPr>
          <w:rFonts w:hint="cs"/>
          <w:sz w:val="22"/>
          <w:szCs w:val="22"/>
          <w:rtl/>
        </w:rPr>
        <w:t xml:space="preserve"> הדין של של</w:t>
      </w:r>
      <w:r w:rsidR="00660428" w:rsidRPr="008C644E">
        <w:rPr>
          <w:rFonts w:hint="cs"/>
          <w:sz w:val="22"/>
          <w:szCs w:val="22"/>
          <w:rtl/>
        </w:rPr>
        <w:t>ו</w:t>
      </w:r>
      <w:r w:rsidRPr="008C644E">
        <w:rPr>
          <w:rFonts w:hint="cs"/>
          <w:sz w:val="22"/>
          <w:szCs w:val="22"/>
          <w:rtl/>
        </w:rPr>
        <w:t xml:space="preserve">חו של אדם כמותו יכול השליח לקדש את האישה עבור המשלח. </w:t>
      </w:r>
    </w:p>
    <w:p w14:paraId="32292681" w14:textId="78D2887A" w:rsidR="00285CB1" w:rsidRPr="008C644E" w:rsidRDefault="00285CB1" w:rsidP="00912CE8">
      <w:pPr>
        <w:spacing w:line="276" w:lineRule="auto"/>
        <w:rPr>
          <w:b/>
          <w:bCs/>
          <w:sz w:val="22"/>
          <w:szCs w:val="22"/>
          <w:rtl/>
        </w:rPr>
      </w:pPr>
      <w:r w:rsidRPr="008C644E">
        <w:rPr>
          <w:rFonts w:hint="cs"/>
          <w:b/>
          <w:bCs/>
          <w:sz w:val="22"/>
          <w:szCs w:val="22"/>
          <w:rtl/>
        </w:rPr>
        <w:t>של</w:t>
      </w:r>
      <w:r w:rsidR="00660428" w:rsidRPr="008C644E">
        <w:rPr>
          <w:rFonts w:hint="cs"/>
          <w:b/>
          <w:bCs/>
          <w:sz w:val="22"/>
          <w:szCs w:val="22"/>
          <w:rtl/>
        </w:rPr>
        <w:t>ו</w:t>
      </w:r>
      <w:r w:rsidRPr="008C644E">
        <w:rPr>
          <w:rFonts w:hint="cs"/>
          <w:b/>
          <w:bCs/>
          <w:sz w:val="22"/>
          <w:szCs w:val="22"/>
          <w:rtl/>
        </w:rPr>
        <w:t xml:space="preserve">חו של אדם כמותו </w:t>
      </w:r>
    </w:p>
    <w:p w14:paraId="6FB6FF3F" w14:textId="75F4B277" w:rsidR="00285CB1" w:rsidRPr="008C644E" w:rsidRDefault="00285CB1" w:rsidP="00912CE8">
      <w:pPr>
        <w:spacing w:line="276" w:lineRule="auto"/>
        <w:rPr>
          <w:sz w:val="22"/>
          <w:szCs w:val="22"/>
          <w:rtl/>
        </w:rPr>
      </w:pPr>
      <w:r w:rsidRPr="008C644E">
        <w:rPr>
          <w:rFonts w:hint="cs"/>
          <w:sz w:val="22"/>
          <w:szCs w:val="22"/>
          <w:rtl/>
        </w:rPr>
        <w:t xml:space="preserve">מקור הדין </w:t>
      </w:r>
      <w:r w:rsidR="00660428" w:rsidRPr="008C644E">
        <w:rPr>
          <w:rFonts w:hint="cs"/>
          <w:sz w:val="22"/>
          <w:szCs w:val="22"/>
          <w:rtl/>
        </w:rPr>
        <w:t xml:space="preserve">של שלוחו של אדם כמותו </w:t>
      </w:r>
      <w:r w:rsidRPr="008C644E">
        <w:rPr>
          <w:rFonts w:hint="cs"/>
          <w:sz w:val="22"/>
          <w:szCs w:val="22"/>
          <w:rtl/>
        </w:rPr>
        <w:t>הוא מפרשיית שחיטת פסח</w:t>
      </w:r>
      <w:r w:rsidR="00660428" w:rsidRPr="008C644E">
        <w:rPr>
          <w:rFonts w:hint="cs"/>
          <w:sz w:val="22"/>
          <w:szCs w:val="22"/>
          <w:rtl/>
        </w:rPr>
        <w:t>.</w:t>
      </w:r>
      <w:r w:rsidRPr="008C644E">
        <w:rPr>
          <w:rFonts w:hint="cs"/>
          <w:sz w:val="22"/>
          <w:szCs w:val="22"/>
          <w:rtl/>
        </w:rPr>
        <w:t xml:space="preserve"> בפסוקים העוסקים במצוות הפסח נאמר 'ושחטו אותו כל עדת ישראל' את פסוק זה דרשו חכמים</w:t>
      </w:r>
      <w:r w:rsidR="00660428" w:rsidRPr="008C644E">
        <w:rPr>
          <w:rFonts w:hint="cs"/>
          <w:sz w:val="22"/>
          <w:szCs w:val="22"/>
          <w:rtl/>
        </w:rPr>
        <w:t xml:space="preserve"> </w:t>
      </w:r>
      <w:r w:rsidR="00660428" w:rsidRPr="008C644E">
        <w:rPr>
          <w:sz w:val="22"/>
          <w:szCs w:val="22"/>
          <w:rtl/>
        </w:rPr>
        <w:t>–</w:t>
      </w:r>
      <w:r w:rsidR="00660428" w:rsidRPr="008C644E">
        <w:rPr>
          <w:rFonts w:hint="cs"/>
          <w:sz w:val="22"/>
          <w:szCs w:val="22"/>
          <w:rtl/>
        </w:rPr>
        <w:t xml:space="preserve"> </w:t>
      </w:r>
      <w:r w:rsidRPr="008C644E">
        <w:rPr>
          <w:rFonts w:hint="cs"/>
          <w:sz w:val="22"/>
          <w:szCs w:val="22"/>
          <w:rtl/>
        </w:rPr>
        <w:t xml:space="preserve">וכי כל עדת ישראל שוחטים ? אלא שאחד שוחט בשביל </w:t>
      </w:r>
      <w:r w:rsidRPr="008C644E">
        <w:rPr>
          <w:rFonts w:hint="cs"/>
          <w:sz w:val="22"/>
          <w:szCs w:val="22"/>
          <w:rtl/>
        </w:rPr>
        <w:lastRenderedPageBreak/>
        <w:t xml:space="preserve">כולם ומכאן נלמד כי שלוחו של אדם כמותו. </w:t>
      </w:r>
      <w:proofErr w:type="spellStart"/>
      <w:r w:rsidRPr="008C644E">
        <w:rPr>
          <w:rFonts w:hint="cs"/>
          <w:sz w:val="22"/>
          <w:szCs w:val="22"/>
          <w:rtl/>
        </w:rPr>
        <w:t>הרש"ר</w:t>
      </w:r>
      <w:proofErr w:type="spellEnd"/>
      <w:r w:rsidRPr="008C644E">
        <w:rPr>
          <w:rFonts w:hint="cs"/>
          <w:sz w:val="22"/>
          <w:szCs w:val="22"/>
          <w:rtl/>
        </w:rPr>
        <w:t xml:space="preserve"> הירש בפירושו לתורה רואה את רגע זה בו </w:t>
      </w:r>
      <w:proofErr w:type="spellStart"/>
      <w:r w:rsidRPr="008C644E">
        <w:rPr>
          <w:rFonts w:hint="cs"/>
          <w:sz w:val="22"/>
          <w:szCs w:val="22"/>
          <w:rtl/>
        </w:rPr>
        <w:t>נצטוו</w:t>
      </w:r>
      <w:proofErr w:type="spellEnd"/>
      <w:r w:rsidRPr="008C644E">
        <w:rPr>
          <w:rFonts w:hint="cs"/>
          <w:sz w:val="22"/>
          <w:szCs w:val="22"/>
          <w:rtl/>
        </w:rPr>
        <w:t xml:space="preserve"> ישראל על שחיטת הפסח כאיש אחד כרגע מכונן בחיי האומה:</w:t>
      </w:r>
    </w:p>
    <w:p w14:paraId="5A6B12AA" w14:textId="77777777" w:rsidR="00285CB1" w:rsidRPr="008C644E" w:rsidRDefault="00285CB1" w:rsidP="00912CE8">
      <w:pPr>
        <w:pStyle w:val="ListParagraph"/>
        <w:jc w:val="both"/>
        <w:rPr>
          <w:rFonts w:asciiTheme="minorBidi" w:hAnsiTheme="minorBidi"/>
          <w:rtl/>
        </w:rPr>
      </w:pPr>
      <w:r w:rsidRPr="008C644E">
        <w:rPr>
          <w:rFonts w:asciiTheme="minorBidi" w:hAnsiTheme="minorBidi"/>
          <w:rtl/>
        </w:rPr>
        <w:t>כבר הערנו לעיל (</w:t>
      </w:r>
      <w:proofErr w:type="spellStart"/>
      <w:r w:rsidRPr="008C644E">
        <w:rPr>
          <w:rFonts w:asciiTheme="minorBidi" w:hAnsiTheme="minorBidi"/>
          <w:rtl/>
        </w:rPr>
        <w:t>יב</w:t>
      </w:r>
      <w:proofErr w:type="spellEnd"/>
      <w:r w:rsidRPr="008C644E">
        <w:rPr>
          <w:rFonts w:asciiTheme="minorBidi" w:hAnsiTheme="minorBidi"/>
          <w:rtl/>
        </w:rPr>
        <w:t xml:space="preserve">, ג - ו), כי מיד עם כינון הגוף הלאומי הישראלי הונהג בקרבן פסח הכלל של "שלוחו של אדם כמותו". כלל זה נובע מתוך עקרון האחדות והשוויון לפני ה', ועל פיו יכול אדם לעשות שליח לביצוע מעשים שבתחום עבודת ה' ובתחום המשפט האזרחי. (מובן מאליו, שהכלל הזה אמור רק לגבי פעולות שיש לבצען מבחינה אובייקטיבית, ולא לגבי דברים המוטלים על האדם גופו לעשותם מבחינה סובייקטיבית. למשל: יכול אדם לעשות שליח שיקריב עבורו את קרבן הפסח, ופעולה זו הנעשית בבהמה תיחשב כפעולת השולח לכל דבר; אולם אין אדם יכול לעשות שליח שיאכל מן הקרבן בשליחותו ובמקומו, או שיניח תפילין על גופו בשליחותו ובשבילו, וכיוצא באלה. את הפעולה אפשר לזקוף לחשבון השולח, ואילו האדם שהפעולה נעשית בגופו, אינו יכול להעביר את זהותו לאחר, והרי זה כאילו הניח השולח את התפילין על ידו ועל ראשו של השליח. מכל מקום, ידו שלו וראשו שלו נשארו בלי תפילין, וכן כיוצא בזה. ועי' קצות - החושן, חושן - משפט סי' </w:t>
      </w:r>
      <w:proofErr w:type="spellStart"/>
      <w:r w:rsidRPr="008C644E">
        <w:rPr>
          <w:rFonts w:asciiTheme="minorBidi" w:hAnsiTheme="minorBidi"/>
          <w:rtl/>
        </w:rPr>
        <w:t>קפב</w:t>
      </w:r>
      <w:proofErr w:type="spellEnd"/>
      <w:r w:rsidRPr="008C644E">
        <w:rPr>
          <w:rFonts w:asciiTheme="minorBidi" w:hAnsiTheme="minorBidi"/>
          <w:rtl/>
        </w:rPr>
        <w:t>).</w:t>
      </w:r>
    </w:p>
    <w:p w14:paraId="58B7EA7C" w14:textId="0CDCF818" w:rsidR="00285CB1" w:rsidRPr="008C644E" w:rsidRDefault="00285CB1" w:rsidP="00912CE8">
      <w:pPr>
        <w:spacing w:line="276" w:lineRule="auto"/>
        <w:rPr>
          <w:sz w:val="22"/>
          <w:szCs w:val="22"/>
          <w:rtl/>
        </w:rPr>
      </w:pPr>
      <w:r w:rsidRPr="008C644E">
        <w:rPr>
          <w:rFonts w:hint="cs"/>
          <w:sz w:val="22"/>
          <w:szCs w:val="22"/>
          <w:rtl/>
        </w:rPr>
        <w:t>קורבן הפסח הראשון אשר הקריבו ישראל הוא שלב מכונן בהתפתחות אומתנו</w:t>
      </w:r>
      <w:r w:rsidR="00660428" w:rsidRPr="008C644E">
        <w:rPr>
          <w:rFonts w:hint="cs"/>
          <w:sz w:val="22"/>
          <w:szCs w:val="22"/>
          <w:rtl/>
        </w:rPr>
        <w:t>.</w:t>
      </w:r>
      <w:r w:rsidRPr="008C644E">
        <w:rPr>
          <w:rFonts w:hint="cs"/>
          <w:sz w:val="22"/>
          <w:szCs w:val="22"/>
          <w:rtl/>
        </w:rPr>
        <w:t xml:space="preserve"> לאחר שנים רבות בהם המונח ישראל היה שיקוף של קבוצת פרטים עם זהות משותפת, עתה הופכים עם ישראל</w:t>
      </w:r>
      <w:r w:rsidR="00660428" w:rsidRPr="008C644E">
        <w:rPr>
          <w:rFonts w:hint="cs"/>
          <w:sz w:val="22"/>
          <w:szCs w:val="22"/>
          <w:rtl/>
        </w:rPr>
        <w:t xml:space="preserve"> להיות</w:t>
      </w:r>
      <w:r w:rsidRPr="008C644E">
        <w:rPr>
          <w:rFonts w:hint="cs"/>
          <w:sz w:val="22"/>
          <w:szCs w:val="22"/>
          <w:rtl/>
        </w:rPr>
        <w:t xml:space="preserve"> גוף אחד, </w:t>
      </w:r>
      <w:r w:rsidR="00660428" w:rsidRPr="008C644E">
        <w:rPr>
          <w:rFonts w:hint="cs"/>
          <w:sz w:val="22"/>
          <w:szCs w:val="22"/>
          <w:rtl/>
        </w:rPr>
        <w:t>ל</w:t>
      </w:r>
      <w:r w:rsidRPr="008C644E">
        <w:rPr>
          <w:rFonts w:hint="cs"/>
          <w:sz w:val="22"/>
          <w:szCs w:val="22"/>
          <w:rtl/>
        </w:rPr>
        <w:t>דבר</w:t>
      </w:r>
      <w:r w:rsidR="00660428" w:rsidRPr="008C644E">
        <w:rPr>
          <w:rFonts w:hint="cs"/>
          <w:sz w:val="22"/>
          <w:szCs w:val="22"/>
          <w:rtl/>
        </w:rPr>
        <w:t xml:space="preserve"> זה</w:t>
      </w:r>
      <w:r w:rsidRPr="008C644E">
        <w:rPr>
          <w:rFonts w:hint="cs"/>
          <w:sz w:val="22"/>
          <w:szCs w:val="22"/>
          <w:rtl/>
        </w:rPr>
        <w:t xml:space="preserve"> שיש השפעה בתחום הרוחני והמשפטי </w:t>
      </w:r>
      <w:r w:rsidRPr="008C644E">
        <w:rPr>
          <w:sz w:val="22"/>
          <w:szCs w:val="22"/>
          <w:rtl/>
        </w:rPr>
        <w:t>–</w:t>
      </w:r>
      <w:r w:rsidRPr="008C644E">
        <w:rPr>
          <w:rFonts w:hint="cs"/>
          <w:sz w:val="22"/>
          <w:szCs w:val="22"/>
          <w:rtl/>
        </w:rPr>
        <w:t xml:space="preserve"> מעתה </w:t>
      </w:r>
      <w:r w:rsidR="00660428" w:rsidRPr="008C644E">
        <w:rPr>
          <w:rFonts w:hint="cs"/>
          <w:sz w:val="22"/>
          <w:szCs w:val="22"/>
          <w:rtl/>
        </w:rPr>
        <w:t>שלוחו</w:t>
      </w:r>
      <w:r w:rsidRPr="008C644E">
        <w:rPr>
          <w:rFonts w:hint="cs"/>
          <w:sz w:val="22"/>
          <w:szCs w:val="22"/>
          <w:rtl/>
        </w:rPr>
        <w:t xml:space="preserve"> של אדם כמותו. כל אחד יכול לפעול עבור חברו את אות</w:t>
      </w:r>
      <w:r w:rsidR="00660428" w:rsidRPr="008C644E">
        <w:rPr>
          <w:rFonts w:hint="cs"/>
          <w:sz w:val="22"/>
          <w:szCs w:val="22"/>
          <w:rtl/>
        </w:rPr>
        <w:t>ן</w:t>
      </w:r>
      <w:r w:rsidRPr="008C644E">
        <w:rPr>
          <w:rFonts w:hint="cs"/>
          <w:sz w:val="22"/>
          <w:szCs w:val="22"/>
          <w:rtl/>
        </w:rPr>
        <w:t xml:space="preserve"> </w:t>
      </w:r>
      <w:r w:rsidR="00660428" w:rsidRPr="008C644E">
        <w:rPr>
          <w:rFonts w:hint="cs"/>
          <w:sz w:val="22"/>
          <w:szCs w:val="22"/>
          <w:rtl/>
        </w:rPr>
        <w:t>ה</w:t>
      </w:r>
      <w:r w:rsidRPr="008C644E">
        <w:rPr>
          <w:rFonts w:hint="cs"/>
          <w:sz w:val="22"/>
          <w:szCs w:val="22"/>
          <w:rtl/>
        </w:rPr>
        <w:t>פעולות בהם הוא נתחייב באופן 'אובייקטיבי'</w:t>
      </w:r>
      <w:r w:rsidR="00660428" w:rsidRPr="008C644E">
        <w:rPr>
          <w:rFonts w:hint="cs"/>
          <w:sz w:val="22"/>
          <w:szCs w:val="22"/>
          <w:rtl/>
        </w:rPr>
        <w:t>,</w:t>
      </w:r>
      <w:r w:rsidRPr="008C644E">
        <w:rPr>
          <w:rFonts w:hint="cs"/>
          <w:sz w:val="22"/>
          <w:szCs w:val="22"/>
          <w:rtl/>
        </w:rPr>
        <w:t xml:space="preserve"> כלומר כל הפעולות שאינם חובות אישיות על גופו של האדם. לדוגמה בתחום הרוחני אדם יכול לשחוט עבור חברו את הבשר אבל אין הוא יכול להניח עבורו תפילין משום שחובת הנחת התפילין היא אישית על גופו של האדם</w:t>
      </w:r>
      <w:r w:rsidR="00660428" w:rsidRPr="008C644E">
        <w:rPr>
          <w:rFonts w:hint="cs"/>
          <w:sz w:val="22"/>
          <w:szCs w:val="22"/>
          <w:rtl/>
        </w:rPr>
        <w:t>.</w:t>
      </w:r>
      <w:r w:rsidRPr="008C644E">
        <w:rPr>
          <w:rStyle w:val="FootnoteReference"/>
          <w:sz w:val="22"/>
          <w:szCs w:val="22"/>
          <w:rtl/>
        </w:rPr>
        <w:footnoteReference w:id="6"/>
      </w:r>
    </w:p>
    <w:p w14:paraId="22AB7203" w14:textId="5482E732" w:rsidR="00285CB1" w:rsidRPr="008C644E" w:rsidRDefault="00285CB1" w:rsidP="00912CE8">
      <w:pPr>
        <w:spacing w:line="276" w:lineRule="auto"/>
        <w:rPr>
          <w:sz w:val="22"/>
          <w:szCs w:val="22"/>
          <w:rtl/>
        </w:rPr>
      </w:pPr>
      <w:r w:rsidRPr="008C644E">
        <w:rPr>
          <w:rFonts w:hint="cs"/>
          <w:sz w:val="22"/>
          <w:szCs w:val="22"/>
          <w:rtl/>
        </w:rPr>
        <w:t>בקידושי אישה</w:t>
      </w:r>
      <w:r w:rsidR="007B506A" w:rsidRPr="008C644E">
        <w:rPr>
          <w:rFonts w:hint="cs"/>
          <w:sz w:val="22"/>
          <w:szCs w:val="22"/>
          <w:rtl/>
        </w:rPr>
        <w:t>,</w:t>
      </w:r>
      <w:r w:rsidRPr="008C644E">
        <w:rPr>
          <w:rFonts w:hint="cs"/>
          <w:sz w:val="22"/>
          <w:szCs w:val="22"/>
          <w:rtl/>
        </w:rPr>
        <w:t xml:space="preserve"> מהותה של פעולת הקידושין היא מיסוד החיים הזוגיים בצורה משפטית</w:t>
      </w:r>
      <w:r w:rsidR="00660428" w:rsidRPr="008C644E">
        <w:rPr>
          <w:rFonts w:hint="cs"/>
          <w:sz w:val="22"/>
          <w:szCs w:val="22"/>
          <w:rtl/>
        </w:rPr>
        <w:t>.</w:t>
      </w:r>
      <w:r w:rsidRPr="008C644E">
        <w:rPr>
          <w:rFonts w:hint="cs"/>
          <w:sz w:val="22"/>
          <w:szCs w:val="22"/>
          <w:rtl/>
        </w:rPr>
        <w:t xml:space="preserve"> </w:t>
      </w:r>
      <w:r w:rsidR="00725FE6" w:rsidRPr="008C644E">
        <w:rPr>
          <w:rFonts w:hint="cs"/>
          <w:sz w:val="22"/>
          <w:szCs w:val="22"/>
          <w:rtl/>
        </w:rPr>
        <w:t xml:space="preserve">כיוון שאנו עוסקים בפעולה משפטית ולא פיזית, ממילא מובן שאדם יכול לקדש על ידי שליח. </w:t>
      </w:r>
      <w:r w:rsidRPr="008C644E">
        <w:rPr>
          <w:rFonts w:hint="cs"/>
          <w:sz w:val="22"/>
          <w:szCs w:val="22"/>
          <w:rtl/>
        </w:rPr>
        <w:t>יתרה מזו</w:t>
      </w:r>
      <w:r w:rsidR="00725FE6" w:rsidRPr="008C644E">
        <w:rPr>
          <w:rFonts w:hint="cs"/>
          <w:sz w:val="22"/>
          <w:szCs w:val="22"/>
          <w:rtl/>
        </w:rPr>
        <w:t xml:space="preserve"> </w:t>
      </w:r>
      <w:r w:rsidR="00725FE6" w:rsidRPr="008C644E">
        <w:rPr>
          <w:sz w:val="22"/>
          <w:szCs w:val="22"/>
          <w:rtl/>
        </w:rPr>
        <w:t>–</w:t>
      </w:r>
      <w:r w:rsidRPr="008C644E">
        <w:rPr>
          <w:rFonts w:hint="cs"/>
          <w:sz w:val="22"/>
          <w:szCs w:val="22"/>
          <w:rtl/>
        </w:rPr>
        <w:t xml:space="preserve"> הפרשנים מעלים אפשרות </w:t>
      </w:r>
      <w:r w:rsidR="00725FE6" w:rsidRPr="008C644E">
        <w:rPr>
          <w:rFonts w:hint="cs"/>
          <w:sz w:val="22"/>
          <w:szCs w:val="22"/>
          <w:rtl/>
        </w:rPr>
        <w:t xml:space="preserve">לפיה </w:t>
      </w:r>
      <w:r w:rsidRPr="008C644E">
        <w:rPr>
          <w:rFonts w:hint="cs"/>
          <w:sz w:val="22"/>
          <w:szCs w:val="22"/>
          <w:rtl/>
        </w:rPr>
        <w:t>השליח יכול לקדש לאדם אישה ע"פ שיקול דעתו. לאמור</w:t>
      </w:r>
      <w:r w:rsidR="00725FE6" w:rsidRPr="008C644E">
        <w:rPr>
          <w:rFonts w:hint="cs"/>
          <w:sz w:val="22"/>
          <w:szCs w:val="22"/>
          <w:rtl/>
        </w:rPr>
        <w:t xml:space="preserve"> </w:t>
      </w:r>
      <w:r w:rsidR="00725FE6" w:rsidRPr="008C644E">
        <w:rPr>
          <w:sz w:val="22"/>
          <w:szCs w:val="22"/>
          <w:rtl/>
        </w:rPr>
        <w:t>–</w:t>
      </w:r>
      <w:r w:rsidRPr="008C644E">
        <w:rPr>
          <w:rFonts w:hint="cs"/>
          <w:sz w:val="22"/>
          <w:szCs w:val="22"/>
          <w:rtl/>
        </w:rPr>
        <w:t xml:space="preserve"> אם אדם אמר לשליח </w:t>
      </w:r>
      <w:r w:rsidR="00725FE6" w:rsidRPr="008C644E">
        <w:rPr>
          <w:rFonts w:hint="cs"/>
          <w:sz w:val="22"/>
          <w:szCs w:val="22"/>
          <w:rtl/>
        </w:rPr>
        <w:t>לקדש לו</w:t>
      </w:r>
      <w:r w:rsidRPr="008C644E">
        <w:rPr>
          <w:rFonts w:hint="cs"/>
          <w:sz w:val="22"/>
          <w:szCs w:val="22"/>
          <w:rtl/>
        </w:rPr>
        <w:t xml:space="preserve"> אישה 'סתם'</w:t>
      </w:r>
      <w:r w:rsidR="00725FE6" w:rsidRPr="008C644E">
        <w:rPr>
          <w:rFonts w:hint="cs"/>
          <w:sz w:val="22"/>
          <w:szCs w:val="22"/>
          <w:rtl/>
        </w:rPr>
        <w:t xml:space="preserve"> </w:t>
      </w:r>
      <w:r w:rsidR="00725FE6" w:rsidRPr="008C644E">
        <w:rPr>
          <w:sz w:val="22"/>
          <w:szCs w:val="22"/>
          <w:rtl/>
        </w:rPr>
        <w:t>–</w:t>
      </w:r>
      <w:r w:rsidRPr="008C644E">
        <w:rPr>
          <w:rFonts w:hint="cs"/>
          <w:sz w:val="22"/>
          <w:szCs w:val="22"/>
          <w:rtl/>
        </w:rPr>
        <w:t xml:space="preserve"> הקידושין תופסים, שכן שלוחו של אדם כמותו. </w:t>
      </w:r>
      <w:r w:rsidR="00730424" w:rsidRPr="008C644E">
        <w:rPr>
          <w:rFonts w:hint="cs"/>
          <w:sz w:val="22"/>
          <w:szCs w:val="22"/>
          <w:rtl/>
        </w:rPr>
        <w:t>אם נחזור לנושא</w:t>
      </w:r>
      <w:r w:rsidRPr="008C644E">
        <w:rPr>
          <w:rFonts w:hint="cs"/>
          <w:sz w:val="22"/>
          <w:szCs w:val="22"/>
          <w:rtl/>
        </w:rPr>
        <w:t xml:space="preserve"> השליחות</w:t>
      </w:r>
      <w:r w:rsidR="00730424" w:rsidRPr="008C644E">
        <w:rPr>
          <w:rFonts w:hint="cs"/>
          <w:sz w:val="22"/>
          <w:szCs w:val="22"/>
          <w:rtl/>
        </w:rPr>
        <w:t xml:space="preserve"> </w:t>
      </w:r>
      <w:r w:rsidR="00730424" w:rsidRPr="008C644E">
        <w:rPr>
          <w:sz w:val="22"/>
          <w:szCs w:val="22"/>
          <w:rtl/>
        </w:rPr>
        <w:t>–</w:t>
      </w:r>
      <w:r w:rsidR="00730424" w:rsidRPr="008C644E">
        <w:rPr>
          <w:rFonts w:hint="cs"/>
          <w:sz w:val="22"/>
          <w:szCs w:val="22"/>
          <w:rtl/>
        </w:rPr>
        <w:t xml:space="preserve"> </w:t>
      </w:r>
      <w:r w:rsidRPr="008C644E">
        <w:rPr>
          <w:rFonts w:hint="cs"/>
          <w:sz w:val="22"/>
          <w:szCs w:val="22"/>
          <w:rtl/>
        </w:rPr>
        <w:t xml:space="preserve">במידה ואדם </w:t>
      </w:r>
      <w:r w:rsidR="00730424" w:rsidRPr="008C644E">
        <w:rPr>
          <w:rFonts w:hint="cs"/>
          <w:sz w:val="22"/>
          <w:szCs w:val="22"/>
          <w:rtl/>
        </w:rPr>
        <w:t>נו</w:t>
      </w:r>
      <w:r w:rsidRPr="008C644E">
        <w:rPr>
          <w:rFonts w:hint="cs"/>
          <w:sz w:val="22"/>
          <w:szCs w:val="22"/>
          <w:rtl/>
        </w:rPr>
        <w:t>תן לשליחו את הסמכות לקדש לו אישה מבלי לציין מ</w:t>
      </w:r>
      <w:r w:rsidR="00730424" w:rsidRPr="008C644E">
        <w:rPr>
          <w:rFonts w:hint="cs"/>
          <w:sz w:val="22"/>
          <w:szCs w:val="22"/>
          <w:rtl/>
        </w:rPr>
        <w:t xml:space="preserve">י </w:t>
      </w:r>
      <w:r w:rsidRPr="008C644E">
        <w:rPr>
          <w:rFonts w:hint="cs"/>
          <w:sz w:val="22"/>
          <w:szCs w:val="22"/>
          <w:rtl/>
        </w:rPr>
        <w:t>הי</w:t>
      </w:r>
      <w:r w:rsidR="00730424" w:rsidRPr="008C644E">
        <w:rPr>
          <w:rFonts w:hint="cs"/>
          <w:sz w:val="22"/>
          <w:szCs w:val="22"/>
          <w:rtl/>
        </w:rPr>
        <w:t>א</w:t>
      </w:r>
      <w:r w:rsidRPr="008C644E">
        <w:rPr>
          <w:rFonts w:hint="cs"/>
          <w:sz w:val="22"/>
          <w:szCs w:val="22"/>
          <w:rtl/>
        </w:rPr>
        <w:t xml:space="preserve"> האישה המיועדת</w:t>
      </w:r>
      <w:r w:rsidR="00730424" w:rsidRPr="008C644E">
        <w:rPr>
          <w:rFonts w:hint="cs"/>
          <w:sz w:val="22"/>
          <w:szCs w:val="22"/>
          <w:rtl/>
        </w:rPr>
        <w:t>,</w:t>
      </w:r>
      <w:r w:rsidRPr="008C644E">
        <w:rPr>
          <w:rFonts w:hint="cs"/>
          <w:sz w:val="22"/>
          <w:szCs w:val="22"/>
          <w:rtl/>
        </w:rPr>
        <w:t xml:space="preserve"> שליחות זו</w:t>
      </w:r>
      <w:r w:rsidR="00730424" w:rsidRPr="008C644E">
        <w:rPr>
          <w:rFonts w:hint="cs"/>
          <w:sz w:val="22"/>
          <w:szCs w:val="22"/>
          <w:rtl/>
        </w:rPr>
        <w:t xml:space="preserve"> </w:t>
      </w:r>
      <w:r w:rsidRPr="008C644E">
        <w:rPr>
          <w:rFonts w:hint="cs"/>
          <w:sz w:val="22"/>
          <w:szCs w:val="22"/>
          <w:rtl/>
        </w:rPr>
        <w:t>אפשרית</w:t>
      </w:r>
      <w:r w:rsidR="00730424" w:rsidRPr="008C644E">
        <w:rPr>
          <w:rFonts w:hint="cs"/>
          <w:sz w:val="22"/>
          <w:szCs w:val="22"/>
          <w:rtl/>
        </w:rPr>
        <w:t xml:space="preserve">, שכן </w:t>
      </w:r>
      <w:r w:rsidRPr="008C644E">
        <w:rPr>
          <w:rFonts w:hint="cs"/>
          <w:sz w:val="22"/>
          <w:szCs w:val="22"/>
          <w:rtl/>
        </w:rPr>
        <w:t xml:space="preserve">כל עם ישראל </w:t>
      </w:r>
      <w:r w:rsidR="00730424" w:rsidRPr="008C644E">
        <w:rPr>
          <w:rFonts w:hint="cs"/>
          <w:sz w:val="22"/>
          <w:szCs w:val="22"/>
          <w:rtl/>
        </w:rPr>
        <w:t>נחשב כ'גוף אחד'</w:t>
      </w:r>
      <w:r w:rsidRPr="008C644E">
        <w:rPr>
          <w:rFonts w:hint="cs"/>
          <w:sz w:val="22"/>
          <w:szCs w:val="22"/>
          <w:rtl/>
        </w:rPr>
        <w:t xml:space="preserve"> אחד</w:t>
      </w:r>
      <w:r w:rsidR="00730424" w:rsidRPr="008C644E">
        <w:rPr>
          <w:rFonts w:hint="cs"/>
          <w:sz w:val="22"/>
          <w:szCs w:val="22"/>
          <w:rtl/>
        </w:rPr>
        <w:t>,</w:t>
      </w:r>
      <w:r w:rsidRPr="008C644E">
        <w:rPr>
          <w:rFonts w:hint="cs"/>
          <w:sz w:val="22"/>
          <w:szCs w:val="22"/>
          <w:rtl/>
        </w:rPr>
        <w:t xml:space="preserve"> ולכן יכול האדם למסור ביד חברו את בחירתו שלו. </w:t>
      </w:r>
      <w:r w:rsidRPr="008C644E">
        <w:rPr>
          <w:rFonts w:hint="cs"/>
          <w:sz w:val="22"/>
          <w:szCs w:val="22"/>
          <w:rtl/>
        </w:rPr>
        <w:lastRenderedPageBreak/>
        <w:t>יש מן האחרונים</w:t>
      </w:r>
      <w:r w:rsidRPr="008C644E">
        <w:rPr>
          <w:rStyle w:val="FootnoteReference"/>
          <w:sz w:val="22"/>
          <w:szCs w:val="22"/>
          <w:rtl/>
        </w:rPr>
        <w:footnoteReference w:id="7"/>
      </w:r>
      <w:r w:rsidRPr="008C644E">
        <w:rPr>
          <w:rFonts w:hint="cs"/>
          <w:sz w:val="22"/>
          <w:szCs w:val="22"/>
          <w:rtl/>
        </w:rPr>
        <w:t xml:space="preserve"> אשר סוברים כי כל דין משנתנו נאמר בסיטואציה זו</w:t>
      </w:r>
      <w:r w:rsidR="004B5991" w:rsidRPr="008C644E">
        <w:rPr>
          <w:rFonts w:hint="cs"/>
          <w:sz w:val="22"/>
          <w:szCs w:val="22"/>
          <w:rtl/>
        </w:rPr>
        <w:t>,</w:t>
      </w:r>
      <w:r w:rsidRPr="008C644E">
        <w:rPr>
          <w:rFonts w:hint="cs"/>
          <w:sz w:val="22"/>
          <w:szCs w:val="22"/>
          <w:rtl/>
        </w:rPr>
        <w:t xml:space="preserve"> בה המשלח </w:t>
      </w:r>
      <w:r w:rsidR="00EE50D0" w:rsidRPr="008C644E">
        <w:rPr>
          <w:rFonts w:hint="cs"/>
          <w:sz w:val="22"/>
          <w:szCs w:val="22"/>
          <w:rtl/>
        </w:rPr>
        <w:t>לא</w:t>
      </w:r>
      <w:r w:rsidRPr="008C644E">
        <w:rPr>
          <w:rFonts w:hint="cs"/>
          <w:sz w:val="22"/>
          <w:szCs w:val="22"/>
          <w:rtl/>
        </w:rPr>
        <w:t xml:space="preserve"> שלח שליח לקדש מסוימת</w:t>
      </w:r>
      <w:r w:rsidR="00EE50D0" w:rsidRPr="008C644E">
        <w:rPr>
          <w:rFonts w:hint="cs"/>
          <w:sz w:val="22"/>
          <w:szCs w:val="22"/>
          <w:rtl/>
        </w:rPr>
        <w:t>,</w:t>
      </w:r>
      <w:r w:rsidRPr="008C644E">
        <w:rPr>
          <w:rFonts w:hint="cs"/>
          <w:sz w:val="22"/>
          <w:szCs w:val="22"/>
          <w:rtl/>
        </w:rPr>
        <w:t xml:space="preserve"> </w:t>
      </w:r>
      <w:r w:rsidR="00EE50D0" w:rsidRPr="008C644E">
        <w:rPr>
          <w:rFonts w:hint="cs"/>
          <w:sz w:val="22"/>
          <w:szCs w:val="22"/>
          <w:rtl/>
        </w:rPr>
        <w:t>ש</w:t>
      </w:r>
      <w:r w:rsidRPr="008C644E">
        <w:rPr>
          <w:rFonts w:hint="cs"/>
          <w:sz w:val="22"/>
          <w:szCs w:val="22"/>
          <w:rtl/>
        </w:rPr>
        <w:t xml:space="preserve">כן במקרה זה פעולתו של השליח היא טכנית, </w:t>
      </w:r>
      <w:r w:rsidR="00EE50D0" w:rsidRPr="008C644E">
        <w:rPr>
          <w:rFonts w:hint="cs"/>
          <w:sz w:val="22"/>
          <w:szCs w:val="22"/>
          <w:rtl/>
        </w:rPr>
        <w:t xml:space="preserve">ואיננה צריכה לימוד מיוחד, </w:t>
      </w:r>
      <w:r w:rsidRPr="008C644E">
        <w:rPr>
          <w:rFonts w:hint="cs"/>
          <w:sz w:val="22"/>
          <w:szCs w:val="22"/>
          <w:rtl/>
        </w:rPr>
        <w:t>אלא רק במקום שבו המשלח מסר למעשה את רצונו לשליח ואפשר לו לקבוע מתי תהיה האישה המקודשת לו.</w:t>
      </w:r>
    </w:p>
    <w:p w14:paraId="2641A433" w14:textId="77777777" w:rsidR="00285CB1" w:rsidRPr="008C644E" w:rsidRDefault="00285CB1" w:rsidP="00912CE8">
      <w:pPr>
        <w:spacing w:line="276" w:lineRule="auto"/>
        <w:rPr>
          <w:b/>
          <w:bCs/>
          <w:sz w:val="22"/>
          <w:szCs w:val="22"/>
          <w:rtl/>
        </w:rPr>
      </w:pPr>
      <w:r w:rsidRPr="008C644E">
        <w:rPr>
          <w:rFonts w:hint="cs"/>
          <w:b/>
          <w:bCs/>
          <w:sz w:val="22"/>
          <w:szCs w:val="22"/>
          <w:rtl/>
        </w:rPr>
        <w:t>שליחות בכלא</w:t>
      </w:r>
    </w:p>
    <w:p w14:paraId="3F44FA77" w14:textId="2A716E4B" w:rsidR="00285CB1" w:rsidRPr="008C644E" w:rsidRDefault="00285CB1" w:rsidP="00912CE8">
      <w:pPr>
        <w:spacing w:line="276" w:lineRule="auto"/>
        <w:rPr>
          <w:sz w:val="22"/>
          <w:szCs w:val="22"/>
          <w:rtl/>
        </w:rPr>
      </w:pPr>
      <w:r w:rsidRPr="008C644E">
        <w:rPr>
          <w:rFonts w:hint="cs"/>
          <w:sz w:val="22"/>
          <w:szCs w:val="22"/>
          <w:rtl/>
        </w:rPr>
        <w:t>אמרנו כי קידושין  על ידי שליח אפשריים אפילו במצבי קיצון בהם האדם מוסר לשליח את בחירתו</w:t>
      </w:r>
      <w:r w:rsidR="00EE50D0" w:rsidRPr="008C644E">
        <w:rPr>
          <w:rFonts w:hint="cs"/>
          <w:sz w:val="22"/>
          <w:szCs w:val="22"/>
          <w:rtl/>
        </w:rPr>
        <w:t>.</w:t>
      </w:r>
      <w:r w:rsidRPr="008C644E">
        <w:rPr>
          <w:rFonts w:hint="cs"/>
          <w:sz w:val="22"/>
          <w:szCs w:val="22"/>
          <w:rtl/>
        </w:rPr>
        <w:t xml:space="preserve"> אולם מתי מציאות </w:t>
      </w:r>
      <w:r w:rsidR="00EE50D0" w:rsidRPr="008C644E">
        <w:rPr>
          <w:rFonts w:hint="cs"/>
          <w:sz w:val="22"/>
          <w:szCs w:val="22"/>
          <w:rtl/>
        </w:rPr>
        <w:t>כ</w:t>
      </w:r>
      <w:r w:rsidRPr="008C644E">
        <w:rPr>
          <w:rFonts w:hint="cs"/>
          <w:sz w:val="22"/>
          <w:szCs w:val="22"/>
          <w:rtl/>
        </w:rPr>
        <w:t>זו</w:t>
      </w:r>
      <w:r w:rsidR="00EE50D0" w:rsidRPr="008C644E">
        <w:rPr>
          <w:rFonts w:hint="cs"/>
          <w:sz w:val="22"/>
          <w:szCs w:val="22"/>
          <w:rtl/>
        </w:rPr>
        <w:t xml:space="preserve"> היא סבירה בכלל</w:t>
      </w:r>
      <w:r w:rsidRPr="008C644E">
        <w:rPr>
          <w:rFonts w:hint="cs"/>
          <w:sz w:val="22"/>
          <w:szCs w:val="22"/>
          <w:rtl/>
        </w:rPr>
        <w:t xml:space="preserve">? </w:t>
      </w:r>
      <w:r w:rsidR="00EE50D0" w:rsidRPr="008C644E">
        <w:rPr>
          <w:rFonts w:hint="cs"/>
          <w:sz w:val="22"/>
          <w:szCs w:val="22"/>
          <w:rtl/>
        </w:rPr>
        <w:t>האם גם בזמן המודרני יכולה להיות לשאלה זו נפקא מינה הלכתית?</w:t>
      </w:r>
      <w:r w:rsidRPr="008C644E">
        <w:rPr>
          <w:rFonts w:hint="cs"/>
          <w:sz w:val="22"/>
          <w:szCs w:val="22"/>
          <w:rtl/>
        </w:rPr>
        <w:t xml:space="preserve"> לפני מספר שנים הגיע לפתחו של בי"ד הרבני שאלה מעניינת בנושא זה</w:t>
      </w:r>
      <w:r w:rsidR="00EE50D0" w:rsidRPr="008C644E">
        <w:rPr>
          <w:rFonts w:hint="cs"/>
          <w:sz w:val="22"/>
          <w:szCs w:val="22"/>
          <w:rtl/>
        </w:rPr>
        <w:t>.</w:t>
      </w:r>
      <w:r w:rsidR="00EE50D0" w:rsidRPr="008C644E">
        <w:rPr>
          <w:rStyle w:val="FootnoteReference"/>
          <w:sz w:val="22"/>
          <w:szCs w:val="22"/>
          <w:rtl/>
        </w:rPr>
        <w:footnoteReference w:id="8"/>
      </w:r>
      <w:r w:rsidRPr="008C644E">
        <w:rPr>
          <w:rFonts w:hint="cs"/>
          <w:sz w:val="22"/>
          <w:szCs w:val="22"/>
          <w:rtl/>
        </w:rPr>
        <w:t xml:space="preserve"> אסיר שמרצה מאסר עולם בגין עברת רצח פוליטי קידש את בחירת ליבו באמצעות שליח אשר קדש את האישה בטבעת אשר נרכשה על ידו, ומסר אותה בפני שני עדים בבית הכלא. בשעת המעשה היה ברור לשני בני הזוג שלא יתאפשר להם להתייחד ועתה השאלה שבא לפני בי"ד האם האישה נחשבת נשואה. על פניו לא ברור מדוע </w:t>
      </w:r>
      <w:r w:rsidR="00EE50D0" w:rsidRPr="008C644E">
        <w:rPr>
          <w:rFonts w:hint="cs"/>
          <w:sz w:val="22"/>
          <w:szCs w:val="22"/>
          <w:rtl/>
        </w:rPr>
        <w:t xml:space="preserve">בכלל הובאה </w:t>
      </w:r>
      <w:r w:rsidRPr="008C644E">
        <w:rPr>
          <w:rFonts w:hint="cs"/>
          <w:sz w:val="22"/>
          <w:szCs w:val="22"/>
          <w:rtl/>
        </w:rPr>
        <w:t>שאלה זו פני בי"ד</w:t>
      </w:r>
      <w:r w:rsidR="00EE50D0" w:rsidRPr="008C644E">
        <w:rPr>
          <w:rFonts w:hint="cs"/>
          <w:sz w:val="22"/>
          <w:szCs w:val="22"/>
          <w:rtl/>
        </w:rPr>
        <w:t>,</w:t>
      </w:r>
      <w:r w:rsidRPr="008C644E">
        <w:rPr>
          <w:rFonts w:hint="cs"/>
          <w:sz w:val="22"/>
          <w:szCs w:val="22"/>
          <w:rtl/>
        </w:rPr>
        <w:t xml:space="preserve"> </w:t>
      </w:r>
      <w:r w:rsidR="00EE50D0" w:rsidRPr="008C644E">
        <w:rPr>
          <w:rFonts w:hint="cs"/>
          <w:sz w:val="22"/>
          <w:szCs w:val="22"/>
          <w:rtl/>
        </w:rPr>
        <w:t>ש</w:t>
      </w:r>
      <w:r w:rsidRPr="008C644E">
        <w:rPr>
          <w:rFonts w:hint="cs"/>
          <w:sz w:val="22"/>
          <w:szCs w:val="22"/>
          <w:rtl/>
        </w:rPr>
        <w:t>הרי משנה ערוכה</w:t>
      </w:r>
      <w:r w:rsidR="00EE50D0" w:rsidRPr="008C644E">
        <w:rPr>
          <w:rFonts w:hint="cs"/>
          <w:sz w:val="22"/>
          <w:szCs w:val="22"/>
          <w:rtl/>
        </w:rPr>
        <w:t xml:space="preserve"> היא</w:t>
      </w:r>
      <w:r w:rsidRPr="008C644E">
        <w:rPr>
          <w:rFonts w:hint="cs"/>
          <w:sz w:val="22"/>
          <w:szCs w:val="22"/>
          <w:rtl/>
        </w:rPr>
        <w:t xml:space="preserve"> שאדם עושה שליח לקדש לאישה</w:t>
      </w:r>
      <w:r w:rsidR="00EE50D0" w:rsidRPr="008C644E">
        <w:rPr>
          <w:rFonts w:hint="cs"/>
          <w:sz w:val="22"/>
          <w:szCs w:val="22"/>
          <w:rtl/>
        </w:rPr>
        <w:t>. ואולם,</w:t>
      </w:r>
      <w:r w:rsidRPr="008C644E">
        <w:rPr>
          <w:rFonts w:hint="cs"/>
          <w:sz w:val="22"/>
          <w:szCs w:val="22"/>
          <w:rtl/>
        </w:rPr>
        <w:t xml:space="preserve"> בי"ד איתר בסיטואציה מספר </w:t>
      </w:r>
      <w:r w:rsidR="00EE50D0" w:rsidRPr="008C644E">
        <w:rPr>
          <w:rFonts w:hint="cs"/>
          <w:sz w:val="22"/>
          <w:szCs w:val="22"/>
          <w:rtl/>
        </w:rPr>
        <w:t>גורמים העשויים להתברר כבעייתיים</w:t>
      </w:r>
      <w:r w:rsidRPr="008C644E">
        <w:rPr>
          <w:rFonts w:hint="cs"/>
          <w:sz w:val="22"/>
          <w:szCs w:val="22"/>
          <w:rtl/>
        </w:rPr>
        <w:t>:</w:t>
      </w:r>
    </w:p>
    <w:p w14:paraId="54497B13" w14:textId="77777777"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 xml:space="preserve">א. מקור דין שליחות </w:t>
      </w:r>
      <w:proofErr w:type="spellStart"/>
      <w:r w:rsidRPr="008C644E">
        <w:rPr>
          <w:rFonts w:asciiTheme="minorBidi" w:hAnsiTheme="minorBidi" w:cstheme="minorBidi"/>
          <w:sz w:val="22"/>
          <w:szCs w:val="22"/>
          <w:rtl/>
        </w:rPr>
        <w:t>בקדושין</w:t>
      </w:r>
      <w:proofErr w:type="spellEnd"/>
      <w:r w:rsidRPr="008C644E">
        <w:rPr>
          <w:rFonts w:asciiTheme="minorBidi" w:hAnsiTheme="minorBidi" w:cstheme="minorBidi"/>
          <w:sz w:val="22"/>
          <w:szCs w:val="22"/>
          <w:rtl/>
        </w:rPr>
        <w:t xml:space="preserve">, ואם צריך עדים </w:t>
      </w:r>
      <w:proofErr w:type="spellStart"/>
      <w:r w:rsidRPr="008C644E">
        <w:rPr>
          <w:rFonts w:asciiTheme="minorBidi" w:hAnsiTheme="minorBidi" w:cstheme="minorBidi"/>
          <w:sz w:val="22"/>
          <w:szCs w:val="22"/>
          <w:rtl/>
        </w:rPr>
        <w:t>שעשאו</w:t>
      </w:r>
      <w:proofErr w:type="spellEnd"/>
      <w:r w:rsidRPr="008C644E">
        <w:rPr>
          <w:rFonts w:asciiTheme="minorBidi" w:hAnsiTheme="minorBidi" w:cstheme="minorBidi"/>
          <w:sz w:val="22"/>
          <w:szCs w:val="22"/>
          <w:rtl/>
        </w:rPr>
        <w:t xml:space="preserve"> שליח.</w:t>
      </w:r>
    </w:p>
    <w:p w14:paraId="22036B8F" w14:textId="77777777"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ב. קדשה השליח בטבעת של עצמו, ואמר לה הרי את מקודשת לפלוני, האם מקודשת למשלח.</w:t>
      </w:r>
    </w:p>
    <w:p w14:paraId="784216C0" w14:textId="77777777"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ג. האם חופה ישנה בשליחות.</w:t>
      </w:r>
    </w:p>
    <w:p w14:paraId="1A6FC0BC" w14:textId="77777777"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 xml:space="preserve">ד. ידעו בני הזוג שאין כל סיכוי שיתאפשר להם לחיות יחדיו, </w:t>
      </w:r>
      <w:proofErr w:type="spellStart"/>
      <w:r w:rsidRPr="008C644E">
        <w:rPr>
          <w:rFonts w:asciiTheme="minorBidi" w:hAnsiTheme="minorBidi" w:cstheme="minorBidi"/>
          <w:sz w:val="22"/>
          <w:szCs w:val="22"/>
          <w:rtl/>
        </w:rPr>
        <w:t>והקדושין</w:t>
      </w:r>
      <w:proofErr w:type="spellEnd"/>
      <w:r w:rsidRPr="008C644E">
        <w:rPr>
          <w:rFonts w:asciiTheme="minorBidi" w:hAnsiTheme="minorBidi" w:cstheme="minorBidi"/>
          <w:sz w:val="22"/>
          <w:szCs w:val="22"/>
          <w:rtl/>
        </w:rPr>
        <w:t xml:space="preserve"> נועדו למטרת הפגנה ופרסום, האם </w:t>
      </w:r>
      <w:proofErr w:type="spellStart"/>
      <w:r w:rsidRPr="008C644E">
        <w:rPr>
          <w:rFonts w:asciiTheme="minorBidi" w:hAnsiTheme="minorBidi" w:cstheme="minorBidi"/>
          <w:sz w:val="22"/>
          <w:szCs w:val="22"/>
          <w:rtl/>
        </w:rPr>
        <w:t>הקדושין</w:t>
      </w:r>
      <w:proofErr w:type="spellEnd"/>
      <w:r w:rsidRPr="008C644E">
        <w:rPr>
          <w:rFonts w:asciiTheme="minorBidi" w:hAnsiTheme="minorBidi" w:cstheme="minorBidi"/>
          <w:sz w:val="22"/>
          <w:szCs w:val="22"/>
          <w:rtl/>
        </w:rPr>
        <w:t xml:space="preserve"> תופסים.</w:t>
      </w:r>
    </w:p>
    <w:p w14:paraId="4C419EE0" w14:textId="27B116FD" w:rsidR="00285CB1" w:rsidRPr="008C644E" w:rsidRDefault="00285CB1" w:rsidP="00912CE8">
      <w:pPr>
        <w:spacing w:line="276" w:lineRule="auto"/>
        <w:rPr>
          <w:sz w:val="22"/>
          <w:szCs w:val="22"/>
          <w:rtl/>
        </w:rPr>
      </w:pPr>
      <w:r w:rsidRPr="008C644E">
        <w:rPr>
          <w:rFonts w:hint="cs"/>
          <w:sz w:val="22"/>
          <w:szCs w:val="22"/>
          <w:rtl/>
        </w:rPr>
        <w:t xml:space="preserve">במסגרת שיעור זה לא נכנס לכלל הכשלים בהם דן בי"ד, אלא באלה שיכולים להעמיק את הבנתנו במושג השליחות.  </w:t>
      </w:r>
      <w:r w:rsidR="00EE50D0" w:rsidRPr="008C644E">
        <w:rPr>
          <w:rFonts w:hint="cs"/>
          <w:sz w:val="22"/>
          <w:szCs w:val="22"/>
          <w:rtl/>
        </w:rPr>
        <w:t xml:space="preserve">הסעיף </w:t>
      </w:r>
      <w:r w:rsidRPr="008C644E">
        <w:rPr>
          <w:rFonts w:hint="cs"/>
          <w:sz w:val="22"/>
          <w:szCs w:val="22"/>
          <w:rtl/>
        </w:rPr>
        <w:t>השני</w:t>
      </w:r>
      <w:r w:rsidR="00EE50D0" w:rsidRPr="008C644E">
        <w:rPr>
          <w:rFonts w:hint="cs"/>
          <w:sz w:val="22"/>
          <w:szCs w:val="22"/>
          <w:rtl/>
        </w:rPr>
        <w:t xml:space="preserve"> שהזכרנו</w:t>
      </w:r>
      <w:r w:rsidRPr="008C644E">
        <w:rPr>
          <w:rFonts w:hint="cs"/>
          <w:sz w:val="22"/>
          <w:szCs w:val="22"/>
          <w:rtl/>
        </w:rPr>
        <w:t xml:space="preserve"> עוסק בשאלה שאינה נידונת במשנתנו והיא המקור הפיננסי לקיום הקידושין. כדי לענות על שאלה זו מביא בי"ד את מחלוקת האחרונים בהבנת מוסד השליחות בקידושין. כבר רבותינו בעל התוספות עסקו בשאלה כיצד פעולת השליחות, </w:t>
      </w:r>
      <w:r w:rsidR="00EE50D0" w:rsidRPr="008C644E">
        <w:rPr>
          <w:rFonts w:hint="cs"/>
          <w:sz w:val="22"/>
          <w:szCs w:val="22"/>
          <w:rtl/>
        </w:rPr>
        <w:t>ו</w:t>
      </w:r>
      <w:r w:rsidRPr="008C644E">
        <w:rPr>
          <w:rFonts w:hint="cs"/>
          <w:sz w:val="22"/>
          <w:szCs w:val="22"/>
          <w:rtl/>
        </w:rPr>
        <w:t>באיזו מידה השליח מחובר לשליח בשעת ביצוע השליחות</w:t>
      </w:r>
      <w:r w:rsidR="00EE50D0" w:rsidRPr="008C644E">
        <w:rPr>
          <w:rFonts w:hint="cs"/>
          <w:sz w:val="22"/>
          <w:szCs w:val="22"/>
          <w:rtl/>
        </w:rPr>
        <w:t>.</w:t>
      </w:r>
      <w:r w:rsidRPr="008C644E">
        <w:rPr>
          <w:rFonts w:hint="cs"/>
          <w:sz w:val="22"/>
          <w:szCs w:val="22"/>
          <w:rtl/>
        </w:rPr>
        <w:t xml:space="preserve"> לדעת </w:t>
      </w:r>
      <w:proofErr w:type="spellStart"/>
      <w:r w:rsidRPr="008C644E">
        <w:rPr>
          <w:rFonts w:hint="cs"/>
          <w:sz w:val="22"/>
          <w:szCs w:val="22"/>
          <w:rtl/>
        </w:rPr>
        <w:t>התורי"ד</w:t>
      </w:r>
      <w:proofErr w:type="spellEnd"/>
      <w:r w:rsidRPr="008C644E">
        <w:rPr>
          <w:rFonts w:hint="cs"/>
          <w:sz w:val="22"/>
          <w:szCs w:val="22"/>
          <w:rtl/>
        </w:rPr>
        <w:t xml:space="preserve"> </w:t>
      </w:r>
      <w:r w:rsidR="00EE50D0" w:rsidRPr="008C644E">
        <w:rPr>
          <w:rFonts w:hint="cs"/>
          <w:sz w:val="22"/>
          <w:szCs w:val="22"/>
          <w:rtl/>
        </w:rPr>
        <w:t>ב</w:t>
      </w:r>
      <w:r w:rsidRPr="008C644E">
        <w:rPr>
          <w:rFonts w:hint="cs"/>
          <w:sz w:val="22"/>
          <w:szCs w:val="22"/>
          <w:rtl/>
        </w:rPr>
        <w:t xml:space="preserve">קידושין </w:t>
      </w:r>
      <w:proofErr w:type="spellStart"/>
      <w:r w:rsidRPr="008C644E">
        <w:rPr>
          <w:rFonts w:hint="cs"/>
          <w:sz w:val="22"/>
          <w:szCs w:val="22"/>
          <w:rtl/>
        </w:rPr>
        <w:t>מב</w:t>
      </w:r>
      <w:proofErr w:type="spellEnd"/>
      <w:r w:rsidRPr="008C644E">
        <w:rPr>
          <w:rFonts w:hint="cs"/>
          <w:sz w:val="22"/>
          <w:szCs w:val="22"/>
          <w:rtl/>
        </w:rPr>
        <w:t xml:space="preserve"> </w:t>
      </w:r>
      <w:r w:rsidR="00EE50D0" w:rsidRPr="008C644E">
        <w:rPr>
          <w:rFonts w:hint="cs"/>
          <w:sz w:val="22"/>
          <w:szCs w:val="22"/>
          <w:rtl/>
        </w:rPr>
        <w:t>ע"ב השליחות פועלת לחלוטין על ידי המשלח ולא על ידי השליח:</w:t>
      </w:r>
    </w:p>
    <w:p w14:paraId="0C78C228" w14:textId="11364F88"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ולאו מילתא היא</w:t>
      </w:r>
      <w:r w:rsidR="00EE50D0" w:rsidRPr="008C644E">
        <w:rPr>
          <w:rFonts w:asciiTheme="minorBidi" w:hAnsiTheme="minorBidi" w:cstheme="minorBidi"/>
          <w:sz w:val="22"/>
          <w:szCs w:val="22"/>
          <w:rtl/>
        </w:rPr>
        <w:t>,</w:t>
      </w:r>
      <w:r w:rsidRPr="008C644E">
        <w:rPr>
          <w:rFonts w:asciiTheme="minorBidi" w:hAnsiTheme="minorBidi" w:cstheme="minorBidi"/>
          <w:sz w:val="22"/>
          <w:szCs w:val="22"/>
          <w:rtl/>
        </w:rPr>
        <w:t xml:space="preserve"> </w:t>
      </w:r>
      <w:proofErr w:type="spellStart"/>
      <w:r w:rsidRPr="008C644E">
        <w:rPr>
          <w:rFonts w:asciiTheme="minorBidi" w:hAnsiTheme="minorBidi" w:cstheme="minorBidi"/>
          <w:sz w:val="22"/>
          <w:szCs w:val="22"/>
          <w:rtl/>
        </w:rPr>
        <w:t>שהמצוה</w:t>
      </w:r>
      <w:proofErr w:type="spellEnd"/>
      <w:r w:rsidRPr="008C644E">
        <w:rPr>
          <w:rFonts w:asciiTheme="minorBidi" w:hAnsiTheme="minorBidi" w:cstheme="minorBidi"/>
          <w:sz w:val="22"/>
          <w:szCs w:val="22"/>
          <w:rtl/>
        </w:rPr>
        <w:t xml:space="preserve"> שחייבו המקום לעשות בגופו </w:t>
      </w:r>
      <w:proofErr w:type="spellStart"/>
      <w:r w:rsidRPr="008C644E">
        <w:rPr>
          <w:rFonts w:asciiTheme="minorBidi" w:hAnsiTheme="minorBidi" w:cstheme="minorBidi"/>
          <w:sz w:val="22"/>
          <w:szCs w:val="22"/>
          <w:rtl/>
        </w:rPr>
        <w:t>האיך</w:t>
      </w:r>
      <w:proofErr w:type="spellEnd"/>
      <w:r w:rsidRPr="008C644E">
        <w:rPr>
          <w:rFonts w:asciiTheme="minorBidi" w:hAnsiTheme="minorBidi" w:cstheme="minorBidi"/>
          <w:sz w:val="22"/>
          <w:szCs w:val="22"/>
          <w:rtl/>
        </w:rPr>
        <w:t xml:space="preserve"> יפטר הוא על ידי שלוחו והוא לא יעשה כלום</w:t>
      </w:r>
      <w:r w:rsidR="00EE50D0" w:rsidRPr="008C644E">
        <w:rPr>
          <w:rFonts w:asciiTheme="minorBidi" w:hAnsiTheme="minorBidi" w:cstheme="minorBidi"/>
          <w:sz w:val="22"/>
          <w:szCs w:val="22"/>
          <w:rtl/>
        </w:rPr>
        <w:t>.</w:t>
      </w:r>
      <w:r w:rsidRPr="008C644E">
        <w:rPr>
          <w:rFonts w:asciiTheme="minorBidi" w:hAnsiTheme="minorBidi" w:cstheme="minorBidi"/>
          <w:sz w:val="22"/>
          <w:szCs w:val="22"/>
          <w:rtl/>
        </w:rPr>
        <w:t xml:space="preserve"> </w:t>
      </w:r>
      <w:proofErr w:type="spellStart"/>
      <w:r w:rsidRPr="008C644E">
        <w:rPr>
          <w:rFonts w:asciiTheme="minorBidi" w:hAnsiTheme="minorBidi" w:cstheme="minorBidi"/>
          <w:sz w:val="22"/>
          <w:szCs w:val="22"/>
          <w:rtl/>
        </w:rPr>
        <w:t>בודאי</w:t>
      </w:r>
      <w:proofErr w:type="spellEnd"/>
      <w:r w:rsidRPr="008C644E">
        <w:rPr>
          <w:rFonts w:asciiTheme="minorBidi" w:hAnsiTheme="minorBidi" w:cstheme="minorBidi"/>
          <w:sz w:val="22"/>
          <w:szCs w:val="22"/>
          <w:rtl/>
        </w:rPr>
        <w:t xml:space="preserve"> בגירושין </w:t>
      </w:r>
      <w:proofErr w:type="spellStart"/>
      <w:r w:rsidRPr="008C644E">
        <w:rPr>
          <w:rFonts w:asciiTheme="minorBidi" w:hAnsiTheme="minorBidi" w:cstheme="minorBidi"/>
          <w:sz w:val="22"/>
          <w:szCs w:val="22"/>
          <w:rtl/>
        </w:rPr>
        <w:t>ובקדושין</w:t>
      </w:r>
      <w:proofErr w:type="spellEnd"/>
      <w:r w:rsidRPr="008C644E">
        <w:rPr>
          <w:rFonts w:asciiTheme="minorBidi" w:hAnsiTheme="minorBidi" w:cstheme="minorBidi"/>
          <w:sz w:val="22"/>
          <w:szCs w:val="22"/>
          <w:rtl/>
        </w:rPr>
        <w:t xml:space="preserve"> מהני כי הוא המגרש ולא השליח שמה כתב בגט אנא פלוני </w:t>
      </w:r>
      <w:proofErr w:type="spellStart"/>
      <w:r w:rsidRPr="008C644E">
        <w:rPr>
          <w:rFonts w:asciiTheme="minorBidi" w:hAnsiTheme="minorBidi" w:cstheme="minorBidi"/>
          <w:sz w:val="22"/>
          <w:szCs w:val="22"/>
          <w:rtl/>
        </w:rPr>
        <w:t>פטרית</w:t>
      </w:r>
      <w:proofErr w:type="spellEnd"/>
      <w:r w:rsidRPr="008C644E">
        <w:rPr>
          <w:rFonts w:asciiTheme="minorBidi" w:hAnsiTheme="minorBidi" w:cstheme="minorBidi"/>
          <w:sz w:val="22"/>
          <w:szCs w:val="22"/>
          <w:rtl/>
        </w:rPr>
        <w:t xml:space="preserve"> פלונית וכן </w:t>
      </w:r>
      <w:proofErr w:type="spellStart"/>
      <w:r w:rsidRPr="008C644E">
        <w:rPr>
          <w:rFonts w:asciiTheme="minorBidi" w:hAnsiTheme="minorBidi" w:cstheme="minorBidi"/>
          <w:sz w:val="22"/>
          <w:szCs w:val="22"/>
          <w:rtl/>
        </w:rPr>
        <w:t>נמי</w:t>
      </w:r>
      <w:proofErr w:type="spellEnd"/>
      <w:r w:rsidRPr="008C644E">
        <w:rPr>
          <w:rFonts w:asciiTheme="minorBidi" w:hAnsiTheme="minorBidi" w:cstheme="minorBidi"/>
          <w:sz w:val="22"/>
          <w:szCs w:val="22"/>
          <w:rtl/>
        </w:rPr>
        <w:t xml:space="preserve"> </w:t>
      </w:r>
      <w:proofErr w:type="spellStart"/>
      <w:r w:rsidRPr="008C644E">
        <w:rPr>
          <w:rFonts w:asciiTheme="minorBidi" w:hAnsiTheme="minorBidi" w:cstheme="minorBidi"/>
          <w:sz w:val="22"/>
          <w:szCs w:val="22"/>
          <w:rtl/>
        </w:rPr>
        <w:t>האשה</w:t>
      </w:r>
      <w:proofErr w:type="spellEnd"/>
      <w:r w:rsidRPr="008C644E">
        <w:rPr>
          <w:rFonts w:asciiTheme="minorBidi" w:hAnsiTheme="minorBidi" w:cstheme="minorBidi"/>
          <w:sz w:val="22"/>
          <w:szCs w:val="22"/>
          <w:rtl/>
        </w:rPr>
        <w:t xml:space="preserve"> למי היא מקודשת כי אם לו והיא אשתו</w:t>
      </w:r>
    </w:p>
    <w:p w14:paraId="0FBD36A6" w14:textId="4FCBB4F0" w:rsidR="00285CB1" w:rsidRPr="008C644E" w:rsidRDefault="00285CB1" w:rsidP="00912CE8">
      <w:pPr>
        <w:spacing w:line="276" w:lineRule="auto"/>
        <w:rPr>
          <w:sz w:val="22"/>
          <w:szCs w:val="22"/>
          <w:rtl/>
        </w:rPr>
      </w:pPr>
      <w:r w:rsidRPr="008C644E">
        <w:rPr>
          <w:rFonts w:hint="cs"/>
          <w:sz w:val="22"/>
          <w:szCs w:val="22"/>
          <w:rtl/>
        </w:rPr>
        <w:lastRenderedPageBreak/>
        <w:t xml:space="preserve">'כי הוא המגרש ולא השליח' מכאן הסיק הבעל </w:t>
      </w:r>
      <w:proofErr w:type="spellStart"/>
      <w:r w:rsidRPr="008C644E">
        <w:rPr>
          <w:rFonts w:hint="cs"/>
          <w:sz w:val="22"/>
          <w:szCs w:val="22"/>
          <w:rtl/>
        </w:rPr>
        <w:t>קוצה"ח</w:t>
      </w:r>
      <w:proofErr w:type="spellEnd"/>
      <w:r w:rsidRPr="008C644E">
        <w:rPr>
          <w:rFonts w:hint="cs"/>
          <w:sz w:val="22"/>
          <w:szCs w:val="22"/>
          <w:rtl/>
        </w:rPr>
        <w:t xml:space="preserve"> כי בשליחות 'בקידושין</w:t>
      </w:r>
      <w:r w:rsidRPr="008C644E">
        <w:rPr>
          <w:sz w:val="22"/>
          <w:szCs w:val="22"/>
          <w:rtl/>
        </w:rPr>
        <w:t xml:space="preserve"> </w:t>
      </w:r>
      <w:r w:rsidRPr="008C644E">
        <w:rPr>
          <w:rFonts w:hint="cs"/>
          <w:sz w:val="22"/>
          <w:szCs w:val="22"/>
          <w:rtl/>
        </w:rPr>
        <w:t>וגירושין</w:t>
      </w:r>
      <w:r w:rsidRPr="008C644E">
        <w:rPr>
          <w:sz w:val="22"/>
          <w:szCs w:val="22"/>
          <w:rtl/>
        </w:rPr>
        <w:t xml:space="preserve"> </w:t>
      </w:r>
      <w:r w:rsidRPr="008C644E">
        <w:rPr>
          <w:rFonts w:hint="cs"/>
          <w:sz w:val="22"/>
          <w:szCs w:val="22"/>
          <w:rtl/>
        </w:rPr>
        <w:t>כאילו</w:t>
      </w:r>
      <w:r w:rsidRPr="008C644E">
        <w:rPr>
          <w:sz w:val="22"/>
          <w:szCs w:val="22"/>
          <w:rtl/>
        </w:rPr>
        <w:t xml:space="preserve"> </w:t>
      </w:r>
      <w:r w:rsidRPr="008C644E">
        <w:rPr>
          <w:rFonts w:hint="cs"/>
          <w:sz w:val="22"/>
          <w:szCs w:val="22"/>
          <w:rtl/>
        </w:rPr>
        <w:t>הבעל</w:t>
      </w:r>
      <w:r w:rsidRPr="008C644E">
        <w:rPr>
          <w:sz w:val="22"/>
          <w:szCs w:val="22"/>
          <w:rtl/>
        </w:rPr>
        <w:t xml:space="preserve"> </w:t>
      </w:r>
      <w:r w:rsidRPr="008C644E">
        <w:rPr>
          <w:rFonts w:hint="cs"/>
          <w:sz w:val="22"/>
          <w:szCs w:val="22"/>
          <w:rtl/>
        </w:rPr>
        <w:t>עצמו</w:t>
      </w:r>
      <w:r w:rsidRPr="008C644E">
        <w:rPr>
          <w:sz w:val="22"/>
          <w:szCs w:val="22"/>
          <w:rtl/>
        </w:rPr>
        <w:t xml:space="preserve"> </w:t>
      </w:r>
      <w:r w:rsidRPr="008C644E">
        <w:rPr>
          <w:rFonts w:hint="cs"/>
          <w:sz w:val="22"/>
          <w:szCs w:val="22"/>
          <w:rtl/>
        </w:rPr>
        <w:t>נתן</w:t>
      </w:r>
      <w:r w:rsidRPr="008C644E">
        <w:rPr>
          <w:sz w:val="22"/>
          <w:szCs w:val="22"/>
          <w:rtl/>
        </w:rPr>
        <w:t xml:space="preserve"> </w:t>
      </w:r>
      <w:r w:rsidRPr="008C644E">
        <w:rPr>
          <w:rFonts w:hint="cs"/>
          <w:sz w:val="22"/>
          <w:szCs w:val="22"/>
          <w:rtl/>
        </w:rPr>
        <w:t>הקידושין</w:t>
      </w:r>
      <w:r w:rsidRPr="008C644E">
        <w:rPr>
          <w:sz w:val="22"/>
          <w:szCs w:val="22"/>
          <w:rtl/>
        </w:rPr>
        <w:t xml:space="preserve"> </w:t>
      </w:r>
      <w:r w:rsidRPr="008C644E">
        <w:rPr>
          <w:rFonts w:hint="cs"/>
          <w:sz w:val="22"/>
          <w:szCs w:val="22"/>
          <w:rtl/>
        </w:rPr>
        <w:t>או</w:t>
      </w:r>
      <w:r w:rsidRPr="008C644E">
        <w:rPr>
          <w:sz w:val="22"/>
          <w:szCs w:val="22"/>
          <w:rtl/>
        </w:rPr>
        <w:t xml:space="preserve"> </w:t>
      </w:r>
      <w:r w:rsidRPr="008C644E">
        <w:rPr>
          <w:rFonts w:hint="cs"/>
          <w:sz w:val="22"/>
          <w:szCs w:val="22"/>
          <w:rtl/>
        </w:rPr>
        <w:t xml:space="preserve">הגירושין'  (חושן משפט </w:t>
      </w:r>
      <w:proofErr w:type="spellStart"/>
      <w:r w:rsidRPr="008C644E">
        <w:rPr>
          <w:rFonts w:hint="cs"/>
          <w:sz w:val="22"/>
          <w:szCs w:val="22"/>
          <w:rtl/>
        </w:rPr>
        <w:t>קפב</w:t>
      </w:r>
      <w:proofErr w:type="spellEnd"/>
      <w:r w:rsidRPr="008C644E">
        <w:rPr>
          <w:rFonts w:hint="cs"/>
          <w:sz w:val="22"/>
          <w:szCs w:val="22"/>
          <w:rtl/>
        </w:rPr>
        <w:t xml:space="preserve">). על קצות החושן חלוק האור שמח. לאחר שהוא מציג מספר קשיים הקיימים הבנת קצות החושן, הוא </w:t>
      </w:r>
      <w:r w:rsidR="00EE50D0" w:rsidRPr="008C644E">
        <w:rPr>
          <w:rFonts w:hint="cs"/>
          <w:sz w:val="22"/>
          <w:szCs w:val="22"/>
          <w:rtl/>
        </w:rPr>
        <w:t>מסיק שזהותו של מבצע הפעולה לאו דווקא מזוהה לחלוטין עם המשלח:</w:t>
      </w:r>
    </w:p>
    <w:p w14:paraId="68E64808" w14:textId="22416491" w:rsidR="00285CB1" w:rsidRPr="008C644E" w:rsidRDefault="00285CB1" w:rsidP="00912CE8">
      <w:pPr>
        <w:spacing w:line="276" w:lineRule="auto"/>
        <w:ind w:left="720"/>
        <w:rPr>
          <w:rFonts w:asciiTheme="minorBidi" w:hAnsiTheme="minorBidi" w:cstheme="minorBidi"/>
          <w:sz w:val="22"/>
          <w:szCs w:val="22"/>
          <w:rtl/>
        </w:rPr>
      </w:pPr>
      <w:r w:rsidRPr="008C644E">
        <w:rPr>
          <w:rFonts w:asciiTheme="minorBidi" w:hAnsiTheme="minorBidi" w:cstheme="minorBidi"/>
          <w:sz w:val="22"/>
          <w:szCs w:val="22"/>
          <w:rtl/>
        </w:rPr>
        <w:t xml:space="preserve">אמנם העיקר כתירוץ </w:t>
      </w:r>
      <w:proofErr w:type="spellStart"/>
      <w:r w:rsidRPr="008C644E">
        <w:rPr>
          <w:rFonts w:asciiTheme="minorBidi" w:hAnsiTheme="minorBidi" w:cstheme="minorBidi"/>
          <w:sz w:val="22"/>
          <w:szCs w:val="22"/>
          <w:rtl/>
        </w:rPr>
        <w:t>התוס</w:t>
      </w:r>
      <w:proofErr w:type="spellEnd"/>
      <w:r w:rsidRPr="008C644E">
        <w:rPr>
          <w:rFonts w:asciiTheme="minorBidi" w:hAnsiTheme="minorBidi" w:cstheme="minorBidi"/>
          <w:sz w:val="22"/>
          <w:szCs w:val="22"/>
          <w:rtl/>
        </w:rPr>
        <w:t xml:space="preserve">' רי"ד, וכוונתו, </w:t>
      </w:r>
      <w:proofErr w:type="spellStart"/>
      <w:r w:rsidRPr="008C644E">
        <w:rPr>
          <w:rFonts w:asciiTheme="minorBidi" w:hAnsiTheme="minorBidi" w:cstheme="minorBidi"/>
          <w:sz w:val="22"/>
          <w:szCs w:val="22"/>
          <w:rtl/>
        </w:rPr>
        <w:t>דמכוון</w:t>
      </w:r>
      <w:proofErr w:type="spellEnd"/>
      <w:r w:rsidRPr="008C644E">
        <w:rPr>
          <w:rFonts w:asciiTheme="minorBidi" w:hAnsiTheme="minorBidi" w:cstheme="minorBidi"/>
          <w:sz w:val="22"/>
          <w:szCs w:val="22"/>
          <w:rtl/>
        </w:rPr>
        <w:t xml:space="preserve"> </w:t>
      </w:r>
      <w:proofErr w:type="spellStart"/>
      <w:r w:rsidRPr="008C644E">
        <w:rPr>
          <w:rFonts w:asciiTheme="minorBidi" w:hAnsiTheme="minorBidi" w:cstheme="minorBidi"/>
          <w:sz w:val="22"/>
          <w:szCs w:val="22"/>
          <w:rtl/>
        </w:rPr>
        <w:t>המצוה</w:t>
      </w:r>
      <w:proofErr w:type="spellEnd"/>
      <w:r w:rsidRPr="008C644E">
        <w:rPr>
          <w:rFonts w:asciiTheme="minorBidi" w:hAnsiTheme="minorBidi" w:cstheme="minorBidi"/>
          <w:sz w:val="22"/>
          <w:szCs w:val="22"/>
          <w:rtl/>
        </w:rPr>
        <w:t xml:space="preserve"> </w:t>
      </w:r>
      <w:proofErr w:type="spellStart"/>
      <w:r w:rsidRPr="008C644E">
        <w:rPr>
          <w:rFonts w:asciiTheme="minorBidi" w:hAnsiTheme="minorBidi" w:cstheme="minorBidi"/>
          <w:sz w:val="22"/>
          <w:szCs w:val="22"/>
          <w:rtl/>
        </w:rPr>
        <w:t>יתיחס</w:t>
      </w:r>
      <w:proofErr w:type="spellEnd"/>
      <w:r w:rsidRPr="008C644E">
        <w:rPr>
          <w:rFonts w:asciiTheme="minorBidi" w:hAnsiTheme="minorBidi" w:cstheme="minorBidi"/>
          <w:sz w:val="22"/>
          <w:szCs w:val="22"/>
          <w:rtl/>
        </w:rPr>
        <w:t xml:space="preserve"> אל גופו, כמו גיטין </w:t>
      </w:r>
      <w:proofErr w:type="spellStart"/>
      <w:r w:rsidRPr="008C644E">
        <w:rPr>
          <w:rFonts w:asciiTheme="minorBidi" w:hAnsiTheme="minorBidi" w:cstheme="minorBidi"/>
          <w:sz w:val="22"/>
          <w:szCs w:val="22"/>
          <w:rtl/>
        </w:rPr>
        <w:t>וקדושין</w:t>
      </w:r>
      <w:proofErr w:type="spellEnd"/>
      <w:r w:rsidRPr="008C644E">
        <w:rPr>
          <w:rFonts w:asciiTheme="minorBidi" w:hAnsiTheme="minorBidi" w:cstheme="minorBidi"/>
          <w:sz w:val="22"/>
          <w:szCs w:val="22"/>
          <w:rtl/>
        </w:rPr>
        <w:t xml:space="preserve">, שמגרש פלוני ע"י שליח, ובגט נכתב שמו של המשלח, וכן </w:t>
      </w:r>
      <w:proofErr w:type="spellStart"/>
      <w:r w:rsidRPr="008C644E">
        <w:rPr>
          <w:rFonts w:asciiTheme="minorBidi" w:hAnsiTheme="minorBidi" w:cstheme="minorBidi"/>
          <w:sz w:val="22"/>
          <w:szCs w:val="22"/>
          <w:rtl/>
        </w:rPr>
        <w:t>בקדושין</w:t>
      </w:r>
      <w:proofErr w:type="spellEnd"/>
      <w:r w:rsidRPr="008C644E">
        <w:rPr>
          <w:rFonts w:asciiTheme="minorBidi" w:hAnsiTheme="minorBidi" w:cstheme="minorBidi"/>
          <w:sz w:val="22"/>
          <w:szCs w:val="22"/>
          <w:rtl/>
        </w:rPr>
        <w:t xml:space="preserve"> הכסף של המשלח, ולו מתקדשת</w:t>
      </w:r>
      <w:r w:rsidR="007B506A" w:rsidRPr="008C644E">
        <w:rPr>
          <w:rFonts w:asciiTheme="minorBidi" w:hAnsiTheme="minorBidi" w:cstheme="minorBidi"/>
          <w:sz w:val="22"/>
          <w:szCs w:val="22"/>
          <w:rtl/>
        </w:rPr>
        <w:t xml:space="preserve"> [...]</w:t>
      </w:r>
    </w:p>
    <w:p w14:paraId="3FECCB27" w14:textId="1011B153" w:rsidR="00EE50D0" w:rsidRPr="008C644E" w:rsidRDefault="00285CB1" w:rsidP="00912CE8">
      <w:pPr>
        <w:spacing w:line="276" w:lineRule="auto"/>
        <w:rPr>
          <w:sz w:val="22"/>
          <w:szCs w:val="22"/>
          <w:rtl/>
        </w:rPr>
      </w:pPr>
      <w:r w:rsidRPr="008C644E">
        <w:rPr>
          <w:rFonts w:hint="cs"/>
          <w:sz w:val="22"/>
          <w:szCs w:val="22"/>
          <w:rtl/>
        </w:rPr>
        <w:t xml:space="preserve">כאשר שליח מקדש עבור הבעל הוא עושה זו עם 'כסף הקידושין' של הבעל. </w:t>
      </w:r>
      <w:r w:rsidR="00EE50D0" w:rsidRPr="008C644E">
        <w:rPr>
          <w:rFonts w:hint="cs"/>
          <w:sz w:val="22"/>
          <w:szCs w:val="22"/>
          <w:rtl/>
        </w:rPr>
        <w:t xml:space="preserve">כלומר </w:t>
      </w:r>
      <w:r w:rsidR="00EE50D0" w:rsidRPr="008C644E">
        <w:rPr>
          <w:sz w:val="22"/>
          <w:szCs w:val="22"/>
          <w:rtl/>
        </w:rPr>
        <w:t>–</w:t>
      </w:r>
      <w:r w:rsidR="00EE50D0" w:rsidRPr="008C644E">
        <w:rPr>
          <w:rFonts w:hint="cs"/>
          <w:sz w:val="22"/>
          <w:szCs w:val="22"/>
          <w:rtl/>
        </w:rPr>
        <w:t xml:space="preserve"> השליח איננו מתבטל לחלוטין לרצונו של המשלח, אלא הוא מהווה </w:t>
      </w:r>
      <w:r w:rsidRPr="008C644E">
        <w:rPr>
          <w:rFonts w:hint="cs"/>
          <w:sz w:val="22"/>
          <w:szCs w:val="22"/>
          <w:rtl/>
        </w:rPr>
        <w:t xml:space="preserve">פלטפורמה אנושית נייד לביצוע פעולות הקידושין. </w:t>
      </w:r>
    </w:p>
    <w:p w14:paraId="656650EB" w14:textId="1B7C5A4C" w:rsidR="00285CB1" w:rsidRPr="008C644E" w:rsidRDefault="00285CB1" w:rsidP="00912CE8">
      <w:pPr>
        <w:spacing w:line="276" w:lineRule="auto"/>
        <w:rPr>
          <w:sz w:val="22"/>
          <w:szCs w:val="22"/>
          <w:rtl/>
        </w:rPr>
      </w:pPr>
      <w:r w:rsidRPr="008C644E">
        <w:rPr>
          <w:rFonts w:hint="cs"/>
          <w:sz w:val="22"/>
          <w:szCs w:val="22"/>
          <w:rtl/>
        </w:rPr>
        <w:t>כדי לחדד את הדברים נתן</w:t>
      </w:r>
      <w:r w:rsidR="00EE50D0" w:rsidRPr="008C644E">
        <w:rPr>
          <w:rFonts w:hint="cs"/>
          <w:sz w:val="22"/>
          <w:szCs w:val="22"/>
          <w:rtl/>
        </w:rPr>
        <w:t xml:space="preserve"> לתת</w:t>
      </w:r>
      <w:r w:rsidRPr="008C644E">
        <w:rPr>
          <w:rFonts w:hint="cs"/>
          <w:sz w:val="22"/>
          <w:szCs w:val="22"/>
          <w:rtl/>
        </w:rPr>
        <w:t xml:space="preserve"> משל מתחום הרכב</w:t>
      </w:r>
      <w:r w:rsidR="00EE50D0" w:rsidRPr="008C644E">
        <w:rPr>
          <w:rFonts w:hint="cs"/>
          <w:sz w:val="22"/>
          <w:szCs w:val="22"/>
          <w:rtl/>
        </w:rPr>
        <w:t>:</w:t>
      </w:r>
      <w:r w:rsidRPr="008C644E">
        <w:rPr>
          <w:rFonts w:hint="cs"/>
          <w:sz w:val="22"/>
          <w:szCs w:val="22"/>
          <w:rtl/>
        </w:rPr>
        <w:t xml:space="preserve"> מכ</w:t>
      </w:r>
      <w:r w:rsidR="00EE50D0" w:rsidRPr="008C644E">
        <w:rPr>
          <w:rFonts w:hint="cs"/>
          <w:sz w:val="22"/>
          <w:szCs w:val="22"/>
          <w:rtl/>
        </w:rPr>
        <w:t>ו</w:t>
      </w:r>
      <w:r w:rsidRPr="008C644E">
        <w:rPr>
          <w:rFonts w:hint="cs"/>
          <w:sz w:val="22"/>
          <w:szCs w:val="22"/>
          <w:rtl/>
        </w:rPr>
        <w:t xml:space="preserve">נית שהמצבר שלה שבק וצריך טעינה מחדש, יכול להטען באחת משני דרכי: כבל מאריך או לחילופין סוללה ניידת. לדעת בעל </w:t>
      </w:r>
      <w:proofErr w:type="spellStart"/>
      <w:r w:rsidRPr="008C644E">
        <w:rPr>
          <w:rFonts w:hint="cs"/>
          <w:sz w:val="22"/>
          <w:szCs w:val="22"/>
          <w:rtl/>
        </w:rPr>
        <w:t>קצוה"ח</w:t>
      </w:r>
      <w:proofErr w:type="spellEnd"/>
      <w:r w:rsidRPr="008C644E">
        <w:rPr>
          <w:rFonts w:hint="cs"/>
          <w:sz w:val="22"/>
          <w:szCs w:val="22"/>
          <w:rtl/>
        </w:rPr>
        <w:t xml:space="preserve"> פעולת השליח היא מעין כבל מאריך שבו השליח מתמזג עם הבעל ופועל עבורו, מאידך לדעת בעל </w:t>
      </w:r>
      <w:proofErr w:type="spellStart"/>
      <w:r w:rsidRPr="008C644E">
        <w:rPr>
          <w:rFonts w:hint="cs"/>
          <w:sz w:val="22"/>
          <w:szCs w:val="22"/>
          <w:rtl/>
        </w:rPr>
        <w:t>האו"ש</w:t>
      </w:r>
      <w:proofErr w:type="spellEnd"/>
      <w:r w:rsidRPr="008C644E">
        <w:rPr>
          <w:rFonts w:hint="cs"/>
          <w:sz w:val="22"/>
          <w:szCs w:val="22"/>
          <w:rtl/>
        </w:rPr>
        <w:t xml:space="preserve"> השליח הוא סוללה ניידת העומדת בפני עצמה ופועלת עבור הבעל. </w:t>
      </w:r>
    </w:p>
    <w:p w14:paraId="213B246F" w14:textId="77777777" w:rsidR="00285CB1" w:rsidRPr="008C644E" w:rsidRDefault="00285CB1" w:rsidP="00912CE8">
      <w:pPr>
        <w:spacing w:line="276" w:lineRule="auto"/>
        <w:rPr>
          <w:sz w:val="22"/>
          <w:szCs w:val="22"/>
          <w:rtl/>
        </w:rPr>
      </w:pPr>
      <w:r w:rsidRPr="008C644E">
        <w:rPr>
          <w:rFonts w:hint="cs"/>
          <w:sz w:val="22"/>
          <w:szCs w:val="22"/>
          <w:rtl/>
        </w:rPr>
        <w:t xml:space="preserve">ולכן במקרה שלפנינו כאשר מדובר באסיר הנמצא בבית הסוהר והטבעת אשר באמצעותה קידשו את האישה איננה רכושו באנו למחלוקת האחרונים שלפנינו, </w:t>
      </w:r>
      <w:proofErr w:type="spellStart"/>
      <w:r w:rsidRPr="008C644E">
        <w:rPr>
          <w:rFonts w:hint="cs"/>
          <w:sz w:val="22"/>
          <w:szCs w:val="22"/>
          <w:rtl/>
        </w:rPr>
        <w:t>בפסד"ר</w:t>
      </w:r>
      <w:proofErr w:type="spellEnd"/>
      <w:r w:rsidRPr="008C644E">
        <w:rPr>
          <w:rFonts w:hint="cs"/>
          <w:sz w:val="22"/>
          <w:szCs w:val="22"/>
          <w:rtl/>
        </w:rPr>
        <w:t xml:space="preserve"> נמענו הדיינים מלהכריע במחלוקת זו. שאלה נוספת אשר נדונה בפס"ד ומאירה את כל הדיון שלפנינו הוא באיזו מידה ניתן לבצע יכול שליח לעשות עבור הבעל גם פעולת הנישואין. לאמור לא רק 'אסר לה על כל העולם' הקידושין , אלא גם הפעולה של מכניסה לביתו 'נישואין'. מפשטות המשנה בכתובת מח: העוסקת בשאלה ממתי  נחשבת קטנה המתקדשת לדעת אביה כנמצאת  ברשות הבעל הוא מן השלב של מסירתה לשלוחי הבעל משמע שיש שליחות לעיין חופה. אלא שיש מן הפוסקים אשר סברו כי חופה לא נמסרה לשליחות מדוע ? </w:t>
      </w:r>
    </w:p>
    <w:p w14:paraId="74F180BA" w14:textId="77777777" w:rsidR="00285CB1" w:rsidRPr="008C644E" w:rsidRDefault="00285CB1" w:rsidP="00912CE8">
      <w:pPr>
        <w:spacing w:line="276" w:lineRule="auto"/>
        <w:rPr>
          <w:sz w:val="22"/>
          <w:szCs w:val="22"/>
          <w:rtl/>
        </w:rPr>
      </w:pPr>
      <w:r w:rsidRPr="008C644E">
        <w:rPr>
          <w:rFonts w:hint="cs"/>
          <w:sz w:val="22"/>
          <w:szCs w:val="22"/>
          <w:rtl/>
        </w:rPr>
        <w:t xml:space="preserve">האבני נזר </w:t>
      </w:r>
      <w:proofErr w:type="spellStart"/>
      <w:r w:rsidRPr="008C644E">
        <w:rPr>
          <w:rFonts w:hint="cs"/>
          <w:sz w:val="22"/>
          <w:szCs w:val="22"/>
          <w:rtl/>
        </w:rPr>
        <w:t>בשו"ת</w:t>
      </w:r>
      <w:proofErr w:type="spellEnd"/>
      <w:r w:rsidRPr="008C644E">
        <w:rPr>
          <w:rFonts w:hint="cs"/>
          <w:sz w:val="22"/>
          <w:szCs w:val="22"/>
          <w:rtl/>
        </w:rPr>
        <w:t xml:space="preserve"> (</w:t>
      </w:r>
      <w:proofErr w:type="spellStart"/>
      <w:r w:rsidRPr="008C644E">
        <w:rPr>
          <w:rFonts w:hint="cs"/>
          <w:sz w:val="22"/>
          <w:szCs w:val="22"/>
          <w:rtl/>
        </w:rPr>
        <w:t>אהעז</w:t>
      </w:r>
      <w:proofErr w:type="spellEnd"/>
      <w:r w:rsidRPr="008C644E">
        <w:rPr>
          <w:rFonts w:hint="cs"/>
          <w:sz w:val="22"/>
          <w:szCs w:val="22"/>
          <w:rtl/>
        </w:rPr>
        <w:t xml:space="preserve"> סימן רנה)  סבור כי חופה היא מן אותה דברים הצריכים להיעשות בגופו של הבעל, וכשם שאדם לא יכול לשלוח שליח להניח עבורו תפילין , כך אין הבעל יכול לשלוח שליחים לעשות את פעולות הנישואין שכן הרק הבעל הוא זה שמכניס את האישה לרשותו. אולם יש מן האחרונים בעקבות דברי המשנה בכתובות שישנה שליחות לנישואין ולחופה מאחר שהיא שחופה אינה מדברים שבגופו של הבעל</w:t>
      </w:r>
      <w:r w:rsidRPr="008C644E">
        <w:rPr>
          <w:rStyle w:val="FootnoteReference"/>
          <w:sz w:val="22"/>
          <w:szCs w:val="22"/>
          <w:rtl/>
        </w:rPr>
        <w:footnoteReference w:id="9"/>
      </w:r>
      <w:r w:rsidRPr="008C644E">
        <w:rPr>
          <w:rFonts w:hint="cs"/>
          <w:sz w:val="22"/>
          <w:szCs w:val="22"/>
          <w:rtl/>
        </w:rPr>
        <w:t>.</w:t>
      </w:r>
    </w:p>
    <w:p w14:paraId="6FE44791" w14:textId="77777777" w:rsidR="00285CB1" w:rsidRPr="008C644E" w:rsidRDefault="00285CB1" w:rsidP="00912CE8">
      <w:pPr>
        <w:spacing w:line="276" w:lineRule="auto"/>
        <w:rPr>
          <w:sz w:val="22"/>
          <w:szCs w:val="22"/>
          <w:rtl/>
        </w:rPr>
      </w:pPr>
      <w:r w:rsidRPr="008C644E">
        <w:rPr>
          <w:rFonts w:hint="cs"/>
          <w:sz w:val="22"/>
          <w:szCs w:val="22"/>
          <w:rtl/>
        </w:rPr>
        <w:t xml:space="preserve">לסיום </w:t>
      </w:r>
      <w:proofErr w:type="spellStart"/>
      <w:r w:rsidRPr="008C644E">
        <w:rPr>
          <w:rFonts w:hint="cs"/>
          <w:sz w:val="22"/>
          <w:szCs w:val="22"/>
          <w:rtl/>
        </w:rPr>
        <w:t>בפסד"ר</w:t>
      </w:r>
      <w:proofErr w:type="spellEnd"/>
      <w:r w:rsidRPr="008C644E">
        <w:rPr>
          <w:rFonts w:hint="cs"/>
          <w:sz w:val="22"/>
          <w:szCs w:val="22"/>
          <w:rtl/>
        </w:rPr>
        <w:t xml:space="preserve"> שלפנינו נחלקו הדיינים באיזו מידה ניתן להתחשב בשליחות שלפנינו, שנים מתוך חברי ההרכב אשר נימוקים מופיעים בגוף פס"ד הראו צדדים שונים מדוע ניתן להכשיר ואף לפסול את השליחים, הדיין שהכריע כי קידושי הזוג אינם תופסים עשה זאת לאור שיקול נוסף והוא מטרת הקידושין. כאמור אסיר העולם היה אסיר פוליטי והאקט של הקידושין בתוך כותלי הכלא היה לדעת הדיין </w:t>
      </w:r>
      <w:proofErr w:type="spellStart"/>
      <w:r w:rsidRPr="008C644E">
        <w:rPr>
          <w:rFonts w:hint="cs"/>
          <w:sz w:val="22"/>
          <w:szCs w:val="22"/>
          <w:rtl/>
        </w:rPr>
        <w:t>אקפט</w:t>
      </w:r>
      <w:proofErr w:type="spellEnd"/>
      <w:r w:rsidRPr="008C644E">
        <w:rPr>
          <w:rFonts w:hint="cs"/>
          <w:sz w:val="22"/>
          <w:szCs w:val="22"/>
          <w:rtl/>
        </w:rPr>
        <w:t xml:space="preserve"> </w:t>
      </w:r>
      <w:r w:rsidRPr="008C644E">
        <w:rPr>
          <w:rFonts w:hint="cs"/>
          <w:sz w:val="22"/>
          <w:szCs w:val="22"/>
          <w:rtl/>
        </w:rPr>
        <w:lastRenderedPageBreak/>
        <w:t xml:space="preserve">הפגנתי שלא ברור היה באותה שעה , האם האסיר אכן רוצה להתקדש לאישה או שמא כל דעתו הוא להתריס כנגד המדינה. שאלה זו האם ניתן להתחשב בקידושין ונישואין שמטרתם לא ליצור קשר זוגי אלא לקדם אינטרס אחרים 'נישואים </w:t>
      </w:r>
      <w:proofErr w:type="spellStart"/>
      <w:r w:rsidRPr="008C644E">
        <w:rPr>
          <w:rFonts w:hint="cs"/>
          <w:sz w:val="22"/>
          <w:szCs w:val="22"/>
          <w:rtl/>
        </w:rPr>
        <w:t>פיקטיבים</w:t>
      </w:r>
      <w:proofErr w:type="spellEnd"/>
      <w:r w:rsidRPr="008C644E">
        <w:rPr>
          <w:rFonts w:hint="cs"/>
          <w:sz w:val="22"/>
          <w:szCs w:val="22"/>
          <w:rtl/>
        </w:rPr>
        <w:t>', נידונה בפוסקים במקרים בהם זוגות נישאו כדי להתגבר על בעיות עם השלטון וכדו, עמדת הפוסקים</w:t>
      </w:r>
      <w:r w:rsidRPr="008C644E">
        <w:rPr>
          <w:rStyle w:val="FootnoteReference"/>
          <w:sz w:val="22"/>
          <w:szCs w:val="22"/>
          <w:rtl/>
        </w:rPr>
        <w:footnoteReference w:id="10"/>
      </w:r>
      <w:r w:rsidRPr="008C644E">
        <w:rPr>
          <w:rFonts w:hint="cs"/>
          <w:sz w:val="22"/>
          <w:szCs w:val="22"/>
          <w:rtl/>
        </w:rPr>
        <w:t xml:space="preserve"> במקרים אלו שהקידושין והנישואים אינם תופסים.  </w:t>
      </w:r>
    </w:p>
    <w:p w14:paraId="397417AA" w14:textId="77777777" w:rsidR="00EA40F3" w:rsidRPr="008C644E" w:rsidRDefault="00EA40F3" w:rsidP="00912CE8">
      <w:pPr>
        <w:spacing w:line="276" w:lineRule="auto"/>
        <w:rPr>
          <w:rFonts w:ascii="Narkisim" w:hAnsi="Narkisim"/>
          <w:sz w:val="22"/>
          <w:szCs w:val="22"/>
          <w:rtl/>
        </w:rPr>
      </w:pPr>
    </w:p>
    <w:p w14:paraId="4090DF48" w14:textId="5042FECF" w:rsidR="00EA40F3" w:rsidRDefault="00EA40F3" w:rsidP="00912CE8">
      <w:pPr>
        <w:spacing w:line="276" w:lineRule="auto"/>
        <w:rPr>
          <w:rFonts w:ascii="Narkisim" w:hAnsi="Narkisim"/>
          <w:sz w:val="22"/>
          <w:szCs w:val="22"/>
          <w:rtl/>
        </w:rPr>
      </w:pPr>
    </w:p>
    <w:p w14:paraId="353637FF" w14:textId="7C0F0195" w:rsidR="008C644E" w:rsidRDefault="008C644E" w:rsidP="00912CE8">
      <w:pPr>
        <w:spacing w:line="276" w:lineRule="auto"/>
        <w:rPr>
          <w:rFonts w:ascii="Narkisim" w:hAnsi="Narkisim"/>
          <w:sz w:val="22"/>
          <w:szCs w:val="22"/>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8C644E" w14:paraId="3C870D86" w14:textId="77777777" w:rsidTr="003A2ABE">
        <w:trPr>
          <w:cantSplit/>
        </w:trPr>
        <w:tc>
          <w:tcPr>
            <w:tcW w:w="283" w:type="dxa"/>
            <w:tcBorders>
              <w:top w:val="nil"/>
              <w:left w:val="nil"/>
              <w:bottom w:val="nil"/>
              <w:right w:val="nil"/>
            </w:tcBorders>
          </w:tcPr>
          <w:p w14:paraId="6ED5083E" w14:textId="77777777" w:rsidR="008C644E" w:rsidRDefault="008C644E" w:rsidP="003A2ABE">
            <w:pPr>
              <w:pStyle w:val="a"/>
              <w:contextualSpacing/>
            </w:pPr>
            <w:r>
              <w:rPr>
                <w:rtl/>
              </w:rPr>
              <w:t>*</w:t>
            </w:r>
          </w:p>
        </w:tc>
        <w:tc>
          <w:tcPr>
            <w:tcW w:w="4111" w:type="dxa"/>
            <w:tcBorders>
              <w:top w:val="nil"/>
              <w:left w:val="nil"/>
              <w:bottom w:val="nil"/>
              <w:right w:val="nil"/>
            </w:tcBorders>
          </w:tcPr>
          <w:p w14:paraId="7DAA29F5" w14:textId="77777777" w:rsidR="008C644E" w:rsidRDefault="008C644E" w:rsidP="003A2ABE">
            <w:pPr>
              <w:pStyle w:val="a"/>
              <w:contextualSpacing/>
            </w:pPr>
            <w:r>
              <w:rPr>
                <w:rtl/>
              </w:rPr>
              <w:t>**********************************************************</w:t>
            </w:r>
          </w:p>
        </w:tc>
        <w:tc>
          <w:tcPr>
            <w:tcW w:w="284" w:type="dxa"/>
            <w:tcBorders>
              <w:top w:val="nil"/>
              <w:left w:val="nil"/>
              <w:bottom w:val="nil"/>
              <w:right w:val="nil"/>
            </w:tcBorders>
          </w:tcPr>
          <w:p w14:paraId="04188A87" w14:textId="77777777" w:rsidR="008C644E" w:rsidRDefault="008C644E" w:rsidP="003A2ABE">
            <w:pPr>
              <w:pStyle w:val="a"/>
              <w:contextualSpacing/>
            </w:pPr>
            <w:r>
              <w:rPr>
                <w:rtl/>
              </w:rPr>
              <w:t>*</w:t>
            </w:r>
          </w:p>
        </w:tc>
      </w:tr>
      <w:tr w:rsidR="008C644E" w14:paraId="51FBEB71" w14:textId="77777777" w:rsidTr="003A2ABE">
        <w:trPr>
          <w:cantSplit/>
        </w:trPr>
        <w:tc>
          <w:tcPr>
            <w:tcW w:w="283" w:type="dxa"/>
            <w:tcBorders>
              <w:top w:val="nil"/>
              <w:left w:val="nil"/>
              <w:bottom w:val="nil"/>
              <w:right w:val="nil"/>
            </w:tcBorders>
          </w:tcPr>
          <w:p w14:paraId="241E952A" w14:textId="77777777" w:rsidR="008C644E" w:rsidRDefault="008C644E" w:rsidP="003A2ABE">
            <w:pPr>
              <w:pStyle w:val="a"/>
              <w:contextualSpacing/>
            </w:pPr>
            <w:r>
              <w:rPr>
                <w:rtl/>
              </w:rPr>
              <w:t xml:space="preserve">* * * * * * * </w:t>
            </w:r>
          </w:p>
        </w:tc>
        <w:tc>
          <w:tcPr>
            <w:tcW w:w="4111" w:type="dxa"/>
            <w:tcBorders>
              <w:top w:val="nil"/>
              <w:left w:val="nil"/>
              <w:bottom w:val="nil"/>
              <w:right w:val="nil"/>
            </w:tcBorders>
          </w:tcPr>
          <w:p w14:paraId="444D2AAC" w14:textId="77777777" w:rsidR="008C644E" w:rsidRDefault="008C644E" w:rsidP="003A2ABE">
            <w:pPr>
              <w:pStyle w:val="a"/>
              <w:contextualSpacing/>
              <w:rPr>
                <w:rtl/>
              </w:rPr>
            </w:pPr>
            <w:r>
              <w:rPr>
                <w:rtl/>
              </w:rPr>
              <w:t>כל הזכויות שמורות לישיבת הר עציון</w:t>
            </w:r>
            <w:r>
              <w:rPr>
                <w:rFonts w:hint="cs"/>
                <w:rtl/>
              </w:rPr>
              <w:t xml:space="preserve"> ולאוהד פיקסלר</w:t>
            </w:r>
          </w:p>
          <w:p w14:paraId="5F6AEE16" w14:textId="77777777" w:rsidR="008C644E" w:rsidRDefault="008C644E" w:rsidP="003A2ABE">
            <w:pPr>
              <w:pStyle w:val="a"/>
              <w:contextualSpacing/>
              <w:rPr>
                <w:rtl/>
              </w:rPr>
            </w:pPr>
            <w:r>
              <w:rPr>
                <w:rtl/>
              </w:rPr>
              <w:t xml:space="preserve">עורך: </w:t>
            </w:r>
            <w:r>
              <w:rPr>
                <w:rFonts w:hint="cs"/>
                <w:rtl/>
              </w:rPr>
              <w:t>אסף בראון, תשע"ט</w:t>
            </w:r>
          </w:p>
          <w:p w14:paraId="243CA786" w14:textId="77777777" w:rsidR="008C644E" w:rsidRDefault="008C644E" w:rsidP="003A2ABE">
            <w:pPr>
              <w:pStyle w:val="a"/>
              <w:contextualSpacing/>
              <w:rPr>
                <w:rtl/>
              </w:rPr>
            </w:pPr>
            <w:r>
              <w:rPr>
                <w:rtl/>
              </w:rPr>
              <w:t>*******************************************************</w:t>
            </w:r>
          </w:p>
          <w:p w14:paraId="45F377E0" w14:textId="77777777" w:rsidR="008C644E" w:rsidRDefault="008C644E" w:rsidP="003A2ABE">
            <w:pPr>
              <w:pStyle w:val="a"/>
              <w:contextualSpacing/>
              <w:rPr>
                <w:rtl/>
              </w:rPr>
            </w:pPr>
            <w:r>
              <w:rPr>
                <w:rtl/>
              </w:rPr>
              <w:t xml:space="preserve">בית המדרש הוירטואלי </w:t>
            </w:r>
          </w:p>
          <w:p w14:paraId="284AAF0F" w14:textId="77777777" w:rsidR="008C644E" w:rsidRPr="005734F1" w:rsidRDefault="008C644E" w:rsidP="003A2ABE">
            <w:pPr>
              <w:pStyle w:val="a"/>
              <w:contextualSpacing/>
              <w:rPr>
                <w:rtl/>
              </w:rPr>
            </w:pPr>
            <w:r w:rsidRPr="005734F1">
              <w:rPr>
                <w:rtl/>
              </w:rPr>
              <w:t xml:space="preserve">מיסודו של </w:t>
            </w:r>
          </w:p>
          <w:p w14:paraId="542A8E64" w14:textId="77777777" w:rsidR="008C644E" w:rsidRPr="005734F1" w:rsidRDefault="008C644E" w:rsidP="003A2ABE">
            <w:pPr>
              <w:pStyle w:val="a"/>
              <w:contextualSpacing/>
              <w:rPr>
                <w:rtl/>
              </w:rPr>
            </w:pPr>
            <w:r w:rsidRPr="005734F1">
              <w:t>The Israel Koschitzky Virtual Beit Midrash</w:t>
            </w:r>
          </w:p>
          <w:p w14:paraId="7FA57827" w14:textId="77777777" w:rsidR="008C644E" w:rsidRDefault="008C644E" w:rsidP="003A2ABE">
            <w:pPr>
              <w:pStyle w:val="a"/>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09FF6A9B" w14:textId="77777777" w:rsidR="008C644E" w:rsidRDefault="008C644E" w:rsidP="003A2ABE">
            <w:pPr>
              <w:pStyle w:val="a"/>
              <w:contextualSpacing/>
              <w:rPr>
                <w:noProof w:val="0"/>
                <w:rtl/>
              </w:rPr>
            </w:pPr>
            <w:r>
              <w:rPr>
                <w:noProof w:val="0"/>
                <w:rtl/>
              </w:rPr>
              <w:t>האתר באנגלית:</w:t>
            </w:r>
            <w:r>
              <w:rPr>
                <w:noProof w:val="0"/>
                <w:rtl/>
              </w:rPr>
              <w:tab/>
            </w:r>
            <w:hyperlink r:id="rId9" w:history="1">
              <w:r>
                <w:rPr>
                  <w:rStyle w:val="Hyperlink"/>
                </w:rPr>
                <w:t>http://www.vbm-torah.org</w:t>
              </w:r>
            </w:hyperlink>
          </w:p>
          <w:p w14:paraId="26A9684B" w14:textId="77777777" w:rsidR="008C644E" w:rsidRDefault="008C644E" w:rsidP="003A2ABE">
            <w:pPr>
              <w:pStyle w:val="a"/>
              <w:contextualSpacing/>
              <w:rPr>
                <w:rtl/>
              </w:rPr>
            </w:pPr>
          </w:p>
          <w:p w14:paraId="4C12D0A0" w14:textId="77777777" w:rsidR="008C644E" w:rsidRDefault="008C644E" w:rsidP="003A2ABE">
            <w:pPr>
              <w:pStyle w:val="a"/>
              <w:contextualSpacing/>
              <w:rPr>
                <w:rtl/>
              </w:rPr>
            </w:pPr>
            <w:r>
              <w:rPr>
                <w:rtl/>
              </w:rPr>
              <w:t xml:space="preserve">משרדי בית המדרש הוירטואלי: 02-9937300 שלוחה 5 </w:t>
            </w:r>
          </w:p>
          <w:p w14:paraId="08DA59A1" w14:textId="77777777" w:rsidR="008C644E" w:rsidRDefault="008C644E" w:rsidP="003A2ABE">
            <w:pPr>
              <w:pStyle w:val="a"/>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BAD1E40" w14:textId="77777777" w:rsidR="008C644E" w:rsidRDefault="008C644E" w:rsidP="003A2ABE">
            <w:pPr>
              <w:pStyle w:val="a"/>
              <w:contextualSpacing/>
            </w:pPr>
          </w:p>
        </w:tc>
        <w:tc>
          <w:tcPr>
            <w:tcW w:w="284" w:type="dxa"/>
            <w:tcBorders>
              <w:top w:val="nil"/>
              <w:left w:val="nil"/>
              <w:bottom w:val="nil"/>
              <w:right w:val="nil"/>
            </w:tcBorders>
          </w:tcPr>
          <w:p w14:paraId="7B6E4FE5" w14:textId="77777777" w:rsidR="008C644E" w:rsidRDefault="008C644E" w:rsidP="003A2ABE">
            <w:pPr>
              <w:pStyle w:val="a"/>
              <w:contextualSpacing/>
              <w:rPr>
                <w:rtl/>
              </w:rPr>
            </w:pPr>
            <w:r>
              <w:rPr>
                <w:rtl/>
              </w:rPr>
              <w:t xml:space="preserve">* * * * * * * </w:t>
            </w:r>
          </w:p>
        </w:tc>
      </w:tr>
    </w:tbl>
    <w:p w14:paraId="66BCAA10" w14:textId="77777777" w:rsidR="008C644E" w:rsidRPr="008C644E" w:rsidRDefault="008C644E" w:rsidP="00912CE8">
      <w:pPr>
        <w:spacing w:line="276" w:lineRule="auto"/>
        <w:rPr>
          <w:rFonts w:ascii="Narkisim" w:hAnsi="Narkisim"/>
          <w:sz w:val="22"/>
          <w:szCs w:val="22"/>
        </w:rPr>
      </w:pPr>
    </w:p>
    <w:p w14:paraId="7153CF40" w14:textId="77777777" w:rsidR="00EA40F3" w:rsidRPr="008C644E" w:rsidRDefault="00EA40F3" w:rsidP="00912CE8">
      <w:pPr>
        <w:spacing w:line="276" w:lineRule="auto"/>
        <w:rPr>
          <w:sz w:val="22"/>
          <w:szCs w:val="22"/>
        </w:rPr>
      </w:pPr>
    </w:p>
    <w:sectPr w:rsidR="00EA40F3" w:rsidRPr="008C644E" w:rsidSect="00EA40F3">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FFC77" w14:textId="77777777" w:rsidR="00E120AB" w:rsidRDefault="00E120AB" w:rsidP="00EA40F3">
      <w:pPr>
        <w:spacing w:after="0" w:line="240" w:lineRule="auto"/>
      </w:pPr>
      <w:r>
        <w:separator/>
      </w:r>
    </w:p>
  </w:endnote>
  <w:endnote w:type="continuationSeparator" w:id="0">
    <w:p w14:paraId="0C73F53A" w14:textId="77777777" w:rsidR="00E120AB" w:rsidRDefault="00E120AB" w:rsidP="00EA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BC525" w14:textId="77777777" w:rsidR="00E120AB" w:rsidRDefault="00E120AB" w:rsidP="00EA40F3">
      <w:pPr>
        <w:spacing w:after="0" w:line="240" w:lineRule="auto"/>
      </w:pPr>
      <w:r>
        <w:separator/>
      </w:r>
    </w:p>
  </w:footnote>
  <w:footnote w:type="continuationSeparator" w:id="0">
    <w:p w14:paraId="39ED447D" w14:textId="77777777" w:rsidR="00E120AB" w:rsidRDefault="00E120AB" w:rsidP="00EA40F3">
      <w:pPr>
        <w:spacing w:after="0" w:line="240" w:lineRule="auto"/>
      </w:pPr>
      <w:r>
        <w:continuationSeparator/>
      </w:r>
    </w:p>
  </w:footnote>
  <w:footnote w:id="1">
    <w:p w14:paraId="7FB98F74" w14:textId="1D5A7ECE" w:rsidR="00EA10E7" w:rsidRDefault="00EA10E7" w:rsidP="00EA10E7">
      <w:pPr>
        <w:pStyle w:val="FootnoteText"/>
      </w:pPr>
      <w:r>
        <w:rPr>
          <w:rStyle w:val="FootnoteReference"/>
          <w:rFonts w:eastAsia="Narkisim"/>
        </w:rPr>
        <w:footnoteRef/>
      </w:r>
      <w:r>
        <w:rPr>
          <w:rtl/>
        </w:rPr>
        <w:t xml:space="preserve"> </w:t>
      </w:r>
      <w:r>
        <w:rPr>
          <w:rFonts w:hint="cs"/>
          <w:rtl/>
        </w:rPr>
        <w:t xml:space="preserve">לזכרו של הרב ישעיהו נגר זצ"ל נפטר בשיבה טובה בנר שלישי של חנוכה תשע"ט,  </w:t>
      </w:r>
      <w:r>
        <w:rPr>
          <w:rFonts w:hint="cs"/>
          <w:b/>
          <w:bCs/>
          <w:rtl/>
        </w:rPr>
        <w:t xml:space="preserve">הרב התחיל ללמד בשנות ה 40 של המאה העשרים עד תחילת האמה העשרים ואחת בישיבת יבנה בחיפה , העמיד דורות של תלמידים אשר השפיעו ומשפיעים על החברה בישראל מבתי המדרש של הציונים והחרדיים ועד למסדרונות הקבינט ובית המשפט העליון. </w:t>
      </w:r>
      <w:proofErr w:type="spellStart"/>
      <w:r>
        <w:rPr>
          <w:rFonts w:hint="cs"/>
          <w:b/>
          <w:bCs/>
          <w:rtl/>
        </w:rPr>
        <w:t>כחו</w:t>
      </w:r>
      <w:proofErr w:type="spellEnd"/>
      <w:r>
        <w:rPr>
          <w:rFonts w:hint="cs"/>
          <w:b/>
          <w:bCs/>
          <w:rtl/>
        </w:rPr>
        <w:t xml:space="preserve"> המיוחד של הרב </w:t>
      </w:r>
      <w:proofErr w:type="spellStart"/>
      <w:r>
        <w:rPr>
          <w:rFonts w:hint="cs"/>
          <w:b/>
          <w:bCs/>
          <w:rtl/>
        </w:rPr>
        <w:t>היתה</w:t>
      </w:r>
      <w:proofErr w:type="spellEnd"/>
      <w:r>
        <w:rPr>
          <w:rFonts w:hint="cs"/>
          <w:b/>
          <w:bCs/>
          <w:rtl/>
        </w:rPr>
        <w:t xml:space="preserve"> בהתמדתו כל חייו היו בבחינת דרך מצוותיך ארוצה , ארוצה כפשטו שכן הרב היה רץ גם בגיל מפולג , וארוצה מבחינת רוחנית בהתמדה בשקידה בנכונות לחנך ולעמיד תלמידים רבים בבחינת מוסיף והולך.  </w:t>
      </w:r>
    </w:p>
  </w:footnote>
  <w:footnote w:id="2">
    <w:p w14:paraId="13030572" w14:textId="77777777" w:rsidR="007B506A" w:rsidRDefault="007B506A" w:rsidP="007B506A">
      <w:pPr>
        <w:pStyle w:val="FootnoteText"/>
        <w:rPr>
          <w:rtl/>
        </w:rPr>
      </w:pPr>
      <w:r>
        <w:rPr>
          <w:rStyle w:val="FootnoteReference"/>
          <w:rFonts w:eastAsia="Narkisim"/>
        </w:rPr>
        <w:footnoteRef/>
      </w:r>
      <w:r>
        <w:rPr>
          <w:rtl/>
        </w:rPr>
        <w:t xml:space="preserve"> </w:t>
      </w:r>
      <w:r>
        <w:rPr>
          <w:rFonts w:hint="cs"/>
          <w:rtl/>
        </w:rPr>
        <w:t xml:space="preserve">האחרונים מנגידים זאת למהות הנישואין אצל בני נח, שם גם יש דין של נישואים, מדין ודבק באשתו ולא באשת </w:t>
      </w:r>
      <w:proofErr w:type="spellStart"/>
      <w:r>
        <w:rPr>
          <w:rFonts w:hint="cs"/>
          <w:rtl/>
        </w:rPr>
        <w:t>חבירו</w:t>
      </w:r>
      <w:proofErr w:type="spellEnd"/>
      <w:r>
        <w:rPr>
          <w:rFonts w:hint="cs"/>
          <w:rtl/>
        </w:rPr>
        <w:t xml:space="preserve">, אבל כל הדין הוא דין פיזי מציאותי ולא משפטי פורמלי. ראו את הדיון אצל מו"ר </w:t>
      </w:r>
      <w:proofErr w:type="spellStart"/>
      <w:r>
        <w:rPr>
          <w:rFonts w:hint="cs"/>
          <w:rtl/>
        </w:rPr>
        <w:t>הרא"ל</w:t>
      </w:r>
      <w:proofErr w:type="spellEnd"/>
      <w:r>
        <w:rPr>
          <w:rFonts w:hint="cs"/>
          <w:rtl/>
        </w:rPr>
        <w:t>:</w:t>
      </w:r>
    </w:p>
    <w:p w14:paraId="5D5CB12E" w14:textId="192DF454" w:rsidR="007B506A" w:rsidRPr="007B506A" w:rsidRDefault="00A355AD" w:rsidP="007B506A">
      <w:pPr>
        <w:pStyle w:val="FootnoteText"/>
        <w:rPr>
          <w:rFonts w:asciiTheme="minorHAnsi" w:hAnsiTheme="minorHAnsi"/>
          <w:rtl/>
        </w:rPr>
      </w:pPr>
      <w:hyperlink r:id="rId1" w:history="1">
        <w:r w:rsidR="007B506A" w:rsidRPr="00E840C7">
          <w:rPr>
            <w:rStyle w:val="Hyperlink"/>
          </w:rPr>
          <w:t>http://www.etzion.gush.net/vbm/archive/gittin-hebrew/01gittin.php</w:t>
        </w:r>
      </w:hyperlink>
    </w:p>
    <w:p w14:paraId="70613C8C" w14:textId="77777777" w:rsidR="007B506A" w:rsidRDefault="007B506A">
      <w:pPr>
        <w:pStyle w:val="FootnoteText"/>
        <w:rPr>
          <w:rtl/>
        </w:rPr>
      </w:pPr>
    </w:p>
  </w:footnote>
  <w:footnote w:id="3">
    <w:p w14:paraId="239A8A60" w14:textId="77777777" w:rsidR="00285CB1" w:rsidRDefault="00285CB1" w:rsidP="00285CB1">
      <w:pPr>
        <w:pStyle w:val="FootnoteText"/>
        <w:rPr>
          <w:rtl/>
        </w:rPr>
      </w:pPr>
      <w:r>
        <w:rPr>
          <w:rStyle w:val="FootnoteReference"/>
          <w:rFonts w:eastAsia="Narkisim"/>
        </w:rPr>
        <w:footnoteRef/>
      </w:r>
      <w:r>
        <w:rPr>
          <w:rtl/>
        </w:rPr>
        <w:t xml:space="preserve"> </w:t>
      </w:r>
      <w:r>
        <w:rPr>
          <w:rFonts w:hint="cs"/>
          <w:rtl/>
        </w:rPr>
        <w:t>ראה גיטין עז. רמב"ם גירושין ה:א</w:t>
      </w:r>
    </w:p>
  </w:footnote>
  <w:footnote w:id="4">
    <w:p w14:paraId="7ABB52B9" w14:textId="77777777" w:rsidR="00285CB1" w:rsidRDefault="00285CB1" w:rsidP="00285CB1">
      <w:pPr>
        <w:pStyle w:val="FootnoteText"/>
        <w:rPr>
          <w:rtl/>
        </w:rPr>
      </w:pPr>
      <w:r>
        <w:rPr>
          <w:rStyle w:val="FootnoteReference"/>
          <w:rFonts w:eastAsia="Narkisim"/>
        </w:rPr>
        <w:footnoteRef/>
      </w:r>
      <w:r>
        <w:rPr>
          <w:rtl/>
        </w:rPr>
        <w:t xml:space="preserve"> </w:t>
      </w:r>
      <w:r>
        <w:rPr>
          <w:rFonts w:hint="cs"/>
          <w:rtl/>
        </w:rPr>
        <w:t>גיטין כד.</w:t>
      </w:r>
    </w:p>
  </w:footnote>
  <w:footnote w:id="5">
    <w:p w14:paraId="7F6178D7" w14:textId="0BBAB8BD" w:rsidR="00285CB1" w:rsidRDefault="00285CB1" w:rsidP="00285CB1">
      <w:pPr>
        <w:pStyle w:val="FootnoteText"/>
      </w:pPr>
      <w:r>
        <w:rPr>
          <w:rStyle w:val="FootnoteReference"/>
          <w:rFonts w:eastAsia="Narkisim"/>
        </w:rPr>
        <w:footnoteRef/>
      </w:r>
      <w:r>
        <w:rPr>
          <w:rtl/>
        </w:rPr>
        <w:t xml:space="preserve"> </w:t>
      </w:r>
      <w:r>
        <w:rPr>
          <w:rFonts w:hint="cs"/>
          <w:rtl/>
        </w:rPr>
        <w:t>שו"ת עונג יו"ט סימן קלו</w:t>
      </w:r>
      <w:r w:rsidR="00F23370">
        <w:rPr>
          <w:rFonts w:hint="cs"/>
          <w:rtl/>
        </w:rPr>
        <w:t>.</w:t>
      </w:r>
      <w:r>
        <w:rPr>
          <w:rFonts w:hint="cs"/>
          <w:rtl/>
        </w:rPr>
        <w:t xml:space="preserve"> </w:t>
      </w:r>
    </w:p>
  </w:footnote>
  <w:footnote w:id="6">
    <w:p w14:paraId="5965D733" w14:textId="77777777" w:rsidR="00285CB1" w:rsidRDefault="00285CB1" w:rsidP="00285CB1">
      <w:pPr>
        <w:pStyle w:val="FootnoteText"/>
        <w:rPr>
          <w:rtl/>
        </w:rPr>
      </w:pPr>
      <w:r>
        <w:rPr>
          <w:rStyle w:val="FootnoteReference"/>
          <w:rFonts w:eastAsia="Narkisim"/>
        </w:rPr>
        <w:footnoteRef/>
      </w:r>
      <w:r>
        <w:rPr>
          <w:rtl/>
        </w:rPr>
        <w:t xml:space="preserve"> </w:t>
      </w:r>
      <w:r>
        <w:rPr>
          <w:rFonts w:hint="cs"/>
          <w:rtl/>
        </w:rPr>
        <w:t xml:space="preserve">מקורה של הבחנה זו היא בדברים </w:t>
      </w:r>
      <w:proofErr w:type="spellStart"/>
      <w:r>
        <w:rPr>
          <w:rFonts w:hint="cs"/>
          <w:rtl/>
        </w:rPr>
        <w:t>התורי"ד</w:t>
      </w:r>
      <w:proofErr w:type="spellEnd"/>
      <w:r>
        <w:rPr>
          <w:rFonts w:hint="cs"/>
          <w:rtl/>
        </w:rPr>
        <w:t xml:space="preserve"> קידושין </w:t>
      </w:r>
      <w:proofErr w:type="spellStart"/>
      <w:r>
        <w:rPr>
          <w:rFonts w:hint="cs"/>
          <w:rtl/>
        </w:rPr>
        <w:t>מב</w:t>
      </w:r>
      <w:proofErr w:type="spellEnd"/>
      <w:r>
        <w:rPr>
          <w:rFonts w:hint="cs"/>
          <w:rtl/>
        </w:rPr>
        <w:t>: ד"ה שאני התם</w:t>
      </w:r>
    </w:p>
  </w:footnote>
  <w:footnote w:id="7">
    <w:p w14:paraId="32FDAC8D" w14:textId="77777777" w:rsidR="00285CB1" w:rsidRDefault="00285CB1" w:rsidP="00285CB1">
      <w:pPr>
        <w:pStyle w:val="FootnoteText"/>
        <w:rPr>
          <w:rtl/>
        </w:rPr>
      </w:pPr>
      <w:r>
        <w:rPr>
          <w:rStyle w:val="FootnoteReference"/>
          <w:rFonts w:eastAsia="Narkisim"/>
        </w:rPr>
        <w:footnoteRef/>
      </w:r>
      <w:r>
        <w:rPr>
          <w:rtl/>
        </w:rPr>
        <w:t xml:space="preserve"> </w:t>
      </w:r>
      <w:r>
        <w:rPr>
          <w:rFonts w:hint="cs"/>
          <w:rtl/>
        </w:rPr>
        <w:t>ראה הערה 3</w:t>
      </w:r>
    </w:p>
  </w:footnote>
  <w:footnote w:id="8">
    <w:p w14:paraId="5D506E7E" w14:textId="77777777" w:rsidR="00EE50D0" w:rsidRDefault="00EE50D0" w:rsidP="00EE50D0">
      <w:pPr>
        <w:pStyle w:val="FootnoteText"/>
      </w:pPr>
      <w:r>
        <w:rPr>
          <w:rStyle w:val="FootnoteReference"/>
          <w:rFonts w:eastAsia="Narkisim"/>
        </w:rPr>
        <w:footnoteRef/>
      </w:r>
      <w:r>
        <w:rPr>
          <w:rtl/>
        </w:rPr>
        <w:t xml:space="preserve"> </w:t>
      </w:r>
      <w:r>
        <w:rPr>
          <w:rFonts w:hint="cs"/>
          <w:rtl/>
        </w:rPr>
        <w:t xml:space="preserve">ראה </w:t>
      </w:r>
      <w:r>
        <w:rPr>
          <w:rFonts w:cs="Arial" w:hint="cs"/>
          <w:rtl/>
        </w:rPr>
        <w:t>פסקי</w:t>
      </w:r>
      <w:r>
        <w:rPr>
          <w:rFonts w:cs="Arial"/>
          <w:rtl/>
        </w:rPr>
        <w:t xml:space="preserve"> </w:t>
      </w:r>
      <w:r>
        <w:rPr>
          <w:rFonts w:cs="Arial" w:hint="cs"/>
          <w:rtl/>
        </w:rPr>
        <w:t>דין</w:t>
      </w:r>
      <w:r>
        <w:rPr>
          <w:rFonts w:cs="Arial"/>
          <w:rtl/>
        </w:rPr>
        <w:t xml:space="preserve"> - </w:t>
      </w:r>
      <w:r>
        <w:rPr>
          <w:rFonts w:cs="Arial" w:hint="cs"/>
          <w:rtl/>
        </w:rPr>
        <w:t>ירושלים</w:t>
      </w:r>
      <w:r>
        <w:rPr>
          <w:rFonts w:cs="Arial"/>
          <w:rtl/>
        </w:rPr>
        <w:t xml:space="preserve"> </w:t>
      </w:r>
      <w:r>
        <w:rPr>
          <w:rFonts w:cs="Arial" w:hint="cs"/>
          <w:rtl/>
        </w:rPr>
        <w:t>דיני</w:t>
      </w:r>
      <w:r>
        <w:rPr>
          <w:rFonts w:cs="Arial"/>
          <w:rtl/>
        </w:rPr>
        <w:t xml:space="preserve"> </w:t>
      </w:r>
      <w:r>
        <w:rPr>
          <w:rFonts w:cs="Arial" w:hint="cs"/>
          <w:rtl/>
        </w:rPr>
        <w:t>ממונות</w:t>
      </w:r>
      <w:r>
        <w:rPr>
          <w:rFonts w:cs="Arial"/>
          <w:rtl/>
        </w:rPr>
        <w:t xml:space="preserve"> </w:t>
      </w:r>
      <w:r>
        <w:rPr>
          <w:rFonts w:cs="Arial" w:hint="cs"/>
          <w:rtl/>
        </w:rPr>
        <w:t>ובירורי</w:t>
      </w:r>
      <w:r>
        <w:rPr>
          <w:rFonts w:cs="Arial"/>
          <w:rtl/>
        </w:rPr>
        <w:t xml:space="preserve"> </w:t>
      </w:r>
      <w:r>
        <w:rPr>
          <w:rFonts w:cs="Arial" w:hint="cs"/>
          <w:rtl/>
        </w:rPr>
        <w:t>יוחסין</w:t>
      </w:r>
      <w:r>
        <w:rPr>
          <w:rFonts w:cs="Arial"/>
          <w:rtl/>
        </w:rPr>
        <w:t xml:space="preserve"> </w:t>
      </w:r>
      <w:r>
        <w:rPr>
          <w:rFonts w:cs="Arial" w:hint="cs"/>
          <w:rtl/>
        </w:rPr>
        <w:t>י</w:t>
      </w:r>
      <w:r>
        <w:rPr>
          <w:rFonts w:cs="Arial"/>
          <w:rtl/>
        </w:rPr>
        <w:t xml:space="preserve"> </w:t>
      </w:r>
      <w:r>
        <w:rPr>
          <w:rFonts w:cs="Arial" w:hint="cs"/>
          <w:rtl/>
        </w:rPr>
        <w:t>עמוד</w:t>
      </w:r>
      <w:r>
        <w:rPr>
          <w:rFonts w:cs="Arial"/>
          <w:rtl/>
        </w:rPr>
        <w:t xml:space="preserve"> </w:t>
      </w:r>
      <w:proofErr w:type="spellStart"/>
      <w:r>
        <w:rPr>
          <w:rFonts w:cs="Arial" w:hint="cs"/>
          <w:rtl/>
        </w:rPr>
        <w:t>תצו</w:t>
      </w:r>
      <w:proofErr w:type="spellEnd"/>
    </w:p>
  </w:footnote>
  <w:footnote w:id="9">
    <w:p w14:paraId="22B841B1" w14:textId="77777777" w:rsidR="00285CB1" w:rsidRDefault="00285CB1" w:rsidP="00285CB1">
      <w:pPr>
        <w:pStyle w:val="FootnoteText"/>
        <w:rPr>
          <w:rtl/>
        </w:rPr>
      </w:pPr>
      <w:r>
        <w:rPr>
          <w:rStyle w:val="FootnoteReference"/>
          <w:rFonts w:eastAsia="Narkisim"/>
        </w:rPr>
        <w:footnoteRef/>
      </w:r>
      <w:r>
        <w:rPr>
          <w:rtl/>
        </w:rPr>
        <w:t xml:space="preserve"> </w:t>
      </w:r>
      <w:proofErr w:type="spellStart"/>
      <w:r>
        <w:rPr>
          <w:rFonts w:hint="cs"/>
          <w:rtl/>
        </w:rPr>
        <w:t>שות</w:t>
      </w:r>
      <w:proofErr w:type="spellEnd"/>
      <w:r>
        <w:rPr>
          <w:rFonts w:hint="cs"/>
          <w:rtl/>
        </w:rPr>
        <w:t xml:space="preserve"> </w:t>
      </w:r>
      <w:proofErr w:type="spellStart"/>
      <w:r>
        <w:rPr>
          <w:rFonts w:hint="cs"/>
          <w:rtl/>
        </w:rPr>
        <w:t>רעק"א</w:t>
      </w:r>
      <w:proofErr w:type="spellEnd"/>
      <w:r>
        <w:rPr>
          <w:rFonts w:hint="cs"/>
          <w:rtl/>
        </w:rPr>
        <w:t xml:space="preserve">  סימן נא דגול מרבבה יו"ד סימן </w:t>
      </w:r>
      <w:proofErr w:type="spellStart"/>
      <w:r>
        <w:rPr>
          <w:rFonts w:hint="cs"/>
          <w:rtl/>
        </w:rPr>
        <w:t>שמב</w:t>
      </w:r>
      <w:proofErr w:type="spellEnd"/>
    </w:p>
  </w:footnote>
  <w:footnote w:id="10">
    <w:p w14:paraId="11BCDE59" w14:textId="77777777" w:rsidR="00285CB1" w:rsidRDefault="00285CB1" w:rsidP="00285CB1">
      <w:pPr>
        <w:pStyle w:val="FootnoteText"/>
        <w:rPr>
          <w:rtl/>
        </w:rPr>
      </w:pPr>
      <w:r>
        <w:rPr>
          <w:rStyle w:val="FootnoteReference"/>
          <w:rFonts w:eastAsia="Narkisim"/>
        </w:rPr>
        <w:footnoteRef/>
      </w:r>
      <w:r>
        <w:rPr>
          <w:rtl/>
        </w:rPr>
        <w:t xml:space="preserve"> </w:t>
      </w:r>
      <w:r>
        <w:rPr>
          <w:rFonts w:hint="cs"/>
          <w:rtl/>
        </w:rPr>
        <w:t xml:space="preserve">ראה אוצר הפוסקים </w:t>
      </w:r>
      <w:proofErr w:type="spellStart"/>
      <w:r>
        <w:rPr>
          <w:rFonts w:hint="cs"/>
          <w:rtl/>
        </w:rPr>
        <w:t>אהע"ז</w:t>
      </w:r>
      <w:proofErr w:type="spellEnd"/>
      <w:r>
        <w:rPr>
          <w:rFonts w:hint="cs"/>
          <w:rtl/>
        </w:rPr>
        <w:t xml:space="preserve"> סימן </w:t>
      </w:r>
      <w:proofErr w:type="spellStart"/>
      <w:r>
        <w:rPr>
          <w:rFonts w:hint="cs"/>
          <w:rtl/>
        </w:rPr>
        <w:t>מב</w:t>
      </w:r>
      <w:proofErr w:type="spellEnd"/>
      <w:r>
        <w:rPr>
          <w:rFonts w:hint="cs"/>
          <w:rtl/>
        </w:rPr>
        <w:t xml:space="preserve"> א </w:t>
      </w:r>
      <w:proofErr w:type="spellStart"/>
      <w:r>
        <w:rPr>
          <w:rFonts w:hint="cs"/>
          <w:rtl/>
        </w:rPr>
        <w:t>ס"ק</w:t>
      </w:r>
      <w:proofErr w:type="spellEnd"/>
      <w:r>
        <w:rPr>
          <w:rFonts w:hint="cs"/>
          <w:rtl/>
        </w:rPr>
        <w:t xml:space="preserve"> יא אות 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CAAF4" w14:textId="77777777" w:rsidR="00680974" w:rsidRDefault="00B35449"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A355AD">
      <w:rPr>
        <w:noProof/>
        <w:rtl/>
      </w:rPr>
      <w:t>4</w:t>
    </w:r>
    <w:r>
      <w:rPr>
        <w:rtl/>
      </w:rPr>
      <w:fldChar w:fldCharType="end"/>
    </w:r>
    <w:r>
      <w:rPr>
        <w:rtl/>
      </w:rPr>
      <w:t xml:space="preserve"> -</w:t>
    </w:r>
  </w:p>
  <w:p w14:paraId="1F472823" w14:textId="77777777" w:rsidR="00680974" w:rsidRDefault="00A355AD"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80974" w:rsidRPr="006216C9" w14:paraId="26594E4E" w14:textId="77777777" w:rsidTr="00FA1793">
      <w:tc>
        <w:tcPr>
          <w:tcW w:w="6506" w:type="dxa"/>
          <w:tcBorders>
            <w:bottom w:val="double" w:sz="4" w:space="0" w:color="auto"/>
          </w:tcBorders>
        </w:tcPr>
        <w:p w14:paraId="0B5E4ACB" w14:textId="77777777" w:rsidR="00680974" w:rsidRPr="006216C9" w:rsidRDefault="00B35449"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3B68063E" w14:textId="5698D366" w:rsidR="00680974" w:rsidRPr="006216C9" w:rsidRDefault="00A355AD"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20C450B7" w14:textId="77777777" w:rsidR="00680974" w:rsidRPr="006216C9" w:rsidRDefault="00A355AD" w:rsidP="006216C9">
          <w:pPr>
            <w:bidi w:val="0"/>
            <w:spacing w:after="0"/>
            <w:rPr>
              <w:sz w:val="22"/>
              <w:szCs w:val="22"/>
            </w:rPr>
          </w:pPr>
          <w:hyperlink r:id="rId1" w:tgtFrame="_blank" w:history="1">
            <w:r w:rsidR="00B35449">
              <w:rPr>
                <w:rStyle w:val="Hyperlink"/>
                <w:color w:val="1155CC"/>
                <w:shd w:val="clear" w:color="auto" w:fill="FFFFFF"/>
              </w:rPr>
              <w:t>http://etzion.org.il</w:t>
            </w:r>
          </w:hyperlink>
        </w:p>
      </w:tc>
    </w:tr>
  </w:tbl>
  <w:p w14:paraId="4B1DC74C" w14:textId="77777777" w:rsidR="00680974" w:rsidRPr="00AC2922" w:rsidRDefault="00A355AD" w:rsidP="006216C9">
    <w:pPr>
      <w:pStyle w:val="Head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F3"/>
    <w:rsid w:val="001A59E3"/>
    <w:rsid w:val="00285CB1"/>
    <w:rsid w:val="004B5991"/>
    <w:rsid w:val="00660428"/>
    <w:rsid w:val="00725FE6"/>
    <w:rsid w:val="00730424"/>
    <w:rsid w:val="007B506A"/>
    <w:rsid w:val="0089537B"/>
    <w:rsid w:val="008C644E"/>
    <w:rsid w:val="008F4A58"/>
    <w:rsid w:val="00912CE8"/>
    <w:rsid w:val="00A355AD"/>
    <w:rsid w:val="00A54BB3"/>
    <w:rsid w:val="00A946EB"/>
    <w:rsid w:val="00AC3E59"/>
    <w:rsid w:val="00B35449"/>
    <w:rsid w:val="00BE7C6E"/>
    <w:rsid w:val="00D510BD"/>
    <w:rsid w:val="00DA0BD0"/>
    <w:rsid w:val="00E120AB"/>
    <w:rsid w:val="00EA10E7"/>
    <w:rsid w:val="00EA40F3"/>
    <w:rsid w:val="00EE50D0"/>
    <w:rsid w:val="00F17B57"/>
    <w:rsid w:val="00F23370"/>
    <w:rsid w:val="00FF1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F3"/>
    <w:pPr>
      <w:tabs>
        <w:tab w:val="right" w:pos="4620"/>
      </w:tabs>
      <w:bidi/>
      <w:spacing w:after="120" w:line="288" w:lineRule="exact"/>
      <w:jc w:val="both"/>
    </w:pPr>
    <w:rPr>
      <w:rFonts w:ascii="Arial" w:eastAsia="Times New Roman" w:hAnsi="Arial" w:cs="Narkisim"/>
      <w:sz w:val="24"/>
      <w:szCs w:val="24"/>
    </w:rPr>
  </w:style>
  <w:style w:type="paragraph" w:styleId="Heading1">
    <w:name w:val="heading 1"/>
    <w:basedOn w:val="Normal"/>
    <w:next w:val="Normal"/>
    <w:link w:val="Heading1Char"/>
    <w:qFormat/>
    <w:rsid w:val="00EA40F3"/>
    <w:pPr>
      <w:keepNext/>
      <w:spacing w:before="120" w:after="240" w:line="240" w:lineRule="auto"/>
      <w:jc w:val="center"/>
      <w:outlineLvl w:val="0"/>
    </w:pPr>
    <w:rPr>
      <w:rFonts w:cs="Arial"/>
      <w:bCs/>
      <w:szCs w:val="44"/>
    </w:rPr>
  </w:style>
  <w:style w:type="paragraph" w:styleId="Heading2">
    <w:name w:val="heading 2"/>
    <w:basedOn w:val="Normal"/>
    <w:next w:val="Normal"/>
    <w:link w:val="Heading2Char"/>
    <w:uiPriority w:val="9"/>
    <w:semiHidden/>
    <w:unhideWhenUsed/>
    <w:qFormat/>
    <w:rsid w:val="00EA4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EA40F3"/>
    <w:pPr>
      <w:keepLines w:val="0"/>
      <w:spacing w:before="120" w:after="80" w:line="280" w:lineRule="exact"/>
      <w:jc w:val="left"/>
      <w:outlineLvl w:val="2"/>
    </w:pPr>
    <w:rPr>
      <w:rFonts w:ascii="Arial" w:eastAsia="Times New Roman" w:hAnsi="Arial" w:cs="Arial"/>
      <w:bCs/>
      <w:color w:val="auto"/>
      <w:sz w:val="24"/>
      <w:szCs w:val="22"/>
    </w:rPr>
  </w:style>
  <w:style w:type="paragraph" w:styleId="Heading4">
    <w:name w:val="heading 4"/>
    <w:basedOn w:val="Normal"/>
    <w:next w:val="Normal"/>
    <w:link w:val="Heading4Char"/>
    <w:uiPriority w:val="9"/>
    <w:qFormat/>
    <w:rsid w:val="00EA40F3"/>
    <w:pPr>
      <w:keepNext/>
      <w:spacing w:before="120" w:line="288"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0F3"/>
    <w:rPr>
      <w:rFonts w:ascii="Arial" w:eastAsia="Times New Roman" w:hAnsi="Arial" w:cs="Arial"/>
      <w:bCs/>
      <w:sz w:val="24"/>
      <w:szCs w:val="44"/>
    </w:rPr>
  </w:style>
  <w:style w:type="character" w:customStyle="1" w:styleId="Heading3Char">
    <w:name w:val="Heading 3 Char"/>
    <w:basedOn w:val="DefaultParagraphFont"/>
    <w:link w:val="Heading3"/>
    <w:rsid w:val="00EA40F3"/>
    <w:rPr>
      <w:rFonts w:ascii="Arial" w:eastAsia="Times New Roman" w:hAnsi="Arial" w:cs="Arial"/>
      <w:bCs/>
      <w:sz w:val="24"/>
    </w:rPr>
  </w:style>
  <w:style w:type="character" w:customStyle="1" w:styleId="Heading4Char">
    <w:name w:val="Heading 4 Char"/>
    <w:basedOn w:val="DefaultParagraphFont"/>
    <w:link w:val="Heading4"/>
    <w:uiPriority w:val="9"/>
    <w:rsid w:val="00EA40F3"/>
    <w:rPr>
      <w:rFonts w:ascii="Arial" w:eastAsia="Times New Roman" w:hAnsi="Arial" w:cs="Narkisim"/>
      <w:b/>
      <w:bCs/>
      <w:sz w:val="24"/>
      <w:szCs w:val="24"/>
    </w:rPr>
  </w:style>
  <w:style w:type="paragraph" w:styleId="FootnoteText">
    <w:name w:val="footnote text"/>
    <w:aliases w:val="הערת שוליים"/>
    <w:basedOn w:val="Normal"/>
    <w:link w:val="FootnoteTextChar"/>
    <w:uiPriority w:val="99"/>
    <w:qFormat/>
    <w:rsid w:val="00EA40F3"/>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basedOn w:val="DefaultParagraphFont"/>
    <w:link w:val="FootnoteText"/>
    <w:uiPriority w:val="99"/>
    <w:rsid w:val="00EA40F3"/>
    <w:rPr>
      <w:rFonts w:ascii="Narkisim" w:eastAsia="Narkisim" w:hAnsi="Narkisim" w:cs="Narkisim"/>
      <w:position w:val="6"/>
      <w:sz w:val="18"/>
      <w:szCs w:val="18"/>
    </w:rPr>
  </w:style>
  <w:style w:type="character" w:styleId="FootnoteReference">
    <w:name w:val="footnote reference"/>
    <w:uiPriority w:val="99"/>
    <w:rsid w:val="00EA40F3"/>
    <w:rPr>
      <w:rFonts w:ascii="Narkisim" w:eastAsia="Times New Roman" w:hAnsi="Narkisim" w:cs="Narkisim"/>
      <w:position w:val="6"/>
      <w:sz w:val="18"/>
      <w:szCs w:val="18"/>
      <w:lang w:bidi="he-IL"/>
    </w:rPr>
  </w:style>
  <w:style w:type="character" w:styleId="Hyperlink">
    <w:name w:val="Hyperlink"/>
    <w:uiPriority w:val="99"/>
    <w:rsid w:val="00EA40F3"/>
    <w:rPr>
      <w:rFonts w:cs="Narkisim"/>
      <w:color w:val="0000FF"/>
      <w:u w:val="single"/>
      <w:lang w:bidi="he-IL"/>
    </w:rPr>
  </w:style>
  <w:style w:type="paragraph" w:styleId="Header">
    <w:name w:val="header"/>
    <w:basedOn w:val="Normal"/>
    <w:link w:val="HeaderChar"/>
    <w:uiPriority w:val="99"/>
    <w:rsid w:val="00EA40F3"/>
    <w:pPr>
      <w:tabs>
        <w:tab w:val="center" w:pos="4153"/>
        <w:tab w:val="right" w:pos="8306"/>
      </w:tabs>
    </w:pPr>
  </w:style>
  <w:style w:type="character" w:customStyle="1" w:styleId="HeaderChar">
    <w:name w:val="Header Char"/>
    <w:basedOn w:val="DefaultParagraphFont"/>
    <w:link w:val="Header"/>
    <w:uiPriority w:val="99"/>
    <w:rsid w:val="00EA40F3"/>
    <w:rPr>
      <w:rFonts w:ascii="Arial" w:eastAsia="Times New Roman" w:hAnsi="Arial" w:cs="Narkisim"/>
      <w:sz w:val="24"/>
      <w:szCs w:val="24"/>
    </w:rPr>
  </w:style>
  <w:style w:type="paragraph" w:customStyle="1" w:styleId="a">
    <w:name w:val="לוגו תחתון"/>
    <w:basedOn w:val="Normal"/>
    <w:uiPriority w:val="99"/>
    <w:rsid w:val="00EA40F3"/>
    <w:pPr>
      <w:tabs>
        <w:tab w:val="right" w:pos="3895"/>
      </w:tabs>
      <w:spacing w:after="0" w:line="240" w:lineRule="auto"/>
      <w:jc w:val="center"/>
    </w:pPr>
    <w:rPr>
      <w:b/>
      <w:bCs/>
      <w:noProof/>
      <w:sz w:val="16"/>
      <w:szCs w:val="16"/>
    </w:rPr>
  </w:style>
  <w:style w:type="character" w:styleId="CommentReference">
    <w:name w:val="annotation reference"/>
    <w:basedOn w:val="DefaultParagraphFont"/>
    <w:uiPriority w:val="99"/>
    <w:semiHidden/>
    <w:unhideWhenUsed/>
    <w:rsid w:val="00EA40F3"/>
    <w:rPr>
      <w:sz w:val="16"/>
      <w:szCs w:val="16"/>
    </w:rPr>
  </w:style>
  <w:style w:type="paragraph" w:styleId="CommentText">
    <w:name w:val="annotation text"/>
    <w:basedOn w:val="Normal"/>
    <w:link w:val="CommentTextChar"/>
    <w:uiPriority w:val="99"/>
    <w:unhideWhenUsed/>
    <w:rsid w:val="00EA40F3"/>
    <w:pPr>
      <w:spacing w:line="240" w:lineRule="auto"/>
    </w:pPr>
    <w:rPr>
      <w:sz w:val="20"/>
      <w:szCs w:val="20"/>
    </w:rPr>
  </w:style>
  <w:style w:type="character" w:customStyle="1" w:styleId="CommentTextChar">
    <w:name w:val="Comment Text Char"/>
    <w:basedOn w:val="DefaultParagraphFont"/>
    <w:link w:val="CommentText"/>
    <w:uiPriority w:val="99"/>
    <w:rsid w:val="00EA40F3"/>
    <w:rPr>
      <w:rFonts w:ascii="Arial" w:eastAsia="Times New Roman" w:hAnsi="Arial" w:cs="Narkisim"/>
      <w:sz w:val="20"/>
      <w:szCs w:val="20"/>
    </w:rPr>
  </w:style>
  <w:style w:type="paragraph" w:customStyle="1" w:styleId="1">
    <w:name w:val="ציטוט1"/>
    <w:basedOn w:val="Normal"/>
    <w:link w:val="10"/>
    <w:qFormat/>
    <w:rsid w:val="00EA40F3"/>
    <w:pPr>
      <w:tabs>
        <w:tab w:val="clear" w:pos="4620"/>
        <w:tab w:val="right" w:pos="7173"/>
      </w:tabs>
      <w:spacing w:before="120" w:line="240" w:lineRule="auto"/>
      <w:ind w:left="1134" w:right="1134"/>
    </w:pPr>
    <w:rPr>
      <w:rFonts w:ascii="Times New Roman" w:hAnsi="Times New Roman"/>
      <w:szCs w:val="20"/>
    </w:rPr>
  </w:style>
  <w:style w:type="character" w:customStyle="1" w:styleId="10">
    <w:name w:val="ציטוט1 תו"/>
    <w:basedOn w:val="DefaultParagraphFont"/>
    <w:link w:val="1"/>
    <w:rsid w:val="00EA40F3"/>
    <w:rPr>
      <w:rFonts w:ascii="Times New Roman" w:eastAsia="Times New Roman" w:hAnsi="Times New Roman" w:cs="Narkisim"/>
      <w:sz w:val="24"/>
      <w:szCs w:val="20"/>
    </w:rPr>
  </w:style>
  <w:style w:type="character" w:customStyle="1" w:styleId="Heading2Char">
    <w:name w:val="Heading 2 Char"/>
    <w:basedOn w:val="DefaultParagraphFont"/>
    <w:link w:val="Heading2"/>
    <w:uiPriority w:val="9"/>
    <w:semiHidden/>
    <w:rsid w:val="00EA40F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A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3"/>
    <w:rPr>
      <w:rFonts w:ascii="Segoe UI" w:eastAsia="Times New Roman" w:hAnsi="Segoe UI" w:cs="Segoe UI"/>
      <w:sz w:val="18"/>
      <w:szCs w:val="18"/>
    </w:rPr>
  </w:style>
  <w:style w:type="paragraph" w:styleId="ListParagraph">
    <w:name w:val="List Paragraph"/>
    <w:basedOn w:val="Normal"/>
    <w:uiPriority w:val="34"/>
    <w:qFormat/>
    <w:rsid w:val="00285CB1"/>
    <w:pPr>
      <w:tabs>
        <w:tab w:val="clear" w:pos="4620"/>
      </w:tabs>
      <w:spacing w:after="200" w:line="276" w:lineRule="auto"/>
      <w:ind w:left="720"/>
      <w:contextualSpacing/>
      <w:jc w:val="left"/>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F17B57"/>
    <w:rPr>
      <w:b/>
      <w:bCs/>
    </w:rPr>
  </w:style>
  <w:style w:type="character" w:customStyle="1" w:styleId="CommentSubjectChar">
    <w:name w:val="Comment Subject Char"/>
    <w:basedOn w:val="CommentTextChar"/>
    <w:link w:val="CommentSubject"/>
    <w:uiPriority w:val="99"/>
    <w:semiHidden/>
    <w:rsid w:val="00F17B57"/>
    <w:rPr>
      <w:rFonts w:ascii="Arial" w:eastAsia="Times New Roman" w:hAnsi="Arial" w:cs="Narkisim"/>
      <w:b/>
      <w:bCs/>
      <w:sz w:val="20"/>
      <w:szCs w:val="20"/>
    </w:rPr>
  </w:style>
  <w:style w:type="paragraph" w:styleId="Footer">
    <w:name w:val="footer"/>
    <w:basedOn w:val="Normal"/>
    <w:link w:val="FooterChar"/>
    <w:uiPriority w:val="99"/>
    <w:unhideWhenUsed/>
    <w:rsid w:val="00A355AD"/>
    <w:pPr>
      <w:tabs>
        <w:tab w:val="clear" w:pos="4620"/>
        <w:tab w:val="center" w:pos="4320"/>
        <w:tab w:val="right" w:pos="8640"/>
      </w:tabs>
      <w:spacing w:after="0" w:line="240" w:lineRule="auto"/>
    </w:pPr>
  </w:style>
  <w:style w:type="character" w:customStyle="1" w:styleId="FooterChar">
    <w:name w:val="Footer Char"/>
    <w:basedOn w:val="DefaultParagraphFont"/>
    <w:link w:val="Footer"/>
    <w:uiPriority w:val="99"/>
    <w:rsid w:val="00A355AD"/>
    <w:rPr>
      <w:rFonts w:ascii="Arial" w:eastAsia="Times New Roman"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F3"/>
    <w:pPr>
      <w:tabs>
        <w:tab w:val="right" w:pos="4620"/>
      </w:tabs>
      <w:bidi/>
      <w:spacing w:after="120" w:line="288" w:lineRule="exact"/>
      <w:jc w:val="both"/>
    </w:pPr>
    <w:rPr>
      <w:rFonts w:ascii="Arial" w:eastAsia="Times New Roman" w:hAnsi="Arial" w:cs="Narkisim"/>
      <w:sz w:val="24"/>
      <w:szCs w:val="24"/>
    </w:rPr>
  </w:style>
  <w:style w:type="paragraph" w:styleId="Heading1">
    <w:name w:val="heading 1"/>
    <w:basedOn w:val="Normal"/>
    <w:next w:val="Normal"/>
    <w:link w:val="Heading1Char"/>
    <w:qFormat/>
    <w:rsid w:val="00EA40F3"/>
    <w:pPr>
      <w:keepNext/>
      <w:spacing w:before="120" w:after="240" w:line="240" w:lineRule="auto"/>
      <w:jc w:val="center"/>
      <w:outlineLvl w:val="0"/>
    </w:pPr>
    <w:rPr>
      <w:rFonts w:cs="Arial"/>
      <w:bCs/>
      <w:szCs w:val="44"/>
    </w:rPr>
  </w:style>
  <w:style w:type="paragraph" w:styleId="Heading2">
    <w:name w:val="heading 2"/>
    <w:basedOn w:val="Normal"/>
    <w:next w:val="Normal"/>
    <w:link w:val="Heading2Char"/>
    <w:uiPriority w:val="9"/>
    <w:semiHidden/>
    <w:unhideWhenUsed/>
    <w:qFormat/>
    <w:rsid w:val="00EA4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EA40F3"/>
    <w:pPr>
      <w:keepLines w:val="0"/>
      <w:spacing w:before="120" w:after="80" w:line="280" w:lineRule="exact"/>
      <w:jc w:val="left"/>
      <w:outlineLvl w:val="2"/>
    </w:pPr>
    <w:rPr>
      <w:rFonts w:ascii="Arial" w:eastAsia="Times New Roman" w:hAnsi="Arial" w:cs="Arial"/>
      <w:bCs/>
      <w:color w:val="auto"/>
      <w:sz w:val="24"/>
      <w:szCs w:val="22"/>
    </w:rPr>
  </w:style>
  <w:style w:type="paragraph" w:styleId="Heading4">
    <w:name w:val="heading 4"/>
    <w:basedOn w:val="Normal"/>
    <w:next w:val="Normal"/>
    <w:link w:val="Heading4Char"/>
    <w:uiPriority w:val="9"/>
    <w:qFormat/>
    <w:rsid w:val="00EA40F3"/>
    <w:pPr>
      <w:keepNext/>
      <w:spacing w:before="120" w:line="288"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0F3"/>
    <w:rPr>
      <w:rFonts w:ascii="Arial" w:eastAsia="Times New Roman" w:hAnsi="Arial" w:cs="Arial"/>
      <w:bCs/>
      <w:sz w:val="24"/>
      <w:szCs w:val="44"/>
    </w:rPr>
  </w:style>
  <w:style w:type="character" w:customStyle="1" w:styleId="Heading3Char">
    <w:name w:val="Heading 3 Char"/>
    <w:basedOn w:val="DefaultParagraphFont"/>
    <w:link w:val="Heading3"/>
    <w:rsid w:val="00EA40F3"/>
    <w:rPr>
      <w:rFonts w:ascii="Arial" w:eastAsia="Times New Roman" w:hAnsi="Arial" w:cs="Arial"/>
      <w:bCs/>
      <w:sz w:val="24"/>
    </w:rPr>
  </w:style>
  <w:style w:type="character" w:customStyle="1" w:styleId="Heading4Char">
    <w:name w:val="Heading 4 Char"/>
    <w:basedOn w:val="DefaultParagraphFont"/>
    <w:link w:val="Heading4"/>
    <w:uiPriority w:val="9"/>
    <w:rsid w:val="00EA40F3"/>
    <w:rPr>
      <w:rFonts w:ascii="Arial" w:eastAsia="Times New Roman" w:hAnsi="Arial" w:cs="Narkisim"/>
      <w:b/>
      <w:bCs/>
      <w:sz w:val="24"/>
      <w:szCs w:val="24"/>
    </w:rPr>
  </w:style>
  <w:style w:type="paragraph" w:styleId="FootnoteText">
    <w:name w:val="footnote text"/>
    <w:aliases w:val="הערת שוליים"/>
    <w:basedOn w:val="Normal"/>
    <w:link w:val="FootnoteTextChar"/>
    <w:uiPriority w:val="99"/>
    <w:qFormat/>
    <w:rsid w:val="00EA40F3"/>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basedOn w:val="DefaultParagraphFont"/>
    <w:link w:val="FootnoteText"/>
    <w:uiPriority w:val="99"/>
    <w:rsid w:val="00EA40F3"/>
    <w:rPr>
      <w:rFonts w:ascii="Narkisim" w:eastAsia="Narkisim" w:hAnsi="Narkisim" w:cs="Narkisim"/>
      <w:position w:val="6"/>
      <w:sz w:val="18"/>
      <w:szCs w:val="18"/>
    </w:rPr>
  </w:style>
  <w:style w:type="character" w:styleId="FootnoteReference">
    <w:name w:val="footnote reference"/>
    <w:uiPriority w:val="99"/>
    <w:rsid w:val="00EA40F3"/>
    <w:rPr>
      <w:rFonts w:ascii="Narkisim" w:eastAsia="Times New Roman" w:hAnsi="Narkisim" w:cs="Narkisim"/>
      <w:position w:val="6"/>
      <w:sz w:val="18"/>
      <w:szCs w:val="18"/>
      <w:lang w:bidi="he-IL"/>
    </w:rPr>
  </w:style>
  <w:style w:type="character" w:styleId="Hyperlink">
    <w:name w:val="Hyperlink"/>
    <w:uiPriority w:val="99"/>
    <w:rsid w:val="00EA40F3"/>
    <w:rPr>
      <w:rFonts w:cs="Narkisim"/>
      <w:color w:val="0000FF"/>
      <w:u w:val="single"/>
      <w:lang w:bidi="he-IL"/>
    </w:rPr>
  </w:style>
  <w:style w:type="paragraph" w:styleId="Header">
    <w:name w:val="header"/>
    <w:basedOn w:val="Normal"/>
    <w:link w:val="HeaderChar"/>
    <w:uiPriority w:val="99"/>
    <w:rsid w:val="00EA40F3"/>
    <w:pPr>
      <w:tabs>
        <w:tab w:val="center" w:pos="4153"/>
        <w:tab w:val="right" w:pos="8306"/>
      </w:tabs>
    </w:pPr>
  </w:style>
  <w:style w:type="character" w:customStyle="1" w:styleId="HeaderChar">
    <w:name w:val="Header Char"/>
    <w:basedOn w:val="DefaultParagraphFont"/>
    <w:link w:val="Header"/>
    <w:uiPriority w:val="99"/>
    <w:rsid w:val="00EA40F3"/>
    <w:rPr>
      <w:rFonts w:ascii="Arial" w:eastAsia="Times New Roman" w:hAnsi="Arial" w:cs="Narkisim"/>
      <w:sz w:val="24"/>
      <w:szCs w:val="24"/>
    </w:rPr>
  </w:style>
  <w:style w:type="paragraph" w:customStyle="1" w:styleId="a">
    <w:name w:val="לוגו תחתון"/>
    <w:basedOn w:val="Normal"/>
    <w:uiPriority w:val="99"/>
    <w:rsid w:val="00EA40F3"/>
    <w:pPr>
      <w:tabs>
        <w:tab w:val="right" w:pos="3895"/>
      </w:tabs>
      <w:spacing w:after="0" w:line="240" w:lineRule="auto"/>
      <w:jc w:val="center"/>
    </w:pPr>
    <w:rPr>
      <w:b/>
      <w:bCs/>
      <w:noProof/>
      <w:sz w:val="16"/>
      <w:szCs w:val="16"/>
    </w:rPr>
  </w:style>
  <w:style w:type="character" w:styleId="CommentReference">
    <w:name w:val="annotation reference"/>
    <w:basedOn w:val="DefaultParagraphFont"/>
    <w:uiPriority w:val="99"/>
    <w:semiHidden/>
    <w:unhideWhenUsed/>
    <w:rsid w:val="00EA40F3"/>
    <w:rPr>
      <w:sz w:val="16"/>
      <w:szCs w:val="16"/>
    </w:rPr>
  </w:style>
  <w:style w:type="paragraph" w:styleId="CommentText">
    <w:name w:val="annotation text"/>
    <w:basedOn w:val="Normal"/>
    <w:link w:val="CommentTextChar"/>
    <w:uiPriority w:val="99"/>
    <w:unhideWhenUsed/>
    <w:rsid w:val="00EA40F3"/>
    <w:pPr>
      <w:spacing w:line="240" w:lineRule="auto"/>
    </w:pPr>
    <w:rPr>
      <w:sz w:val="20"/>
      <w:szCs w:val="20"/>
    </w:rPr>
  </w:style>
  <w:style w:type="character" w:customStyle="1" w:styleId="CommentTextChar">
    <w:name w:val="Comment Text Char"/>
    <w:basedOn w:val="DefaultParagraphFont"/>
    <w:link w:val="CommentText"/>
    <w:uiPriority w:val="99"/>
    <w:rsid w:val="00EA40F3"/>
    <w:rPr>
      <w:rFonts w:ascii="Arial" w:eastAsia="Times New Roman" w:hAnsi="Arial" w:cs="Narkisim"/>
      <w:sz w:val="20"/>
      <w:szCs w:val="20"/>
    </w:rPr>
  </w:style>
  <w:style w:type="paragraph" w:customStyle="1" w:styleId="1">
    <w:name w:val="ציטוט1"/>
    <w:basedOn w:val="Normal"/>
    <w:link w:val="10"/>
    <w:qFormat/>
    <w:rsid w:val="00EA40F3"/>
    <w:pPr>
      <w:tabs>
        <w:tab w:val="clear" w:pos="4620"/>
        <w:tab w:val="right" w:pos="7173"/>
      </w:tabs>
      <w:spacing w:before="120" w:line="240" w:lineRule="auto"/>
      <w:ind w:left="1134" w:right="1134"/>
    </w:pPr>
    <w:rPr>
      <w:rFonts w:ascii="Times New Roman" w:hAnsi="Times New Roman"/>
      <w:szCs w:val="20"/>
    </w:rPr>
  </w:style>
  <w:style w:type="character" w:customStyle="1" w:styleId="10">
    <w:name w:val="ציטוט1 תו"/>
    <w:basedOn w:val="DefaultParagraphFont"/>
    <w:link w:val="1"/>
    <w:rsid w:val="00EA40F3"/>
    <w:rPr>
      <w:rFonts w:ascii="Times New Roman" w:eastAsia="Times New Roman" w:hAnsi="Times New Roman" w:cs="Narkisim"/>
      <w:sz w:val="24"/>
      <w:szCs w:val="20"/>
    </w:rPr>
  </w:style>
  <w:style w:type="character" w:customStyle="1" w:styleId="Heading2Char">
    <w:name w:val="Heading 2 Char"/>
    <w:basedOn w:val="DefaultParagraphFont"/>
    <w:link w:val="Heading2"/>
    <w:uiPriority w:val="9"/>
    <w:semiHidden/>
    <w:rsid w:val="00EA40F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A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3"/>
    <w:rPr>
      <w:rFonts w:ascii="Segoe UI" w:eastAsia="Times New Roman" w:hAnsi="Segoe UI" w:cs="Segoe UI"/>
      <w:sz w:val="18"/>
      <w:szCs w:val="18"/>
    </w:rPr>
  </w:style>
  <w:style w:type="paragraph" w:styleId="ListParagraph">
    <w:name w:val="List Paragraph"/>
    <w:basedOn w:val="Normal"/>
    <w:uiPriority w:val="34"/>
    <w:qFormat/>
    <w:rsid w:val="00285CB1"/>
    <w:pPr>
      <w:tabs>
        <w:tab w:val="clear" w:pos="4620"/>
      </w:tabs>
      <w:spacing w:after="200" w:line="276" w:lineRule="auto"/>
      <w:ind w:left="720"/>
      <w:contextualSpacing/>
      <w:jc w:val="left"/>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F17B57"/>
    <w:rPr>
      <w:b/>
      <w:bCs/>
    </w:rPr>
  </w:style>
  <w:style w:type="character" w:customStyle="1" w:styleId="CommentSubjectChar">
    <w:name w:val="Comment Subject Char"/>
    <w:basedOn w:val="CommentTextChar"/>
    <w:link w:val="CommentSubject"/>
    <w:uiPriority w:val="99"/>
    <w:semiHidden/>
    <w:rsid w:val="00F17B57"/>
    <w:rPr>
      <w:rFonts w:ascii="Arial" w:eastAsia="Times New Roman" w:hAnsi="Arial" w:cs="Narkisim"/>
      <w:b/>
      <w:bCs/>
      <w:sz w:val="20"/>
      <w:szCs w:val="20"/>
    </w:rPr>
  </w:style>
  <w:style w:type="paragraph" w:styleId="Footer">
    <w:name w:val="footer"/>
    <w:basedOn w:val="Normal"/>
    <w:link w:val="FooterChar"/>
    <w:uiPriority w:val="99"/>
    <w:unhideWhenUsed/>
    <w:rsid w:val="00A355AD"/>
    <w:pPr>
      <w:tabs>
        <w:tab w:val="clear" w:pos="4620"/>
        <w:tab w:val="center" w:pos="4320"/>
        <w:tab w:val="right" w:pos="8640"/>
      </w:tabs>
      <w:spacing w:after="0" w:line="240" w:lineRule="auto"/>
    </w:pPr>
  </w:style>
  <w:style w:type="character" w:customStyle="1" w:styleId="FooterChar">
    <w:name w:val="Footer Char"/>
    <w:basedOn w:val="DefaultParagraphFont"/>
    <w:link w:val="Footer"/>
    <w:uiPriority w:val="99"/>
    <w:rsid w:val="00A355AD"/>
    <w:rPr>
      <w:rFonts w:ascii="Arial" w:eastAsia="Times New Roman"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tzion.gush.net/vbm/archive/gittin-hebrew/01gittin.ph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4EE1-6987-4943-8EB5-E7C786DA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1874</Words>
  <Characters>10687</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dc:creator>
  <cp:lastModifiedBy>tmpUser</cp:lastModifiedBy>
  <cp:revision>4</cp:revision>
  <dcterms:created xsi:type="dcterms:W3CDTF">2018-12-07T12:09:00Z</dcterms:created>
  <dcterms:modified xsi:type="dcterms:W3CDTF">2019-05-01T09:09:00Z</dcterms:modified>
</cp:coreProperties>
</file>