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B8D3" w14:textId="1BE57A15" w:rsidR="0021417A" w:rsidRDefault="0021417A" w:rsidP="0021417A">
      <w:pPr>
        <w:pStyle w:val="a9"/>
        <w:rPr>
          <w:b/>
          <w:bCs/>
          <w:rtl/>
        </w:rPr>
      </w:pPr>
      <w:r w:rsidRPr="001523D3">
        <w:rPr>
          <w:rFonts w:hint="cs"/>
          <w:b/>
          <w:bCs/>
          <w:rtl/>
        </w:rPr>
        <w:t>הרב אביעד ברטוב</w:t>
      </w:r>
    </w:p>
    <w:p w14:paraId="56C8717F" w14:textId="5702E510" w:rsidR="00D74148" w:rsidRDefault="00D74148" w:rsidP="0078791E">
      <w:pPr>
        <w:pStyle w:val="1"/>
        <w:rPr>
          <w:rtl/>
        </w:rPr>
      </w:pPr>
      <w:r>
        <w:rPr>
          <w:rtl/>
        </w:rPr>
        <w:t>הרואה סוטה בקלקולה</w:t>
      </w:r>
      <w:r w:rsidR="0078791E">
        <w:rPr>
          <w:rFonts w:hint="cs"/>
          <w:rtl/>
        </w:rPr>
        <w:t xml:space="preserve"> – </w:t>
      </w:r>
      <w:r>
        <w:rPr>
          <w:rtl/>
        </w:rPr>
        <w:t>מקומה של מסכת סוטה בסדר נשים</w:t>
      </w:r>
    </w:p>
    <w:p w14:paraId="62B6FD49" w14:textId="1082711A" w:rsidR="00D74148" w:rsidRDefault="00D74148" w:rsidP="00D74148">
      <w:pPr>
        <w:rPr>
          <w:rtl/>
        </w:rPr>
      </w:pPr>
      <w:r>
        <w:rPr>
          <w:rtl/>
        </w:rPr>
        <w:t>כאשר מעיינים בסדר המסכתות שבסדר נשים</w:t>
      </w:r>
      <w:r>
        <w:rPr>
          <w:rStyle w:val="a5"/>
          <w:rtl/>
        </w:rPr>
        <w:footnoteReference w:id="1"/>
      </w:r>
      <w:r>
        <w:rPr>
          <w:rtl/>
        </w:rPr>
        <w:t xml:space="preserve"> מתגלה לנו שאלה מעניינת</w:t>
      </w:r>
      <w:r w:rsidR="00943D2D">
        <w:rPr>
          <w:rFonts w:hint="cs"/>
          <w:rtl/>
        </w:rPr>
        <w:t>:</w:t>
      </w:r>
      <w:r>
        <w:rPr>
          <w:rtl/>
        </w:rPr>
        <w:t xml:space="preserve"> מדוע הוכנסה מסכת נזיר לסדר זה</w:t>
      </w:r>
      <w:r w:rsidR="00943D2D">
        <w:rPr>
          <w:rFonts w:hint="cs"/>
          <w:rtl/>
        </w:rPr>
        <w:t>,</w:t>
      </w:r>
      <w:r>
        <w:rPr>
          <w:rtl/>
        </w:rPr>
        <w:t xml:space="preserve"> העוסק רובו ככולו בהסדרת היחסים האישי</w:t>
      </w:r>
      <w:r w:rsidR="00943D2D">
        <w:rPr>
          <w:rFonts w:hint="cs"/>
          <w:rtl/>
        </w:rPr>
        <w:t>י</w:t>
      </w:r>
      <w:r>
        <w:rPr>
          <w:rtl/>
        </w:rPr>
        <w:t>ם והממוני</w:t>
      </w:r>
      <w:r w:rsidR="00943D2D">
        <w:rPr>
          <w:rFonts w:hint="cs"/>
          <w:rtl/>
        </w:rPr>
        <w:t>י</w:t>
      </w:r>
      <w:r>
        <w:rPr>
          <w:rtl/>
        </w:rPr>
        <w:t>ם שבין איש לאישה? כדי לענות על שאלה זו עלינו לשים לב למקום שבו משובצת מסכת נזיר</w:t>
      </w:r>
      <w:r w:rsidR="00943D2D">
        <w:rPr>
          <w:rFonts w:hint="cs"/>
          <w:rtl/>
        </w:rPr>
        <w:t>.</w:t>
      </w:r>
      <w:r>
        <w:rPr>
          <w:rStyle w:val="a5"/>
          <w:rtl/>
        </w:rPr>
        <w:footnoteReference w:id="2"/>
      </w:r>
    </w:p>
    <w:p w14:paraId="6E62F239" w14:textId="728832F3" w:rsidR="00D74148" w:rsidRDefault="00D74148" w:rsidP="003326EC">
      <w:pPr>
        <w:pStyle w:val="14"/>
        <w:rPr>
          <w:rtl/>
        </w:rPr>
      </w:pPr>
      <w:r>
        <w:rPr>
          <w:rtl/>
        </w:rPr>
        <w:t>יבמות</w:t>
      </w:r>
      <w:r w:rsidR="0000437F">
        <w:rPr>
          <w:rtl/>
        </w:rPr>
        <w:br/>
      </w:r>
      <w:r>
        <w:rPr>
          <w:rtl/>
        </w:rPr>
        <w:t>כתובות</w:t>
      </w:r>
      <w:r w:rsidR="0000437F">
        <w:rPr>
          <w:rtl/>
        </w:rPr>
        <w:br/>
      </w:r>
      <w:r>
        <w:rPr>
          <w:rtl/>
        </w:rPr>
        <w:t>נד</w:t>
      </w:r>
      <w:r w:rsidR="0000437F">
        <w:rPr>
          <w:rFonts w:hint="cs"/>
          <w:rtl/>
        </w:rPr>
        <w:t>ר</w:t>
      </w:r>
      <w:r>
        <w:rPr>
          <w:rtl/>
        </w:rPr>
        <w:t>ים</w:t>
      </w:r>
      <w:r w:rsidR="0000437F">
        <w:rPr>
          <w:rtl/>
        </w:rPr>
        <w:br/>
      </w:r>
      <w:r>
        <w:rPr>
          <w:rtl/>
        </w:rPr>
        <w:t>נזיר</w:t>
      </w:r>
      <w:r w:rsidR="0000437F">
        <w:rPr>
          <w:rtl/>
        </w:rPr>
        <w:br/>
      </w:r>
      <w:r>
        <w:rPr>
          <w:b/>
          <w:bCs/>
          <w:rtl/>
        </w:rPr>
        <w:t>סוטה</w:t>
      </w:r>
      <w:r w:rsidR="0000437F">
        <w:rPr>
          <w:b/>
          <w:bCs/>
          <w:rtl/>
        </w:rPr>
        <w:br/>
      </w:r>
      <w:r>
        <w:rPr>
          <w:rtl/>
        </w:rPr>
        <w:t>גיטין</w:t>
      </w:r>
      <w:r w:rsidR="0000437F">
        <w:rPr>
          <w:rtl/>
        </w:rPr>
        <w:br/>
      </w:r>
      <w:r>
        <w:rPr>
          <w:rtl/>
        </w:rPr>
        <w:t xml:space="preserve">קידושין </w:t>
      </w:r>
    </w:p>
    <w:p w14:paraId="64F37309" w14:textId="13BE10FE" w:rsidR="00D74148" w:rsidRDefault="00D74148" w:rsidP="00D74148">
      <w:pPr>
        <w:rPr>
          <w:rtl/>
        </w:rPr>
      </w:pPr>
      <w:r>
        <w:rPr>
          <w:rtl/>
        </w:rPr>
        <w:t>מקומה של מסכת נזיר באמצעו של סדר נשים</w:t>
      </w:r>
      <w:r w:rsidR="00943D2D">
        <w:rPr>
          <w:rFonts w:hint="cs"/>
          <w:rtl/>
        </w:rPr>
        <w:t>,</w:t>
      </w:r>
      <w:r>
        <w:rPr>
          <w:rtl/>
        </w:rPr>
        <w:t xml:space="preserve"> כבריח התיכון</w:t>
      </w:r>
      <w:r w:rsidR="00943D2D">
        <w:rPr>
          <w:rFonts w:hint="cs"/>
          <w:rtl/>
        </w:rPr>
        <w:t>,</w:t>
      </w:r>
      <w:r>
        <w:rPr>
          <w:rtl/>
        </w:rPr>
        <w:t xml:space="preserve"> בא ללמדנו כי למסכת זאת ישנה השפעה משמעותית על שני חלקי הסדר. מהי השפעה זו? הגמרא בריש מסכת נזיר עוסקת בשאלה זו :</w:t>
      </w:r>
    </w:p>
    <w:p w14:paraId="6A9103B2" w14:textId="32354998" w:rsidR="00D74148" w:rsidRPr="003326EC" w:rsidRDefault="00D74148" w:rsidP="003326EC">
      <w:pPr>
        <w:pStyle w:val="14"/>
        <w:rPr>
          <w:rtl/>
        </w:rPr>
      </w:pPr>
      <w:r w:rsidRPr="003326EC">
        <w:rPr>
          <w:rtl/>
        </w:rPr>
        <w:t xml:space="preserve">מכדי תנא בסדר נשים קאי, מאי טעמא תני נזיר? תנא אקרא קאי: </w:t>
      </w:r>
      <w:r w:rsidR="00943D2D" w:rsidRPr="003326EC">
        <w:rPr>
          <w:rFonts w:hint="cs"/>
          <w:rtl/>
        </w:rPr>
        <w:t>'</w:t>
      </w:r>
      <w:r w:rsidRPr="003326EC">
        <w:rPr>
          <w:rtl/>
        </w:rPr>
        <w:t>והיה אם לא תמצא חן בעיניו כי מצא בה ערות דבר</w:t>
      </w:r>
      <w:r w:rsidR="00943D2D" w:rsidRPr="003326EC">
        <w:rPr>
          <w:rFonts w:hint="cs"/>
          <w:rtl/>
        </w:rPr>
        <w:t>'</w:t>
      </w:r>
      <w:r w:rsidRPr="003326EC">
        <w:rPr>
          <w:rtl/>
        </w:rPr>
        <w:t xml:space="preserve">, וה"ק: מי גרם לה לעבירה? יין, וקאמר: כל הרואה סוטה בקלקולה </w:t>
      </w:r>
      <w:r w:rsidR="00943D2D" w:rsidRPr="003326EC">
        <w:rPr>
          <w:rFonts w:hint="cs"/>
          <w:rtl/>
        </w:rPr>
        <w:t>–</w:t>
      </w:r>
      <w:r w:rsidRPr="003326EC">
        <w:rPr>
          <w:rtl/>
        </w:rPr>
        <w:t xml:space="preserve"> יזיר עצמו מן היין.</w:t>
      </w:r>
    </w:p>
    <w:p w14:paraId="5847C54A" w14:textId="1B476F55" w:rsidR="00D74148" w:rsidRDefault="00D74148" w:rsidP="00D74148">
      <w:pPr>
        <w:rPr>
          <w:rtl/>
        </w:rPr>
      </w:pPr>
      <w:r>
        <w:rPr>
          <w:rtl/>
        </w:rPr>
        <w:t xml:space="preserve">מתוך דברי הגמרא </w:t>
      </w:r>
      <w:r w:rsidR="00943D2D">
        <w:rPr>
          <w:rFonts w:hint="cs"/>
          <w:rtl/>
        </w:rPr>
        <w:t xml:space="preserve">עולה ההנחה </w:t>
      </w:r>
      <w:r>
        <w:rPr>
          <w:rtl/>
        </w:rPr>
        <w:t>שהיין הוא סיבת הפירוד בגירושי</w:t>
      </w:r>
      <w:r w:rsidR="00943D2D">
        <w:rPr>
          <w:rFonts w:hint="cs"/>
          <w:rtl/>
        </w:rPr>
        <w:t>ן ("</w:t>
      </w:r>
      <w:r>
        <w:rPr>
          <w:rtl/>
        </w:rPr>
        <w:t>כי מצא בה ערות דבר</w:t>
      </w:r>
      <w:r w:rsidR="00943D2D">
        <w:rPr>
          <w:rFonts w:hint="cs"/>
          <w:rtl/>
        </w:rPr>
        <w:t>")</w:t>
      </w:r>
      <w:r>
        <w:rPr>
          <w:rtl/>
        </w:rPr>
        <w:t xml:space="preserve"> ובפרשת סוטה</w:t>
      </w:r>
      <w:r w:rsidR="00943D2D">
        <w:rPr>
          <w:rFonts w:hint="cs"/>
          <w:rtl/>
        </w:rPr>
        <w:t>,</w:t>
      </w:r>
      <w:r>
        <w:rPr>
          <w:rtl/>
        </w:rPr>
        <w:t xml:space="preserve"> ולכן הקדים רבי את מסכת נזיר ל</w:t>
      </w:r>
      <w:r w:rsidR="00943D2D">
        <w:rPr>
          <w:rFonts w:hint="cs"/>
          <w:rtl/>
        </w:rPr>
        <w:t xml:space="preserve">מסכתות </w:t>
      </w:r>
      <w:r>
        <w:rPr>
          <w:rtl/>
        </w:rPr>
        <w:t xml:space="preserve">סוטה </w:t>
      </w:r>
      <w:r>
        <w:rPr>
          <w:rtl/>
        </w:rPr>
        <w:t>וגיטין</w:t>
      </w:r>
      <w:r w:rsidR="00943D2D">
        <w:rPr>
          <w:rFonts w:hint="cs"/>
          <w:rtl/>
        </w:rPr>
        <w:t>,</w:t>
      </w:r>
      <w:r>
        <w:rPr>
          <w:rtl/>
        </w:rPr>
        <w:t xml:space="preserve"> </w:t>
      </w:r>
      <w:r w:rsidR="00943D2D">
        <w:rPr>
          <w:rFonts w:hint="cs"/>
          <w:rtl/>
        </w:rPr>
        <w:t>ש</w:t>
      </w:r>
      <w:r>
        <w:rPr>
          <w:rtl/>
        </w:rPr>
        <w:t>בש</w:t>
      </w:r>
      <w:r w:rsidR="00943D2D">
        <w:rPr>
          <w:rFonts w:hint="cs"/>
          <w:rtl/>
        </w:rPr>
        <w:t>ת</w:t>
      </w:r>
      <w:r>
        <w:rPr>
          <w:rtl/>
        </w:rPr>
        <w:t>יה</w:t>
      </w:r>
      <w:r w:rsidR="00943D2D">
        <w:rPr>
          <w:rFonts w:hint="cs"/>
          <w:rtl/>
        </w:rPr>
        <w:t>ן</w:t>
      </w:r>
      <w:r>
        <w:rPr>
          <w:rtl/>
        </w:rPr>
        <w:t xml:space="preserve"> ערות דבר היא אשר הביאה לפירוד. מהו כוחו המיוחד של היין, וכיצד הוא גורם לפירוד? על כך ניתן ללמוד משני סיפורים בספר בראשית. בתום המבול נוטע נח כרם</w:t>
      </w:r>
      <w:r w:rsidR="00D46876">
        <w:rPr>
          <w:rFonts w:hint="cs"/>
          <w:rtl/>
        </w:rPr>
        <w:t>,</w:t>
      </w:r>
      <w:r>
        <w:rPr>
          <w:rtl/>
        </w:rPr>
        <w:t xml:space="preserve"> אשר גורם לו בזיון גדול:</w:t>
      </w:r>
    </w:p>
    <w:p w14:paraId="54688ADD" w14:textId="1DE720E1" w:rsidR="00D74148" w:rsidRDefault="00D74148" w:rsidP="003326EC">
      <w:pPr>
        <w:pStyle w:val="14"/>
        <w:rPr>
          <w:rtl/>
        </w:rPr>
      </w:pPr>
      <w:r>
        <w:rPr>
          <w:rtl/>
        </w:rPr>
        <w:t>וַיֵּשְׁתְּ מִן הַיַּיִן וַיִּשְׁכָּר וַיִּתְגַּל בְּתוֹךְ אָהֳלֹה</w:t>
      </w:r>
      <w:r w:rsidR="00D46876">
        <w:rPr>
          <w:rFonts w:hint="cs"/>
          <w:rtl/>
        </w:rPr>
        <w:t>.</w:t>
      </w:r>
      <w:r>
        <w:rPr>
          <w:rtl/>
        </w:rPr>
        <w:t xml:space="preserve"> וַיַּרְא חָם אֲבִי כְנַעַן אֵת עֶרְוַת אָבִיו וַיַּגֵּד לִשְׁנֵי אֶחָיו בַּחוּץ.</w:t>
      </w:r>
    </w:p>
    <w:p w14:paraId="49A4181A" w14:textId="21A4B2FA" w:rsidR="00D74148" w:rsidRDefault="00D74148" w:rsidP="00D74148">
      <w:pPr>
        <w:rPr>
          <w:rtl/>
        </w:rPr>
      </w:pPr>
      <w:r>
        <w:rPr>
          <w:rtl/>
        </w:rPr>
        <w:t>חם מנצל את שכרותו של אביו ואיבוד הדעת ו</w:t>
      </w:r>
      <w:r w:rsidR="00D46876">
        <w:rPr>
          <w:rFonts w:hint="cs"/>
          <w:rtl/>
        </w:rPr>
        <w:t>'</w:t>
      </w:r>
      <w:r>
        <w:rPr>
          <w:rtl/>
        </w:rPr>
        <w:t xml:space="preserve">מגלה את ערותו'. לאחר אובדן הדעת של נח אנו מוצאים אבדן דעת </w:t>
      </w:r>
      <w:r w:rsidR="00D46876">
        <w:rPr>
          <w:rFonts w:hint="cs"/>
          <w:rtl/>
        </w:rPr>
        <w:t xml:space="preserve">גם </w:t>
      </w:r>
      <w:r>
        <w:rPr>
          <w:rtl/>
        </w:rPr>
        <w:t>אצל לוט, כאשר בנותיו מנצלות את איבוד הדעת כדי להקים ממנו זרע:</w:t>
      </w:r>
    </w:p>
    <w:p w14:paraId="373D72CA" w14:textId="4672E228" w:rsidR="00D74148" w:rsidRDefault="00D74148" w:rsidP="003326EC">
      <w:pPr>
        <w:pStyle w:val="14"/>
        <w:rPr>
          <w:rtl/>
        </w:rPr>
      </w:pPr>
      <w:r>
        <w:rPr>
          <w:rtl/>
        </w:rPr>
        <w:t>לְכָה נַשְׁקֶה אֶת אָבִינוּ יַיִן וְנִשְׁכְּבָה עִמּוֹ וּנְחַיֶּה מֵאָבִינוּ זָרַע</w:t>
      </w:r>
      <w:r w:rsidR="00D46876">
        <w:rPr>
          <w:rFonts w:hint="cs"/>
          <w:rtl/>
        </w:rPr>
        <w:t>.</w:t>
      </w:r>
    </w:p>
    <w:p w14:paraId="4B6984F3" w14:textId="69392D6E" w:rsidR="00D74148" w:rsidRPr="00A2288E" w:rsidRDefault="00D74148" w:rsidP="00D74148">
      <w:pPr>
        <w:rPr>
          <w:rtl/>
        </w:rPr>
      </w:pPr>
      <w:r w:rsidRPr="00A2288E">
        <w:rPr>
          <w:rtl/>
        </w:rPr>
        <w:t xml:space="preserve">בשני המקרים כוחו הגדול של היין הוא באפשרות לאבד את הדעת ולעשות מעשה ללא שליטה עצמית. הנזיר הפורש מן היין מרחיק את עצמו מסכנת איבוד הדעת. שיבוצה של מסכת נזיר בתוך מסכתות סדר נשים בא לשקף </w:t>
      </w:r>
      <w:r w:rsidR="00385322" w:rsidRPr="00A2288E">
        <w:rPr>
          <w:rFonts w:hint="cs"/>
          <w:rtl/>
        </w:rPr>
        <w:t>את ה</w:t>
      </w:r>
      <w:r w:rsidRPr="00A2288E">
        <w:rPr>
          <w:rtl/>
        </w:rPr>
        <w:t xml:space="preserve">רעיון </w:t>
      </w:r>
      <w:r w:rsidR="00385322" w:rsidRPr="00A2288E">
        <w:rPr>
          <w:rFonts w:hint="cs"/>
          <w:rtl/>
        </w:rPr>
        <w:t>שכל ה</w:t>
      </w:r>
      <w:r w:rsidRPr="00A2288E">
        <w:rPr>
          <w:rtl/>
        </w:rPr>
        <w:t>הלכות שבסדר זה</w:t>
      </w:r>
      <w:r w:rsidR="00385322" w:rsidRPr="00A2288E">
        <w:rPr>
          <w:rFonts w:hint="cs"/>
          <w:rtl/>
        </w:rPr>
        <w:t>,</w:t>
      </w:r>
      <w:r w:rsidRPr="00A2288E">
        <w:rPr>
          <w:rtl/>
        </w:rPr>
        <w:t xml:space="preserve"> הבא</w:t>
      </w:r>
      <w:r w:rsidR="00385322" w:rsidRPr="00A2288E">
        <w:rPr>
          <w:rFonts w:hint="cs"/>
          <w:rtl/>
        </w:rPr>
        <w:t>ות</w:t>
      </w:r>
      <w:r w:rsidRPr="00A2288E">
        <w:rPr>
          <w:rtl/>
        </w:rPr>
        <w:t xml:space="preserve"> למשטר ולקבוע מסגרת לקשר שבין איש לאישה</w:t>
      </w:r>
      <w:r w:rsidR="00385322" w:rsidRPr="00A2288E">
        <w:rPr>
          <w:rFonts w:hint="cs"/>
          <w:rtl/>
        </w:rPr>
        <w:t>,</w:t>
      </w:r>
      <w:r w:rsidRPr="00A2288E">
        <w:rPr>
          <w:rtl/>
        </w:rPr>
        <w:t xml:space="preserve"> ראשית</w:t>
      </w:r>
      <w:r w:rsidR="00385322" w:rsidRPr="00A2288E">
        <w:rPr>
          <w:rFonts w:hint="cs"/>
          <w:rtl/>
        </w:rPr>
        <w:t>ן</w:t>
      </w:r>
      <w:r w:rsidRPr="00A2288E">
        <w:rPr>
          <w:rtl/>
        </w:rPr>
        <w:t xml:space="preserve"> בשליטה האנושית על הדחפים המביאים לאיבוד הדעת. ההליכה אחר הדחפים והאופנות המשתנות ממוטט</w:t>
      </w:r>
      <w:r w:rsidR="00385322" w:rsidRPr="00A2288E">
        <w:rPr>
          <w:rFonts w:hint="cs"/>
          <w:rtl/>
        </w:rPr>
        <w:t>ת</w:t>
      </w:r>
      <w:r w:rsidRPr="00A2288E">
        <w:rPr>
          <w:rtl/>
        </w:rPr>
        <w:t xml:space="preserve"> את מודל המשפחה לאורך כל הדורות. </w:t>
      </w:r>
      <w:r w:rsidR="00385322" w:rsidRPr="00A2288E">
        <w:rPr>
          <w:rFonts w:hint="cs"/>
          <w:rtl/>
        </w:rPr>
        <w:t>ה</w:t>
      </w:r>
      <w:r w:rsidRPr="00A2288E">
        <w:rPr>
          <w:rtl/>
        </w:rPr>
        <w:t>הלכות של סדר נשים</w:t>
      </w:r>
      <w:r w:rsidR="00385322" w:rsidRPr="00A2288E">
        <w:rPr>
          <w:rFonts w:hint="cs"/>
          <w:rtl/>
        </w:rPr>
        <w:t>,</w:t>
      </w:r>
      <w:r w:rsidRPr="00A2288E">
        <w:rPr>
          <w:rtl/>
        </w:rPr>
        <w:t xml:space="preserve"> אשר נותנ</w:t>
      </w:r>
      <w:r w:rsidR="00385322" w:rsidRPr="00A2288E">
        <w:rPr>
          <w:rFonts w:hint="cs"/>
          <w:rtl/>
        </w:rPr>
        <w:t>ו</w:t>
      </w:r>
      <w:r w:rsidRPr="00A2288E">
        <w:rPr>
          <w:rtl/>
        </w:rPr>
        <w:t>ת מסגרת למודל המשפחה</w:t>
      </w:r>
      <w:r w:rsidR="00385322" w:rsidRPr="00A2288E">
        <w:rPr>
          <w:rFonts w:hint="cs"/>
          <w:rtl/>
        </w:rPr>
        <w:t>,</w:t>
      </w:r>
      <w:r w:rsidRPr="00A2288E">
        <w:rPr>
          <w:rtl/>
        </w:rPr>
        <w:t xml:space="preserve"> אינ</w:t>
      </w:r>
      <w:r w:rsidR="00385322" w:rsidRPr="00A2288E">
        <w:rPr>
          <w:rFonts w:hint="cs"/>
          <w:rtl/>
        </w:rPr>
        <w:t>ן</w:t>
      </w:r>
      <w:r w:rsidRPr="00A2288E">
        <w:rPr>
          <w:rtl/>
        </w:rPr>
        <w:t xml:space="preserve"> יכול</w:t>
      </w:r>
      <w:r w:rsidR="00385322" w:rsidRPr="00A2288E">
        <w:rPr>
          <w:rFonts w:hint="cs"/>
          <w:rtl/>
        </w:rPr>
        <w:t>ו</w:t>
      </w:r>
      <w:r w:rsidRPr="00A2288E">
        <w:rPr>
          <w:rtl/>
        </w:rPr>
        <w:t xml:space="preserve">ת להתקיים ללא השליטה העצמית בדחפים וההבנה כי לעיתים האדם צריך להתנזר מן היין. </w:t>
      </w:r>
    </w:p>
    <w:p w14:paraId="2A1E48C1" w14:textId="46BB482F" w:rsidR="00D74148" w:rsidRPr="00A2288E" w:rsidRDefault="00D74148" w:rsidP="00D74148">
      <w:pPr>
        <w:rPr>
          <w:rtl/>
        </w:rPr>
      </w:pPr>
      <w:r w:rsidRPr="00A2288E">
        <w:rPr>
          <w:rtl/>
        </w:rPr>
        <w:t xml:space="preserve">רבי יהודה הנשיא </w:t>
      </w:r>
      <w:r w:rsidR="00385322" w:rsidRPr="00A2288E">
        <w:rPr>
          <w:rFonts w:hint="cs"/>
          <w:rtl/>
        </w:rPr>
        <w:t xml:space="preserve">החליט </w:t>
      </w:r>
      <w:r w:rsidRPr="00A2288E">
        <w:rPr>
          <w:rtl/>
        </w:rPr>
        <w:t>למקם את מסכת נזיר באמצעו של סדר נשים</w:t>
      </w:r>
      <w:r w:rsidR="004676F0" w:rsidRPr="00A2288E">
        <w:rPr>
          <w:rFonts w:hint="cs"/>
          <w:rtl/>
        </w:rPr>
        <w:t>,</w:t>
      </w:r>
      <w:r w:rsidRPr="00A2288E">
        <w:rPr>
          <w:rtl/>
        </w:rPr>
        <w:t xml:space="preserve"> כבריח התיכון</w:t>
      </w:r>
      <w:r w:rsidR="004676F0" w:rsidRPr="00A2288E">
        <w:rPr>
          <w:rFonts w:hint="cs"/>
          <w:rtl/>
        </w:rPr>
        <w:t xml:space="preserve"> –</w:t>
      </w:r>
      <w:r w:rsidRPr="00A2288E">
        <w:rPr>
          <w:rtl/>
        </w:rPr>
        <w:t xml:space="preserve"> בין החלק הראשון</w:t>
      </w:r>
      <w:r w:rsidR="004676F0" w:rsidRPr="00A2288E">
        <w:rPr>
          <w:rFonts w:hint="cs"/>
          <w:rtl/>
        </w:rPr>
        <w:t>,</w:t>
      </w:r>
      <w:r w:rsidR="00385322" w:rsidRPr="00A2288E">
        <w:rPr>
          <w:rFonts w:hint="cs"/>
          <w:rtl/>
        </w:rPr>
        <w:t xml:space="preserve"> </w:t>
      </w:r>
      <w:r w:rsidRPr="00A2288E">
        <w:rPr>
          <w:rtl/>
        </w:rPr>
        <w:t>שעוסק בהסדרת החובות והזכויות (יבמות-כתובות-נדרים)</w:t>
      </w:r>
      <w:r w:rsidR="00385322" w:rsidRPr="00A2288E">
        <w:rPr>
          <w:rFonts w:hint="cs"/>
          <w:rtl/>
        </w:rPr>
        <w:t>,</w:t>
      </w:r>
      <w:r w:rsidRPr="00A2288E">
        <w:rPr>
          <w:rtl/>
        </w:rPr>
        <w:t xml:space="preserve"> לחלק השני</w:t>
      </w:r>
      <w:r w:rsidR="004676F0" w:rsidRPr="00A2288E">
        <w:rPr>
          <w:rFonts w:hint="cs"/>
          <w:rtl/>
        </w:rPr>
        <w:t>,</w:t>
      </w:r>
      <w:r w:rsidR="00385322" w:rsidRPr="00A2288E">
        <w:rPr>
          <w:rFonts w:hint="cs"/>
          <w:rtl/>
        </w:rPr>
        <w:t xml:space="preserve"> </w:t>
      </w:r>
      <w:r w:rsidRPr="00A2288E">
        <w:rPr>
          <w:rtl/>
        </w:rPr>
        <w:t xml:space="preserve">העוסק בנושאי </w:t>
      </w:r>
      <w:r w:rsidR="00385322" w:rsidRPr="00A2288E">
        <w:rPr>
          <w:rFonts w:hint="cs"/>
          <w:rtl/>
        </w:rPr>
        <w:t>ה</w:t>
      </w:r>
      <w:r w:rsidRPr="00A2288E">
        <w:rPr>
          <w:rtl/>
        </w:rPr>
        <w:t>התקשרות (גיטין-קידושין)</w:t>
      </w:r>
      <w:r w:rsidR="00385322" w:rsidRPr="00A2288E">
        <w:rPr>
          <w:rFonts w:hint="cs"/>
          <w:rtl/>
        </w:rPr>
        <w:t>,</w:t>
      </w:r>
      <w:r w:rsidRPr="00A2288E">
        <w:rPr>
          <w:rtl/>
        </w:rPr>
        <w:footnoteReference w:id="3"/>
      </w:r>
      <w:r w:rsidRPr="00A2288E">
        <w:rPr>
          <w:rtl/>
        </w:rPr>
        <w:t xml:space="preserve"> ובכך להביא לשיווי המשקל האישי השומר על התא המשפחתי.</w:t>
      </w:r>
    </w:p>
    <w:p w14:paraId="66D9CBDC" w14:textId="31C2F7D9" w:rsidR="00D74148" w:rsidRPr="00A2288E" w:rsidRDefault="00D74148" w:rsidP="00D74148">
      <w:pPr>
        <w:rPr>
          <w:rtl/>
        </w:rPr>
      </w:pPr>
      <w:r w:rsidRPr="00A2288E">
        <w:rPr>
          <w:rtl/>
        </w:rPr>
        <w:lastRenderedPageBreak/>
        <w:t xml:space="preserve">רבי יהודה הנשיא </w:t>
      </w:r>
      <w:r w:rsidR="004676F0" w:rsidRPr="00A2288E">
        <w:rPr>
          <w:rFonts w:hint="cs"/>
          <w:rtl/>
        </w:rPr>
        <w:t>מ</w:t>
      </w:r>
      <w:r w:rsidRPr="00A2288E">
        <w:rPr>
          <w:rtl/>
        </w:rPr>
        <w:t xml:space="preserve">תמצת את הדברים בכלל </w:t>
      </w:r>
      <w:r w:rsidR="004676F0" w:rsidRPr="00A2288E">
        <w:rPr>
          <w:rFonts w:hint="cs"/>
          <w:rtl/>
        </w:rPr>
        <w:t>"</w:t>
      </w:r>
      <w:r w:rsidRPr="00A2288E">
        <w:rPr>
          <w:rtl/>
        </w:rPr>
        <w:t>כל הר</w:t>
      </w:r>
      <w:r w:rsidR="004676F0" w:rsidRPr="00A2288E">
        <w:rPr>
          <w:rFonts w:hint="cs"/>
          <w:rtl/>
        </w:rPr>
        <w:t>ו</w:t>
      </w:r>
      <w:r w:rsidRPr="00A2288E">
        <w:rPr>
          <w:rtl/>
        </w:rPr>
        <w:t>אה סוטה בקלקולה יזיר את עצמו מן היין</w:t>
      </w:r>
      <w:r w:rsidR="004676F0" w:rsidRPr="00A2288E">
        <w:rPr>
          <w:rFonts w:hint="cs"/>
          <w:rtl/>
        </w:rPr>
        <w:t>".</w:t>
      </w:r>
      <w:r w:rsidRPr="00A2288E">
        <w:rPr>
          <w:rtl/>
        </w:rPr>
        <w:t xml:space="preserve"> מדוע? לא משום שהיין </w:t>
      </w:r>
      <w:r w:rsidR="004676F0" w:rsidRPr="00A2288E">
        <w:rPr>
          <w:rFonts w:hint="cs"/>
          <w:rtl/>
        </w:rPr>
        <w:t>כ</w:t>
      </w:r>
      <w:r w:rsidRPr="00A2288E">
        <w:rPr>
          <w:rtl/>
        </w:rPr>
        <w:t>ש</w:t>
      </w:r>
      <w:r w:rsidR="004676F0" w:rsidRPr="00A2288E">
        <w:rPr>
          <w:rFonts w:hint="cs"/>
          <w:rtl/>
        </w:rPr>
        <w:t>ל</w:t>
      </w:r>
      <w:r w:rsidRPr="00A2288E">
        <w:rPr>
          <w:rtl/>
        </w:rPr>
        <w:t>עצמו הוא רעל מסוכן ועולם ללא יין הוא עולם ללא בגידות והפרות אמונים</w:t>
      </w:r>
      <w:r w:rsidR="00E2170E" w:rsidRPr="00A2288E">
        <w:rPr>
          <w:rFonts w:hint="cs"/>
          <w:rtl/>
        </w:rPr>
        <w:t>,</w:t>
      </w:r>
      <w:r w:rsidRPr="00A2288E">
        <w:rPr>
          <w:rtl/>
        </w:rPr>
        <w:t xml:space="preserve"> אלא </w:t>
      </w:r>
      <w:r w:rsidR="00E2170E" w:rsidRPr="00A2288E">
        <w:rPr>
          <w:rFonts w:hint="cs"/>
          <w:rtl/>
        </w:rPr>
        <w:t>בגלל</w:t>
      </w:r>
      <w:r w:rsidRPr="00A2288E">
        <w:rPr>
          <w:rtl/>
        </w:rPr>
        <w:t xml:space="preserve"> ההבנה כי הנזירות מביאה את האדם לשליטה עצמית</w:t>
      </w:r>
      <w:r w:rsidR="00E2170E" w:rsidRPr="00A2288E">
        <w:rPr>
          <w:rFonts w:hint="cs"/>
          <w:rtl/>
        </w:rPr>
        <w:t>.</w:t>
      </w:r>
      <w:r w:rsidRPr="00A2288E">
        <w:rPr>
          <w:rtl/>
        </w:rPr>
        <w:t xml:space="preserve"> בתקופת הנזירות האדם נגמל מן הדחפים האין סופיים ליין</w:t>
      </w:r>
      <w:r w:rsidR="00E2170E" w:rsidRPr="00A2288E">
        <w:rPr>
          <w:rFonts w:hint="cs"/>
          <w:rtl/>
        </w:rPr>
        <w:t>,</w:t>
      </w:r>
      <w:r w:rsidRPr="00A2288E">
        <w:rPr>
          <w:rtl/>
        </w:rPr>
        <w:t xml:space="preserve"> ובכך מחזיר את השליטה לחייו</w:t>
      </w:r>
      <w:r w:rsidR="00E2170E" w:rsidRPr="00A2288E">
        <w:rPr>
          <w:rFonts w:hint="cs"/>
          <w:rtl/>
        </w:rPr>
        <w:t>.</w:t>
      </w:r>
      <w:r w:rsidRPr="00A2288E">
        <w:rPr>
          <w:rtl/>
        </w:rPr>
        <w:t xml:space="preserve"> </w:t>
      </w:r>
      <w:r w:rsidR="00E2170E" w:rsidRPr="00A2288E">
        <w:rPr>
          <w:rFonts w:hint="cs"/>
          <w:rtl/>
        </w:rPr>
        <w:t>לכן</w:t>
      </w:r>
      <w:r w:rsidRPr="00A2288E">
        <w:rPr>
          <w:rtl/>
        </w:rPr>
        <w:t xml:space="preserve"> בסוף הנזירות הוא חייב לחזור לשתות יין</w:t>
      </w:r>
      <w:r w:rsidR="00E2170E" w:rsidRPr="00A2288E">
        <w:rPr>
          <w:rFonts w:hint="cs"/>
          <w:rtl/>
        </w:rPr>
        <w:t>,</w:t>
      </w:r>
      <w:r w:rsidRPr="00A2288E">
        <w:rPr>
          <w:rtl/>
        </w:rPr>
        <w:t xml:space="preserve"> </w:t>
      </w:r>
      <w:r w:rsidR="00E2170E" w:rsidRPr="00A2288E">
        <w:rPr>
          <w:rFonts w:hint="cs"/>
          <w:rtl/>
        </w:rPr>
        <w:t>משום שה</w:t>
      </w:r>
      <w:r w:rsidRPr="00A2288E">
        <w:rPr>
          <w:rtl/>
        </w:rPr>
        <w:t xml:space="preserve">נזירות הישראלית היא ביטוי לשליטה עצמית ולא להדחקה. </w:t>
      </w:r>
    </w:p>
    <w:p w14:paraId="4C6E9628" w14:textId="77777777" w:rsidR="00D74148" w:rsidRPr="000874E6" w:rsidRDefault="00D74148" w:rsidP="000874E6">
      <w:pPr>
        <w:pStyle w:val="2"/>
        <w:rPr>
          <w:rtl/>
        </w:rPr>
      </w:pPr>
      <w:r w:rsidRPr="000874E6">
        <w:rPr>
          <w:rtl/>
        </w:rPr>
        <w:t>שיטת הרמב"ם</w:t>
      </w:r>
    </w:p>
    <w:p w14:paraId="49835133" w14:textId="018A6BD5" w:rsidR="00D74148" w:rsidRPr="00A2288E" w:rsidRDefault="00D74148" w:rsidP="00D74148">
      <w:pPr>
        <w:rPr>
          <w:rtl/>
        </w:rPr>
      </w:pPr>
      <w:r w:rsidRPr="00A2288E">
        <w:rPr>
          <w:rtl/>
        </w:rPr>
        <w:t>לרמב"ם היתה מסורת שונה במקצת בסידור מסכתות סדר נשים:</w:t>
      </w:r>
      <w:r w:rsidR="00E65306" w:rsidRPr="00A2288E">
        <w:rPr>
          <w:rtl/>
        </w:rPr>
        <w:footnoteReference w:id="4"/>
      </w:r>
    </w:p>
    <w:p w14:paraId="14A3F882" w14:textId="390080C1" w:rsidR="00D74148" w:rsidRDefault="00D74148" w:rsidP="003326EC">
      <w:pPr>
        <w:pStyle w:val="14"/>
        <w:rPr>
          <w:rtl/>
        </w:rPr>
      </w:pPr>
      <w:r>
        <w:rPr>
          <w:rtl/>
        </w:rPr>
        <w:t>יבמות</w:t>
      </w:r>
      <w:r w:rsidR="00E2170E">
        <w:rPr>
          <w:rFonts w:cstheme="minorBidi"/>
          <w:rtl/>
        </w:rPr>
        <w:br/>
      </w:r>
      <w:r>
        <w:rPr>
          <w:rtl/>
        </w:rPr>
        <w:t>כתובות</w:t>
      </w:r>
      <w:r w:rsidR="00E2170E">
        <w:rPr>
          <w:rtl/>
        </w:rPr>
        <w:br/>
      </w:r>
      <w:r>
        <w:rPr>
          <w:rtl/>
        </w:rPr>
        <w:t>נד</w:t>
      </w:r>
      <w:r w:rsidR="00E2170E">
        <w:rPr>
          <w:rFonts w:hint="cs"/>
          <w:rtl/>
        </w:rPr>
        <w:t>ר</w:t>
      </w:r>
      <w:r>
        <w:rPr>
          <w:rtl/>
        </w:rPr>
        <w:t>ים</w:t>
      </w:r>
      <w:r w:rsidR="00E2170E">
        <w:rPr>
          <w:rtl/>
        </w:rPr>
        <w:br/>
      </w:r>
      <w:r>
        <w:rPr>
          <w:rtl/>
        </w:rPr>
        <w:t>נזיר</w:t>
      </w:r>
      <w:r w:rsidR="00E2170E">
        <w:rPr>
          <w:rtl/>
        </w:rPr>
        <w:br/>
      </w:r>
      <w:r>
        <w:rPr>
          <w:rtl/>
        </w:rPr>
        <w:t>גיטין</w:t>
      </w:r>
      <w:r w:rsidR="00E2170E">
        <w:rPr>
          <w:rtl/>
        </w:rPr>
        <w:br/>
      </w:r>
      <w:r>
        <w:rPr>
          <w:b/>
          <w:bCs/>
          <w:rtl/>
        </w:rPr>
        <w:t>סוטה</w:t>
      </w:r>
      <w:r w:rsidR="00E2170E">
        <w:rPr>
          <w:b/>
          <w:bCs/>
          <w:rtl/>
        </w:rPr>
        <w:br/>
      </w:r>
      <w:r>
        <w:rPr>
          <w:rtl/>
        </w:rPr>
        <w:t xml:space="preserve">קידושין </w:t>
      </w:r>
    </w:p>
    <w:p w14:paraId="71814E31" w14:textId="5377AEB6" w:rsidR="00D74148" w:rsidRPr="00A2288E" w:rsidRDefault="00D74148" w:rsidP="00D74148">
      <w:pPr>
        <w:rPr>
          <w:rtl/>
        </w:rPr>
      </w:pPr>
      <w:r w:rsidRPr="00A2288E">
        <w:rPr>
          <w:rtl/>
        </w:rPr>
        <w:t xml:space="preserve">בהקדמה לפירוש המשנה מסביר הרמב"ם </w:t>
      </w:r>
      <w:r w:rsidR="00E2170E" w:rsidRPr="00A2288E">
        <w:rPr>
          <w:rFonts w:hint="cs"/>
          <w:rtl/>
        </w:rPr>
        <w:t xml:space="preserve">את </w:t>
      </w:r>
      <w:r w:rsidRPr="00A2288E">
        <w:rPr>
          <w:rtl/>
        </w:rPr>
        <w:t xml:space="preserve">פשרה </w:t>
      </w:r>
      <w:r w:rsidR="00E2170E" w:rsidRPr="00A2288E">
        <w:rPr>
          <w:rFonts w:hint="cs"/>
          <w:rtl/>
        </w:rPr>
        <w:t xml:space="preserve">של </w:t>
      </w:r>
      <w:r w:rsidRPr="00A2288E">
        <w:rPr>
          <w:rtl/>
        </w:rPr>
        <w:t>צורת סידור זו</w:t>
      </w:r>
      <w:r w:rsidR="00E2170E" w:rsidRPr="00A2288E">
        <w:rPr>
          <w:rFonts w:hint="cs"/>
          <w:rtl/>
        </w:rPr>
        <w:t>:</w:t>
      </w:r>
    </w:p>
    <w:p w14:paraId="08A1AC22" w14:textId="25D79224" w:rsidR="00D74148" w:rsidRDefault="00D74148" w:rsidP="003326EC">
      <w:pPr>
        <w:pStyle w:val="14"/>
        <w:rPr>
          <w:rtl/>
        </w:rPr>
      </w:pPr>
      <w:r>
        <w:rPr>
          <w:rtl/>
        </w:rPr>
        <w:t>וכאשר גמר עניני נשואין ודיני הפרת נדרים בא לדבר על הגירושין, לפי שאחרי הנשואין יארעו הגירושין, ולפיכך קבע גטין אחרי נזירות. ואחר גטין ש</w:t>
      </w:r>
      <w:r w:rsidR="00E2170E">
        <w:rPr>
          <w:rFonts w:hint="cs"/>
          <w:rtl/>
        </w:rPr>
        <w:t>ׂ</w:t>
      </w:r>
      <w:r>
        <w:rPr>
          <w:rtl/>
        </w:rPr>
        <w:t>וטה, מפני שגם היא מעניני הגירושין, שאם זינת יוכרחו בני הזוג על הגירושין כמו שיתבאר במקומו.</w:t>
      </w:r>
    </w:p>
    <w:p w14:paraId="3D55516B" w14:textId="3E81787F" w:rsidR="00D74148" w:rsidRPr="00A2288E" w:rsidRDefault="00D74148" w:rsidP="00D74148">
      <w:pPr>
        <w:rPr>
          <w:rtl/>
        </w:rPr>
      </w:pPr>
      <w:r w:rsidRPr="00A2288E">
        <w:rPr>
          <w:rtl/>
        </w:rPr>
        <w:t xml:space="preserve">שתי המסכתות עוסקות בפירוד בין איש לאישה, בין שזה נעשה בצורה יזומה </w:t>
      </w:r>
      <w:r w:rsidR="00FF2942" w:rsidRPr="00A2288E">
        <w:rPr>
          <w:rFonts w:hint="cs"/>
          <w:rtl/>
        </w:rPr>
        <w:t xml:space="preserve">(מסכת </w:t>
      </w:r>
      <w:r w:rsidRPr="00A2288E">
        <w:rPr>
          <w:rtl/>
        </w:rPr>
        <w:t>גיטין</w:t>
      </w:r>
      <w:r w:rsidR="00FF2942" w:rsidRPr="00A2288E">
        <w:rPr>
          <w:rFonts w:hint="cs"/>
          <w:rtl/>
        </w:rPr>
        <w:t>)</w:t>
      </w:r>
      <w:r w:rsidRPr="00A2288E">
        <w:rPr>
          <w:rtl/>
        </w:rPr>
        <w:t xml:space="preserve"> ובין אם </w:t>
      </w:r>
      <w:r w:rsidR="00FF2942" w:rsidRPr="00A2288E">
        <w:rPr>
          <w:rFonts w:hint="cs"/>
          <w:rtl/>
        </w:rPr>
        <w:t>כתגובה</w:t>
      </w:r>
      <w:r w:rsidRPr="00A2288E">
        <w:rPr>
          <w:rtl/>
        </w:rPr>
        <w:t xml:space="preserve"> למקרה שבו עלה חשד לפגיעה בקשר</w:t>
      </w:r>
      <w:r w:rsidR="00FF2942" w:rsidRPr="00A2288E">
        <w:rPr>
          <w:rFonts w:hint="cs"/>
          <w:rtl/>
        </w:rPr>
        <w:t xml:space="preserve"> (סוטה),</w:t>
      </w:r>
      <w:r w:rsidRPr="00A2288E">
        <w:rPr>
          <w:rtl/>
        </w:rPr>
        <w:t xml:space="preserve"> וזאת הסיבה לסידור</w:t>
      </w:r>
      <w:r w:rsidR="00FF2942" w:rsidRPr="00A2288E">
        <w:rPr>
          <w:rFonts w:hint="cs"/>
          <w:rtl/>
        </w:rPr>
        <w:t>ן</w:t>
      </w:r>
      <w:r w:rsidRPr="00A2288E">
        <w:rPr>
          <w:rtl/>
        </w:rPr>
        <w:t xml:space="preserve"> </w:t>
      </w:r>
      <w:r w:rsidR="00FF2942" w:rsidRPr="00A2288E">
        <w:rPr>
          <w:rFonts w:hint="cs"/>
          <w:rtl/>
        </w:rPr>
        <w:t xml:space="preserve">של שתי מסכתות אלו </w:t>
      </w:r>
      <w:r w:rsidRPr="00A2288E">
        <w:rPr>
          <w:rtl/>
        </w:rPr>
        <w:t>זו אחר זו</w:t>
      </w:r>
      <w:r w:rsidR="00FF2942" w:rsidRPr="00A2288E">
        <w:rPr>
          <w:rFonts w:hint="cs"/>
          <w:rtl/>
        </w:rPr>
        <w:t>.</w:t>
      </w:r>
      <w:r w:rsidRPr="00A2288E">
        <w:rPr>
          <w:rtl/>
        </w:rPr>
        <w:footnoteReference w:id="5"/>
      </w:r>
      <w:r w:rsidRPr="00A2288E">
        <w:rPr>
          <w:rtl/>
        </w:rPr>
        <w:t xml:space="preserve">  החתם סופר בחידושיו</w:t>
      </w:r>
      <w:r w:rsidR="00837271" w:rsidRPr="00A2288E">
        <w:rPr>
          <w:rFonts w:hint="cs"/>
          <w:rtl/>
        </w:rPr>
        <w:t xml:space="preserve"> (גיטין ב ע"א)</w:t>
      </w:r>
      <w:r w:rsidRPr="00A2288E">
        <w:rPr>
          <w:rtl/>
        </w:rPr>
        <w:t xml:space="preserve"> מוצא קשר נוסף המסביר את צורת הסידור</w:t>
      </w:r>
      <w:r w:rsidR="00FF2942" w:rsidRPr="00A2288E">
        <w:rPr>
          <w:rFonts w:hint="cs"/>
          <w:rtl/>
        </w:rPr>
        <w:t>:</w:t>
      </w:r>
      <w:r w:rsidRPr="00A2288E">
        <w:rPr>
          <w:rtl/>
        </w:rPr>
        <w:footnoteReference w:id="6"/>
      </w:r>
    </w:p>
    <w:p w14:paraId="0D215123" w14:textId="5F9F29FE" w:rsidR="00D74148" w:rsidRDefault="00D74148" w:rsidP="003326EC">
      <w:pPr>
        <w:pStyle w:val="14"/>
        <w:rPr>
          <w:rtl/>
        </w:rPr>
      </w:pPr>
      <w:r>
        <w:rPr>
          <w:rtl/>
        </w:rPr>
        <w:t>דודאי לכאורה סידור נכון סוטה אחר גיטין</w:t>
      </w:r>
      <w:r w:rsidR="00FF2942">
        <w:rPr>
          <w:rFonts w:hint="cs"/>
          <w:rtl/>
        </w:rPr>
        <w:t>,</w:t>
      </w:r>
      <w:r>
        <w:rPr>
          <w:rtl/>
        </w:rPr>
        <w:t xml:space="preserve"> דמס' גיטין מסיים לא יגרש אא"כ מצא בה ערות דבר וזה גורם לסוטה, אבל להקדים סוטה לגיטין אין להמשיך</w:t>
      </w:r>
      <w:r w:rsidR="00FF2942">
        <w:rPr>
          <w:rFonts w:hint="cs"/>
          <w:rtl/>
        </w:rPr>
        <w:t>,</w:t>
      </w:r>
      <w:r>
        <w:rPr>
          <w:rtl/>
        </w:rPr>
        <w:t xml:space="preserve"> דמס' גיטין אינו מתחיל במגרש מחמת זנות וערות דבר אלא בשולח ממ</w:t>
      </w:r>
      <w:r w:rsidR="00FF2942">
        <w:rPr>
          <w:rFonts w:hint="cs"/>
          <w:rtl/>
        </w:rPr>
        <w:t xml:space="preserve">דינת </w:t>
      </w:r>
      <w:r>
        <w:rPr>
          <w:rtl/>
        </w:rPr>
        <w:t>ה</w:t>
      </w:r>
      <w:r w:rsidR="00FF2942">
        <w:rPr>
          <w:rFonts w:hint="cs"/>
          <w:rtl/>
        </w:rPr>
        <w:t>ים</w:t>
      </w:r>
      <w:r>
        <w:rPr>
          <w:rtl/>
        </w:rPr>
        <w:t xml:space="preserve"> שלא </w:t>
      </w:r>
      <w:r>
        <w:rPr>
          <w:rtl/>
        </w:rPr>
        <w:t>מחמת קטטא כלל</w:t>
      </w:r>
      <w:r w:rsidR="00FF2942">
        <w:rPr>
          <w:rFonts w:hint="cs"/>
          <w:rtl/>
        </w:rPr>
        <w:t>,</w:t>
      </w:r>
      <w:r>
        <w:rPr>
          <w:rtl/>
        </w:rPr>
        <w:t xml:space="preserve"> ע"כ לכאורה סידור הרמב"ם נכון</w:t>
      </w:r>
      <w:r w:rsidR="00FF2942">
        <w:rPr>
          <w:rFonts w:hint="cs"/>
          <w:rtl/>
        </w:rPr>
        <w:t>.</w:t>
      </w:r>
    </w:p>
    <w:p w14:paraId="52326855" w14:textId="13EE90EC" w:rsidR="00D74148" w:rsidRPr="00A2288E" w:rsidRDefault="00D74148" w:rsidP="00D74148">
      <w:pPr>
        <w:rPr>
          <w:rtl/>
        </w:rPr>
      </w:pPr>
      <w:r w:rsidRPr="00A2288E">
        <w:rPr>
          <w:rtl/>
        </w:rPr>
        <w:t>ע</w:t>
      </w:r>
      <w:r w:rsidR="00E65306" w:rsidRPr="00A2288E">
        <w:rPr>
          <w:rFonts w:hint="cs"/>
          <w:rtl/>
        </w:rPr>
        <w:t>ל פי</w:t>
      </w:r>
      <w:r w:rsidRPr="00A2288E">
        <w:rPr>
          <w:rtl/>
        </w:rPr>
        <w:t xml:space="preserve"> תפיסתו של החתם סופר </w:t>
      </w:r>
      <w:r w:rsidR="00E65306" w:rsidRPr="00A2288E">
        <w:rPr>
          <w:rFonts w:hint="cs"/>
          <w:rtl/>
        </w:rPr>
        <w:t xml:space="preserve">סדר </w:t>
      </w:r>
      <w:r w:rsidRPr="00A2288E">
        <w:rPr>
          <w:rtl/>
        </w:rPr>
        <w:t xml:space="preserve">המסכתות נובע מן הקשר שניתן למצוא בין המשנה האחרונה במסכת </w:t>
      </w:r>
      <w:r w:rsidR="00E65306" w:rsidRPr="00A2288E">
        <w:rPr>
          <w:rFonts w:hint="cs"/>
          <w:rtl/>
        </w:rPr>
        <w:t xml:space="preserve">האחת </w:t>
      </w:r>
      <w:r w:rsidRPr="00A2288E">
        <w:rPr>
          <w:rtl/>
        </w:rPr>
        <w:t xml:space="preserve">למשנה הראשונה </w:t>
      </w:r>
      <w:r w:rsidR="00E65306" w:rsidRPr="00A2288E">
        <w:rPr>
          <w:rFonts w:hint="cs"/>
          <w:rtl/>
        </w:rPr>
        <w:t xml:space="preserve">במסכת </w:t>
      </w:r>
      <w:r w:rsidRPr="00A2288E">
        <w:rPr>
          <w:rtl/>
        </w:rPr>
        <w:t xml:space="preserve">הסמוכה לה. </w:t>
      </w:r>
      <w:r w:rsidR="00305392" w:rsidRPr="00A2288E">
        <w:rPr>
          <w:rFonts w:hint="cs"/>
          <w:rtl/>
        </w:rPr>
        <w:t>מכיון</w:t>
      </w:r>
      <w:r w:rsidRPr="00A2288E">
        <w:rPr>
          <w:rtl/>
        </w:rPr>
        <w:t xml:space="preserve"> שהמשנה האחרונה במסכת גיטין עוסקת ב</w:t>
      </w:r>
      <w:r w:rsidR="00183921" w:rsidRPr="00A2288E">
        <w:rPr>
          <w:rFonts w:hint="cs"/>
          <w:rtl/>
        </w:rPr>
        <w:t>ַּ</w:t>
      </w:r>
      <w:r w:rsidRPr="00A2288E">
        <w:rPr>
          <w:rtl/>
        </w:rPr>
        <w:t>עיל</w:t>
      </w:r>
      <w:r w:rsidR="00183921" w:rsidRPr="00A2288E">
        <w:rPr>
          <w:rFonts w:hint="cs"/>
          <w:rtl/>
        </w:rPr>
        <w:t>ו</w:t>
      </w:r>
      <w:r w:rsidRPr="00A2288E">
        <w:rPr>
          <w:rtl/>
        </w:rPr>
        <w:t xml:space="preserve">ת </w:t>
      </w:r>
      <w:r w:rsidR="00183921" w:rsidRPr="00A2288E">
        <w:rPr>
          <w:rFonts w:hint="cs"/>
          <w:rtl/>
        </w:rPr>
        <w:t>האפשריות ל</w:t>
      </w:r>
      <w:r w:rsidRPr="00A2288E">
        <w:rPr>
          <w:rtl/>
        </w:rPr>
        <w:t xml:space="preserve">גירושין, וקובעת את הכלל כי אל לו לאדם </w:t>
      </w:r>
      <w:r w:rsidR="00183921" w:rsidRPr="00A2288E">
        <w:rPr>
          <w:rFonts w:hint="cs"/>
          <w:rtl/>
        </w:rPr>
        <w:t xml:space="preserve">לגרש את אשתו </w:t>
      </w:r>
      <w:r w:rsidRPr="00A2288E">
        <w:rPr>
          <w:rtl/>
        </w:rPr>
        <w:t>ללא סיבה מ</w:t>
      </w:r>
      <w:r w:rsidR="00183921" w:rsidRPr="00A2288E">
        <w:rPr>
          <w:rFonts w:hint="cs"/>
          <w:rtl/>
        </w:rPr>
        <w:t>ו</w:t>
      </w:r>
      <w:r w:rsidRPr="00A2288E">
        <w:rPr>
          <w:rtl/>
        </w:rPr>
        <w:t>צדקת של 'ערות דבר'</w:t>
      </w:r>
      <w:r w:rsidR="00183921" w:rsidRPr="00A2288E">
        <w:rPr>
          <w:rFonts w:hint="cs"/>
          <w:rtl/>
        </w:rPr>
        <w:t>,</w:t>
      </w:r>
      <w:r w:rsidRPr="00A2288E">
        <w:rPr>
          <w:rtl/>
        </w:rPr>
        <w:t xml:space="preserve"> באה </w:t>
      </w:r>
      <w:r w:rsidR="00183921" w:rsidRPr="00A2288E">
        <w:rPr>
          <w:rFonts w:hint="cs"/>
          <w:rtl/>
        </w:rPr>
        <w:t xml:space="preserve">לאחריה </w:t>
      </w:r>
      <w:r w:rsidRPr="00A2288E">
        <w:rPr>
          <w:rtl/>
        </w:rPr>
        <w:t>מסכת סוטה</w:t>
      </w:r>
      <w:r w:rsidR="00183921" w:rsidRPr="00A2288E">
        <w:rPr>
          <w:rFonts w:hint="cs"/>
          <w:rtl/>
        </w:rPr>
        <w:t>,</w:t>
      </w:r>
      <w:r w:rsidRPr="00A2288E">
        <w:rPr>
          <w:rtl/>
        </w:rPr>
        <w:t xml:space="preserve"> העוסקת במקרה שבו </w:t>
      </w:r>
      <w:r w:rsidR="00183921" w:rsidRPr="00A2288E">
        <w:rPr>
          <w:rFonts w:hint="cs"/>
          <w:rtl/>
        </w:rPr>
        <w:t xml:space="preserve">הבעל </w:t>
      </w:r>
      <w:r w:rsidRPr="00A2288E">
        <w:rPr>
          <w:rtl/>
        </w:rPr>
        <w:t>גילה 'ערות דבר' והאישה איננה מוכ</w:t>
      </w:r>
      <w:r w:rsidR="00183921" w:rsidRPr="00A2288E">
        <w:rPr>
          <w:rFonts w:hint="cs"/>
          <w:rtl/>
        </w:rPr>
        <w:t>נה</w:t>
      </w:r>
      <w:r w:rsidRPr="00A2288E">
        <w:rPr>
          <w:rtl/>
        </w:rPr>
        <w:t xml:space="preserve"> להודות בדברים</w:t>
      </w:r>
      <w:r w:rsidR="00183921" w:rsidRPr="00A2288E">
        <w:rPr>
          <w:rFonts w:hint="cs"/>
          <w:rtl/>
        </w:rPr>
        <w:t>,</w:t>
      </w:r>
      <w:r w:rsidRPr="00A2288E">
        <w:rPr>
          <w:rtl/>
        </w:rPr>
        <w:t xml:space="preserve"> </w:t>
      </w:r>
      <w:r w:rsidR="00183921" w:rsidRPr="00A2288E">
        <w:rPr>
          <w:rFonts w:hint="cs"/>
          <w:rtl/>
        </w:rPr>
        <w:t>ו</w:t>
      </w:r>
      <w:r w:rsidRPr="00A2288E">
        <w:rPr>
          <w:rtl/>
        </w:rPr>
        <w:t xml:space="preserve">צריכה להגיע למקדש לשם </w:t>
      </w:r>
      <w:r w:rsidR="00183921" w:rsidRPr="00A2288E">
        <w:rPr>
          <w:rFonts w:hint="cs"/>
          <w:rtl/>
        </w:rPr>
        <w:t>בירור</w:t>
      </w:r>
      <w:r w:rsidRPr="00A2288E">
        <w:rPr>
          <w:rtl/>
        </w:rPr>
        <w:t xml:space="preserve"> מעשיה. </w:t>
      </w:r>
    </w:p>
    <w:p w14:paraId="72D95CB1" w14:textId="77777777" w:rsidR="00D74148" w:rsidRDefault="00D74148" w:rsidP="000874E6">
      <w:pPr>
        <w:pStyle w:val="2"/>
        <w:rPr>
          <w:rFonts w:cstheme="minorBidi"/>
          <w:rtl/>
        </w:rPr>
      </w:pPr>
      <w:r>
        <w:rPr>
          <w:rtl/>
        </w:rPr>
        <w:t xml:space="preserve">בירור המביא לאיחוד </w:t>
      </w:r>
    </w:p>
    <w:p w14:paraId="17C5EE03" w14:textId="26D1C154" w:rsidR="00D74148" w:rsidRDefault="00D74148" w:rsidP="00D74148">
      <w:pPr>
        <w:rPr>
          <w:rtl/>
        </w:rPr>
      </w:pPr>
      <w:r>
        <w:rPr>
          <w:rtl/>
        </w:rPr>
        <w:t xml:space="preserve">ע"פ שתי השיטות של סידור סדר נשים המסכת המסיימת את הסדר היא מסכת קידושין. </w:t>
      </w:r>
      <w:r w:rsidR="00183921">
        <w:rPr>
          <w:rFonts w:hint="cs"/>
          <w:rtl/>
        </w:rPr>
        <w:t>דבר זה מ</w:t>
      </w:r>
      <w:r>
        <w:rPr>
          <w:rtl/>
        </w:rPr>
        <w:t xml:space="preserve">למדנו כי גם לאחר הפירוד </w:t>
      </w:r>
      <w:r w:rsidR="00183921">
        <w:rPr>
          <w:rFonts w:hint="cs"/>
          <w:rtl/>
        </w:rPr>
        <w:t xml:space="preserve">– </w:t>
      </w:r>
      <w:r>
        <w:rPr>
          <w:rtl/>
        </w:rPr>
        <w:t xml:space="preserve">בין אם סיבתו היא ערות דבר </w:t>
      </w:r>
      <w:r w:rsidR="00183921">
        <w:rPr>
          <w:rFonts w:hint="cs"/>
          <w:rtl/>
        </w:rPr>
        <w:t xml:space="preserve">וודאית המסתיימת בגירושין </w:t>
      </w:r>
      <w:r>
        <w:rPr>
          <w:rtl/>
        </w:rPr>
        <w:t xml:space="preserve">ובין אם סיבתו היא </w:t>
      </w:r>
      <w:r w:rsidR="00183921">
        <w:rPr>
          <w:rFonts w:hint="cs"/>
          <w:rtl/>
        </w:rPr>
        <w:t>חשד ל</w:t>
      </w:r>
      <w:r>
        <w:rPr>
          <w:rtl/>
        </w:rPr>
        <w:t>ערות דבר</w:t>
      </w:r>
      <w:r w:rsidR="00183921">
        <w:rPr>
          <w:rFonts w:hint="cs"/>
          <w:rtl/>
        </w:rPr>
        <w:t>, המתברר בטקס השקאת הסוטה –</w:t>
      </w:r>
      <w:r>
        <w:rPr>
          <w:rtl/>
        </w:rPr>
        <w:t xml:space="preserve"> יש גם איחוי לשבר, וגם קשר שבו נמצא 'ערות דבר' יכול להתחדש</w:t>
      </w:r>
      <w:r w:rsidR="00183921">
        <w:rPr>
          <w:rFonts w:hint="cs"/>
          <w:rtl/>
        </w:rPr>
        <w:t>.</w:t>
      </w:r>
      <w:r>
        <w:rPr>
          <w:rtl/>
        </w:rPr>
        <w:t xml:space="preserve"> היטיב לתאר זאת הנביא ירמיהו</w:t>
      </w:r>
      <w:r w:rsidR="00183921">
        <w:rPr>
          <w:rFonts w:hint="cs"/>
          <w:rtl/>
        </w:rPr>
        <w:t xml:space="preserve"> (ג, א)</w:t>
      </w:r>
      <w:r>
        <w:rPr>
          <w:rtl/>
        </w:rPr>
        <w:t>:</w:t>
      </w:r>
    </w:p>
    <w:p w14:paraId="1F48985F" w14:textId="315EF45A" w:rsidR="00D74148" w:rsidRDefault="00183921" w:rsidP="003326EC">
      <w:pPr>
        <w:pStyle w:val="14"/>
        <w:rPr>
          <w:rtl/>
        </w:rPr>
      </w:pPr>
      <w:r w:rsidRPr="00183921">
        <w:rPr>
          <w:rtl/>
        </w:rPr>
        <w:t>לֵאמֹר הֵן יְשַׁלַּח אִישׁ אֶת אִשְׁתּוֹ וְהָלְכָה מֵאִתּוֹ וְהָיְתָה לְאִישׁ אַחֵר הֲיָשׁוּב אֵלֶיהָ עוֹד הֲלוֹא חָנוֹף תֶּחֱנַף הָאָרֶץ הַהִיא וְאַתְּ זָנִית רֵעִים רַבִּים וְשׁוֹב אֵלַי נְאֻם ה'</w:t>
      </w:r>
      <w:r w:rsidR="00D74148">
        <w:rPr>
          <w:rtl/>
        </w:rPr>
        <w:t>:</w:t>
      </w:r>
    </w:p>
    <w:p w14:paraId="3F0A3F97" w14:textId="5D0BD05D" w:rsidR="00D74148" w:rsidRDefault="00D74148" w:rsidP="00D74148">
      <w:pPr>
        <w:rPr>
          <w:rtl/>
        </w:rPr>
      </w:pPr>
      <w:r>
        <w:rPr>
          <w:rtl/>
        </w:rPr>
        <w:t xml:space="preserve">האדם </w:t>
      </w:r>
      <w:r w:rsidR="00183921">
        <w:rPr>
          <w:rFonts w:hint="cs"/>
          <w:rtl/>
        </w:rPr>
        <w:t>ש</w:t>
      </w:r>
      <w:r>
        <w:rPr>
          <w:rtl/>
        </w:rPr>
        <w:t>אשתו נטמ</w:t>
      </w:r>
      <w:r w:rsidR="00183921">
        <w:rPr>
          <w:rFonts w:hint="cs"/>
          <w:rtl/>
        </w:rPr>
        <w:t>א</w:t>
      </w:r>
      <w:r>
        <w:rPr>
          <w:rtl/>
        </w:rPr>
        <w:t xml:space="preserve">ה והיתה לאיש אחר </w:t>
      </w:r>
      <w:r w:rsidR="00183921">
        <w:rPr>
          <w:rFonts w:hint="cs"/>
          <w:rtl/>
        </w:rPr>
        <w:t>אינו</w:t>
      </w:r>
      <w:r>
        <w:rPr>
          <w:rtl/>
        </w:rPr>
        <w:t xml:space="preserve"> יכול לשוב לקחתה, כפי שהורתה התורה בספר דברים. אולם לא כך הקב"ה </w:t>
      </w:r>
      <w:r w:rsidR="00183921">
        <w:rPr>
          <w:rFonts w:hint="cs"/>
          <w:rtl/>
        </w:rPr>
        <w:t xml:space="preserve">– </w:t>
      </w:r>
      <w:r>
        <w:rPr>
          <w:rtl/>
        </w:rPr>
        <w:t>למרות שכנסת ישראל זנתה והיתה לאיש אחר, הקב</w:t>
      </w:r>
      <w:r w:rsidR="00183921">
        <w:rPr>
          <w:rFonts w:hint="cs"/>
          <w:rtl/>
        </w:rPr>
        <w:t>"</w:t>
      </w:r>
      <w:r>
        <w:rPr>
          <w:rtl/>
        </w:rPr>
        <w:t>ה קורא ל</w:t>
      </w:r>
      <w:r w:rsidR="00183921">
        <w:rPr>
          <w:rFonts w:hint="cs"/>
          <w:rtl/>
        </w:rPr>
        <w:t>ה</w:t>
      </w:r>
      <w:r>
        <w:rPr>
          <w:rtl/>
        </w:rPr>
        <w:t>:</w:t>
      </w:r>
    </w:p>
    <w:p w14:paraId="07365DD9" w14:textId="4E7B95A4" w:rsidR="00D74148" w:rsidRDefault="00183921" w:rsidP="003326EC">
      <w:pPr>
        <w:pStyle w:val="14"/>
        <w:rPr>
          <w:rtl/>
        </w:rPr>
      </w:pPr>
      <w:r w:rsidRPr="00183921">
        <w:rPr>
          <w:rtl/>
        </w:rPr>
        <w:t>שׁוּבוּ בָנִים שׁוֹבָבִים נְאֻם ה' כִּי אָנֹכִי בָּעַלְתִּי בָכֶם וְלָקַחְתִּי אֶתְכֶם אֶחָד מֵעִיר וּשְׁנַיִם מִמִּשְׁפָּחָה וְהֵבֵאתִי אֶתְכֶם צִיּוֹן</w:t>
      </w:r>
      <w:r w:rsidR="00D74148">
        <w:rPr>
          <w:rtl/>
        </w:rPr>
        <w:t>:</w:t>
      </w:r>
    </w:p>
    <w:p w14:paraId="34A0936D" w14:textId="769433CA" w:rsidR="006D0E11" w:rsidRDefault="00D74148" w:rsidP="00D74148">
      <w:pPr>
        <w:rPr>
          <w:rtl/>
        </w:rPr>
      </w:pPr>
      <w:r>
        <w:rPr>
          <w:rtl/>
        </w:rPr>
        <w:t>כך גם בעניינים ש</w:t>
      </w:r>
      <w:bookmarkStart w:id="0" w:name="_GoBack"/>
      <w:bookmarkEnd w:id="0"/>
      <w:r>
        <w:rPr>
          <w:rtl/>
        </w:rPr>
        <w:t>בין איש לאשתו</w:t>
      </w:r>
      <w:r w:rsidR="00183921">
        <w:rPr>
          <w:rFonts w:hint="cs"/>
          <w:rtl/>
        </w:rPr>
        <w:t xml:space="preserve"> – </w:t>
      </w:r>
      <w:r>
        <w:rPr>
          <w:rtl/>
        </w:rPr>
        <w:t>רבי יהוד</w:t>
      </w:r>
      <w:r w:rsidR="00183921">
        <w:rPr>
          <w:rFonts w:hint="cs"/>
          <w:rtl/>
        </w:rPr>
        <w:t>ה</w:t>
      </w:r>
      <w:r>
        <w:rPr>
          <w:rtl/>
        </w:rPr>
        <w:t xml:space="preserve"> הנשיא </w:t>
      </w:r>
      <w:r w:rsidR="00183921">
        <w:rPr>
          <w:rFonts w:hint="cs"/>
          <w:rtl/>
        </w:rPr>
        <w:t xml:space="preserve">בחר </w:t>
      </w:r>
      <w:r>
        <w:rPr>
          <w:rtl/>
        </w:rPr>
        <w:t>לסיים את סדר נשים לא מתוך נקודת הפירוד והשבר, אלא מתוך האפשרות לבנייה מחודשת של הקשר והתקדשות</w:t>
      </w:r>
      <w:r w:rsidR="00183921">
        <w:rPr>
          <w:rFonts w:hint="cs"/>
          <w:rtl/>
        </w:rPr>
        <w:t>ו</w:t>
      </w:r>
      <w:r>
        <w:rPr>
          <w:rtl/>
        </w:rPr>
        <w:t xml:space="preserve"> מחדש.</w:t>
      </w: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3D148A" w14:paraId="382E157E" w14:textId="77777777" w:rsidTr="004869C7">
        <w:trPr>
          <w:cantSplit/>
        </w:trPr>
        <w:tc>
          <w:tcPr>
            <w:tcW w:w="283" w:type="dxa"/>
            <w:tcBorders>
              <w:top w:val="nil"/>
              <w:left w:val="nil"/>
              <w:bottom w:val="nil"/>
              <w:right w:val="nil"/>
            </w:tcBorders>
          </w:tcPr>
          <w:p w14:paraId="4012C277" w14:textId="77777777" w:rsidR="003D148A" w:rsidRDefault="003D148A" w:rsidP="004869C7">
            <w:pPr>
              <w:pStyle w:val="aa"/>
              <w:contextualSpacing/>
            </w:pPr>
            <w:r>
              <w:rPr>
                <w:rtl/>
              </w:rPr>
              <w:lastRenderedPageBreak/>
              <w:t xml:space="preserve">* * * * * * * </w:t>
            </w:r>
          </w:p>
        </w:tc>
        <w:tc>
          <w:tcPr>
            <w:tcW w:w="4111" w:type="dxa"/>
            <w:tcBorders>
              <w:top w:val="nil"/>
              <w:left w:val="nil"/>
              <w:bottom w:val="nil"/>
              <w:right w:val="nil"/>
            </w:tcBorders>
          </w:tcPr>
          <w:p w14:paraId="2ABB2540" w14:textId="77777777" w:rsidR="003D148A" w:rsidRDefault="003D148A" w:rsidP="004869C7">
            <w:pPr>
              <w:pStyle w:val="aa"/>
              <w:contextualSpacing/>
              <w:rPr>
                <w:rtl/>
              </w:rPr>
            </w:pPr>
            <w:r>
              <w:rPr>
                <w:rtl/>
              </w:rPr>
              <w:t>כל הזכויות שמורות לישיבת הר עציון</w:t>
            </w:r>
            <w:r>
              <w:rPr>
                <w:rFonts w:hint="cs"/>
                <w:rtl/>
              </w:rPr>
              <w:t xml:space="preserve"> ולאביעד ברטוב </w:t>
            </w:r>
          </w:p>
          <w:p w14:paraId="6890CFCE" w14:textId="77777777" w:rsidR="003D148A" w:rsidRDefault="003D148A" w:rsidP="004869C7">
            <w:pPr>
              <w:pStyle w:val="aa"/>
              <w:contextualSpacing/>
              <w:rPr>
                <w:rtl/>
              </w:rPr>
            </w:pPr>
            <w:r>
              <w:rPr>
                <w:rtl/>
              </w:rPr>
              <w:t xml:space="preserve">עורך: </w:t>
            </w:r>
            <w:r>
              <w:rPr>
                <w:rFonts w:hint="cs"/>
                <w:rtl/>
              </w:rPr>
              <w:t>יהודה רוזנברג, תש"ף</w:t>
            </w:r>
          </w:p>
          <w:p w14:paraId="1680FD96" w14:textId="77777777" w:rsidR="003D148A" w:rsidRDefault="003D148A" w:rsidP="004869C7">
            <w:pPr>
              <w:pStyle w:val="aa"/>
              <w:contextualSpacing/>
              <w:rPr>
                <w:rtl/>
              </w:rPr>
            </w:pPr>
            <w:r>
              <w:rPr>
                <w:rtl/>
              </w:rPr>
              <w:t>*******************************************************</w:t>
            </w:r>
          </w:p>
          <w:p w14:paraId="6D8D1E9C" w14:textId="77777777" w:rsidR="003D148A" w:rsidRDefault="003D148A" w:rsidP="004869C7">
            <w:pPr>
              <w:pStyle w:val="aa"/>
              <w:contextualSpacing/>
              <w:rPr>
                <w:rtl/>
              </w:rPr>
            </w:pPr>
            <w:r>
              <w:rPr>
                <w:rtl/>
              </w:rPr>
              <w:t xml:space="preserve">בית המדרש הוירטואלי </w:t>
            </w:r>
          </w:p>
          <w:p w14:paraId="59DC2C93" w14:textId="77777777" w:rsidR="003D148A" w:rsidRPr="005734F1" w:rsidRDefault="003D148A" w:rsidP="004869C7">
            <w:pPr>
              <w:pStyle w:val="aa"/>
              <w:contextualSpacing/>
              <w:rPr>
                <w:rtl/>
              </w:rPr>
            </w:pPr>
            <w:r w:rsidRPr="005734F1">
              <w:rPr>
                <w:rtl/>
              </w:rPr>
              <w:t xml:space="preserve">מיסודו של </w:t>
            </w:r>
          </w:p>
          <w:p w14:paraId="6EA6DE70" w14:textId="77777777" w:rsidR="003D148A" w:rsidRPr="005734F1" w:rsidRDefault="003D148A" w:rsidP="004869C7">
            <w:pPr>
              <w:pStyle w:val="aa"/>
              <w:contextualSpacing/>
              <w:rPr>
                <w:rtl/>
              </w:rPr>
            </w:pPr>
            <w:r w:rsidRPr="005734F1">
              <w:t>The Israel Koschitzky Virtual Beit Midrash</w:t>
            </w:r>
          </w:p>
          <w:p w14:paraId="12B06321" w14:textId="77777777" w:rsidR="003D148A" w:rsidRPr="00B75FB0" w:rsidRDefault="003D148A" w:rsidP="004869C7">
            <w:pPr>
              <w:pStyle w:val="aa"/>
              <w:contextualSpacing/>
              <w:rPr>
                <w:noProof w:val="0"/>
                <w:rtl/>
              </w:rPr>
            </w:pPr>
            <w:r>
              <w:rPr>
                <w:noProof w:val="0"/>
                <w:rtl/>
              </w:rPr>
              <w:t>האתר בעברית:</w:t>
            </w:r>
            <w:r>
              <w:rPr>
                <w:noProof w:val="0"/>
                <w:rtl/>
              </w:rPr>
              <w:tab/>
            </w:r>
            <w:hyperlink r:id="rId8" w:history="1">
              <w:r w:rsidRPr="00747AF6">
                <w:rPr>
                  <w:rStyle w:val="Hyperlink"/>
                </w:rPr>
                <w:t>http://etzion.org.il</w:t>
              </w:r>
            </w:hyperlink>
          </w:p>
          <w:p w14:paraId="13D7A6F5" w14:textId="77777777" w:rsidR="003D148A" w:rsidRDefault="003D148A" w:rsidP="004869C7">
            <w:pPr>
              <w:pStyle w:val="aa"/>
              <w:contextualSpacing/>
              <w:rPr>
                <w:noProof w:val="0"/>
                <w:rtl/>
              </w:rPr>
            </w:pPr>
            <w:r>
              <w:rPr>
                <w:noProof w:val="0"/>
                <w:rtl/>
              </w:rPr>
              <w:t>האתר באנגלית:</w:t>
            </w:r>
            <w:r>
              <w:rPr>
                <w:noProof w:val="0"/>
                <w:rtl/>
              </w:rPr>
              <w:tab/>
            </w:r>
            <w:hyperlink r:id="rId9" w:history="1">
              <w:r>
                <w:rPr>
                  <w:rStyle w:val="Hyperlink"/>
                </w:rPr>
                <w:t>http://www.vbm-torah.org</w:t>
              </w:r>
            </w:hyperlink>
          </w:p>
          <w:p w14:paraId="532CC0CC" w14:textId="77777777" w:rsidR="003D148A" w:rsidRDefault="003D148A" w:rsidP="004869C7">
            <w:pPr>
              <w:pStyle w:val="aa"/>
              <w:contextualSpacing/>
              <w:rPr>
                <w:rtl/>
              </w:rPr>
            </w:pPr>
          </w:p>
          <w:p w14:paraId="76ED29FF" w14:textId="77777777" w:rsidR="003D148A" w:rsidRDefault="003D148A" w:rsidP="004869C7">
            <w:pPr>
              <w:pStyle w:val="aa"/>
              <w:contextualSpacing/>
              <w:rPr>
                <w:rtl/>
              </w:rPr>
            </w:pPr>
            <w:r>
              <w:rPr>
                <w:rtl/>
              </w:rPr>
              <w:t xml:space="preserve">משרדי בית המדרש הוירטואלי: 02-9937300 שלוחה 5 </w:t>
            </w:r>
          </w:p>
          <w:p w14:paraId="03711E51" w14:textId="77777777" w:rsidR="003D148A" w:rsidRDefault="003D148A" w:rsidP="004869C7">
            <w:pPr>
              <w:pStyle w:val="aa"/>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5A4B483" w14:textId="77777777" w:rsidR="003D148A" w:rsidRDefault="003D148A" w:rsidP="004869C7">
            <w:pPr>
              <w:pStyle w:val="aa"/>
              <w:contextualSpacing/>
            </w:pPr>
          </w:p>
        </w:tc>
        <w:tc>
          <w:tcPr>
            <w:tcW w:w="284" w:type="dxa"/>
            <w:tcBorders>
              <w:top w:val="nil"/>
              <w:left w:val="nil"/>
              <w:bottom w:val="nil"/>
              <w:right w:val="nil"/>
            </w:tcBorders>
          </w:tcPr>
          <w:p w14:paraId="3AADCA13" w14:textId="77777777" w:rsidR="003D148A" w:rsidRDefault="003D148A" w:rsidP="004869C7">
            <w:pPr>
              <w:pStyle w:val="aa"/>
              <w:contextualSpacing/>
              <w:rPr>
                <w:rtl/>
              </w:rPr>
            </w:pPr>
            <w:r>
              <w:rPr>
                <w:rtl/>
              </w:rPr>
              <w:t xml:space="preserve">* * * * * * * </w:t>
            </w:r>
          </w:p>
        </w:tc>
      </w:tr>
    </w:tbl>
    <w:p w14:paraId="2E93C4B8" w14:textId="77777777" w:rsidR="003D148A" w:rsidRPr="0061306A" w:rsidRDefault="003D148A" w:rsidP="003D148A">
      <w:pPr>
        <w:rPr>
          <w:rtl/>
        </w:rPr>
      </w:pPr>
    </w:p>
    <w:sectPr w:rsidR="003D148A" w:rsidRPr="0061306A"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FBD07" w14:textId="77777777" w:rsidR="007E38BB" w:rsidRDefault="007E38BB" w:rsidP="00405665">
      <w:r>
        <w:separator/>
      </w:r>
    </w:p>
  </w:endnote>
  <w:endnote w:type="continuationSeparator" w:id="0">
    <w:p w14:paraId="0CEA0CA6" w14:textId="77777777" w:rsidR="007E38BB" w:rsidRDefault="007E38B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46C6" w14:textId="77777777" w:rsidR="007E38BB" w:rsidRDefault="007E38BB" w:rsidP="00405665">
      <w:r>
        <w:separator/>
      </w:r>
    </w:p>
  </w:footnote>
  <w:footnote w:type="continuationSeparator" w:id="0">
    <w:p w14:paraId="609BF745" w14:textId="77777777" w:rsidR="007E38BB" w:rsidRDefault="007E38BB" w:rsidP="00405665">
      <w:r>
        <w:continuationSeparator/>
      </w:r>
    </w:p>
  </w:footnote>
  <w:footnote w:id="1">
    <w:p w14:paraId="6947F09B" w14:textId="0B880BFB" w:rsidR="00D74148" w:rsidRPr="00F0185E" w:rsidRDefault="00D74148" w:rsidP="00F0185E">
      <w:pPr>
        <w:pStyle w:val="a3"/>
        <w:rPr>
          <w:rtl/>
        </w:rPr>
      </w:pPr>
      <w:r w:rsidRPr="00F0185E">
        <w:rPr>
          <w:rStyle w:val="a5"/>
          <w:rFonts w:eastAsia="Narkisim"/>
        </w:rPr>
        <w:footnoteRef/>
      </w:r>
      <w:r w:rsidRPr="00F0185E">
        <w:rPr>
          <w:rtl/>
        </w:rPr>
        <w:t xml:space="preserve"> </w:t>
      </w:r>
      <w:r w:rsidR="006A07D3" w:rsidRPr="00F0185E">
        <w:rPr>
          <w:rtl/>
        </w:rPr>
        <w:tab/>
      </w:r>
      <w:r w:rsidRPr="00F0185E">
        <w:rPr>
          <w:rFonts w:hint="cs"/>
          <w:rtl/>
        </w:rPr>
        <w:t xml:space="preserve">לפשר סידור המסכתות בכל אחד מששת סדרי משנה קיימות גישות שונות. הגישה המקובלת על החוקרים </w:t>
      </w:r>
      <w:r w:rsidR="00714DEA" w:rsidRPr="00F0185E">
        <w:rPr>
          <w:rFonts w:hint="cs"/>
          <w:rtl/>
        </w:rPr>
        <w:t>(</w:t>
      </w:r>
      <w:r w:rsidRPr="00F0185E">
        <w:rPr>
          <w:rFonts w:hint="cs"/>
          <w:rtl/>
        </w:rPr>
        <w:t xml:space="preserve">ראה </w:t>
      </w:r>
      <w:r w:rsidRPr="00F0185E">
        <w:rPr>
          <w:rtl/>
        </w:rPr>
        <w:t>רי"נ אפשטיין, מבוא לנוסח המשנה, ח"ב, עמ' 982</w:t>
      </w:r>
      <w:r w:rsidR="00714DEA" w:rsidRPr="00F0185E">
        <w:rPr>
          <w:rFonts w:hint="cs"/>
          <w:rtl/>
        </w:rPr>
        <w:t>) היא</w:t>
      </w:r>
      <w:r w:rsidRPr="00F0185E">
        <w:rPr>
          <w:rtl/>
        </w:rPr>
        <w:t xml:space="preserve"> שאחד מן השיקולים של סידור המסכתות הוא שיקול צורני</w:t>
      </w:r>
      <w:r w:rsidR="00714DEA" w:rsidRPr="00F0185E">
        <w:rPr>
          <w:rFonts w:hint="cs"/>
          <w:rtl/>
        </w:rPr>
        <w:t>,</w:t>
      </w:r>
      <w:r w:rsidRPr="00F0185E">
        <w:rPr>
          <w:rtl/>
        </w:rPr>
        <w:t xml:space="preserve"> והאופן שבו בו ס</w:t>
      </w:r>
      <w:r w:rsidR="00714DEA" w:rsidRPr="00F0185E">
        <w:rPr>
          <w:rFonts w:hint="cs"/>
          <w:rtl/>
        </w:rPr>
        <w:t>ו</w:t>
      </w:r>
      <w:r w:rsidRPr="00F0185E">
        <w:rPr>
          <w:rtl/>
        </w:rPr>
        <w:t>דרו המסכתות הוא מן המסכת שנת</w:t>
      </w:r>
      <w:r w:rsidR="00714DEA" w:rsidRPr="00F0185E">
        <w:rPr>
          <w:rFonts w:hint="cs"/>
          <w:rtl/>
        </w:rPr>
        <w:t>ר</w:t>
      </w:r>
      <w:r w:rsidRPr="00F0185E">
        <w:rPr>
          <w:rtl/>
        </w:rPr>
        <w:t>בו פרקיה למסכת ש</w:t>
      </w:r>
      <w:r w:rsidR="00714DEA" w:rsidRPr="00F0185E">
        <w:rPr>
          <w:rFonts w:hint="cs"/>
          <w:rtl/>
        </w:rPr>
        <w:t>נ</w:t>
      </w:r>
      <w:r w:rsidRPr="00F0185E">
        <w:rPr>
          <w:rtl/>
        </w:rPr>
        <w:t xml:space="preserve">תמעטו פרקיה </w:t>
      </w:r>
      <w:r w:rsidR="006A07D3" w:rsidRPr="00F0185E">
        <w:rPr>
          <w:rFonts w:hint="cs"/>
          <w:rtl/>
        </w:rPr>
        <w:t>(</w:t>
      </w:r>
      <w:hyperlink r:id="rId1" w:anchor="cite_note-3" w:history="1">
        <w:r w:rsidRPr="00F0185E">
          <w:rPr>
            <w:rStyle w:val="Hyperlink"/>
            <w:color w:val="auto"/>
            <w:u w:val="none"/>
            <w:rtl/>
          </w:rPr>
          <w:t>וראה כאן</w:t>
        </w:r>
      </w:hyperlink>
      <w:r w:rsidR="006A07D3" w:rsidRPr="00F0185E">
        <w:rPr>
          <w:rFonts w:hint="cs"/>
          <w:rtl/>
        </w:rPr>
        <w:t>)</w:t>
      </w:r>
      <w:r w:rsidRPr="00F0185E">
        <w:rPr>
          <w:rFonts w:hint="cs"/>
          <w:rtl/>
        </w:rPr>
        <w:t>, לדוגמה בסדר נשים: יבמות (13)</w:t>
      </w:r>
      <w:r w:rsidR="006A07D3" w:rsidRPr="00F0185E">
        <w:rPr>
          <w:rFonts w:hint="cs"/>
          <w:rtl/>
        </w:rPr>
        <w:t>,</w:t>
      </w:r>
      <w:r w:rsidRPr="00F0185E">
        <w:rPr>
          <w:rFonts w:hint="cs"/>
          <w:rtl/>
        </w:rPr>
        <w:t xml:space="preserve"> כת</w:t>
      </w:r>
      <w:r w:rsidR="006A07D3" w:rsidRPr="00F0185E">
        <w:rPr>
          <w:rFonts w:hint="cs"/>
          <w:rtl/>
        </w:rPr>
        <w:t>ו</w:t>
      </w:r>
      <w:r w:rsidRPr="00F0185E">
        <w:rPr>
          <w:rFonts w:hint="cs"/>
          <w:rtl/>
        </w:rPr>
        <w:t>בות (12)</w:t>
      </w:r>
      <w:r w:rsidR="006A07D3" w:rsidRPr="00F0185E">
        <w:rPr>
          <w:rFonts w:hint="cs"/>
          <w:rtl/>
        </w:rPr>
        <w:t>,</w:t>
      </w:r>
      <w:r w:rsidRPr="00F0185E">
        <w:rPr>
          <w:rFonts w:hint="cs"/>
          <w:rtl/>
        </w:rPr>
        <w:t xml:space="preserve"> נדרים (10)</w:t>
      </w:r>
      <w:r w:rsidR="006A07D3" w:rsidRPr="00F0185E">
        <w:rPr>
          <w:rFonts w:hint="cs"/>
          <w:rtl/>
        </w:rPr>
        <w:t>,</w:t>
      </w:r>
      <w:r w:rsidRPr="00F0185E">
        <w:rPr>
          <w:rFonts w:hint="cs"/>
          <w:rtl/>
        </w:rPr>
        <w:t xml:space="preserve"> נזיר-סוטה-גיטין- קידושין (9)</w:t>
      </w:r>
      <w:r w:rsidR="006A07D3" w:rsidRPr="00F0185E">
        <w:rPr>
          <w:rFonts w:hint="cs"/>
          <w:rtl/>
        </w:rPr>
        <w:t>.</w:t>
      </w:r>
      <w:r w:rsidRPr="00F0185E">
        <w:rPr>
          <w:rFonts w:hint="cs"/>
          <w:rtl/>
        </w:rPr>
        <w:t xml:space="preserve"> חריג לכך הוא סדר זרעים </w:t>
      </w:r>
      <w:r w:rsidR="006A07D3" w:rsidRPr="00F0185E">
        <w:rPr>
          <w:rFonts w:hint="cs"/>
          <w:rtl/>
        </w:rPr>
        <w:t>(</w:t>
      </w:r>
      <w:r w:rsidRPr="00F0185E">
        <w:rPr>
          <w:rFonts w:hint="cs"/>
          <w:rtl/>
        </w:rPr>
        <w:t>וראה אצל אפשטיין שם</w:t>
      </w:r>
      <w:r w:rsidR="006A07D3" w:rsidRPr="00F0185E">
        <w:rPr>
          <w:rFonts w:hint="cs"/>
          <w:rtl/>
        </w:rPr>
        <w:t>)</w:t>
      </w:r>
      <w:r w:rsidRPr="00F0185E">
        <w:rPr>
          <w:rFonts w:hint="cs"/>
          <w:rtl/>
        </w:rPr>
        <w:t>. שיטות אחרות עוסק</w:t>
      </w:r>
      <w:r w:rsidR="006A07D3" w:rsidRPr="00F0185E">
        <w:rPr>
          <w:rFonts w:hint="cs"/>
          <w:rtl/>
        </w:rPr>
        <w:t>ו</w:t>
      </w:r>
      <w:r w:rsidRPr="00F0185E">
        <w:rPr>
          <w:rFonts w:hint="cs"/>
          <w:rtl/>
        </w:rPr>
        <w:t>ת בסידור ענייני</w:t>
      </w:r>
      <w:r w:rsidR="006A07D3" w:rsidRPr="00F0185E">
        <w:rPr>
          <w:rFonts w:hint="cs"/>
          <w:rtl/>
        </w:rPr>
        <w:t>,</w:t>
      </w:r>
      <w:r w:rsidRPr="00F0185E">
        <w:rPr>
          <w:rFonts w:hint="cs"/>
          <w:rtl/>
        </w:rPr>
        <w:t xml:space="preserve"> לאמור </w:t>
      </w:r>
      <w:r w:rsidR="006A07D3" w:rsidRPr="00F0185E">
        <w:rPr>
          <w:rFonts w:hint="cs"/>
          <w:rtl/>
        </w:rPr>
        <w:t xml:space="preserve">– </w:t>
      </w:r>
      <w:r w:rsidRPr="00F0185E">
        <w:rPr>
          <w:rFonts w:hint="cs"/>
          <w:rtl/>
        </w:rPr>
        <w:t xml:space="preserve">הן מזהות קשר בין חוליה </w:t>
      </w:r>
      <w:r w:rsidR="006A07D3" w:rsidRPr="00F0185E">
        <w:rPr>
          <w:rFonts w:hint="cs"/>
          <w:rtl/>
        </w:rPr>
        <w:t xml:space="preserve">לחוליה </w:t>
      </w:r>
      <w:r w:rsidRPr="00F0185E">
        <w:rPr>
          <w:rFonts w:hint="cs"/>
          <w:rtl/>
        </w:rPr>
        <w:t>באופנים שונים</w:t>
      </w:r>
      <w:r w:rsidR="006A07D3" w:rsidRPr="00F0185E">
        <w:rPr>
          <w:rFonts w:hint="cs"/>
          <w:rtl/>
        </w:rPr>
        <w:t>,</w:t>
      </w:r>
      <w:r w:rsidRPr="00F0185E">
        <w:rPr>
          <w:rFonts w:hint="cs"/>
          <w:rtl/>
        </w:rPr>
        <w:t xml:space="preserve"> כפי שנראה לקמן בדברי הגמרא והרמב"ם</w:t>
      </w:r>
      <w:r w:rsidR="006A07D3" w:rsidRPr="00F0185E">
        <w:rPr>
          <w:rFonts w:hint="cs"/>
          <w:rtl/>
        </w:rPr>
        <w:t>,</w:t>
      </w:r>
      <w:r w:rsidRPr="00F0185E">
        <w:rPr>
          <w:rFonts w:hint="cs"/>
          <w:rtl/>
        </w:rPr>
        <w:t xml:space="preserve"> </w:t>
      </w:r>
      <w:r w:rsidR="006A07D3" w:rsidRPr="00F0185E">
        <w:rPr>
          <w:rFonts w:hint="cs"/>
          <w:rtl/>
        </w:rPr>
        <w:t xml:space="preserve">וכן כתבו </w:t>
      </w:r>
      <w:r w:rsidRPr="00F0185E">
        <w:rPr>
          <w:rFonts w:hint="cs"/>
          <w:rtl/>
        </w:rPr>
        <w:t>המאירי ועוד פרשנים. חכמי הסוד ראו במבנה המשנה ביטוי לרזי תורה, לדוגמה ראה פירוש מלאכת שלמה בפתיחה למסכת שבת</w:t>
      </w:r>
      <w:r w:rsidR="006A07D3" w:rsidRPr="00F0185E">
        <w:rPr>
          <w:rFonts w:hint="cs"/>
          <w:rtl/>
        </w:rPr>
        <w:t>,</w:t>
      </w:r>
      <w:r w:rsidRPr="00F0185E">
        <w:rPr>
          <w:rFonts w:hint="cs"/>
          <w:rtl/>
        </w:rPr>
        <w:t xml:space="preserve"> ה</w:t>
      </w:r>
      <w:r w:rsidR="006A07D3" w:rsidRPr="00F0185E">
        <w:rPr>
          <w:rFonts w:hint="cs"/>
          <w:rtl/>
        </w:rPr>
        <w:t>כותב</w:t>
      </w:r>
      <w:r w:rsidRPr="00F0185E">
        <w:rPr>
          <w:rFonts w:hint="cs"/>
          <w:rtl/>
        </w:rPr>
        <w:t xml:space="preserve"> </w:t>
      </w:r>
      <w:r w:rsidR="006A07D3" w:rsidRPr="00F0185E">
        <w:rPr>
          <w:rFonts w:hint="cs"/>
          <w:rtl/>
        </w:rPr>
        <w:t>ב</w:t>
      </w:r>
      <w:r w:rsidRPr="00F0185E">
        <w:rPr>
          <w:rFonts w:hint="cs"/>
          <w:rtl/>
        </w:rPr>
        <w:t>שם רבו</w:t>
      </w:r>
      <w:r w:rsidR="006A07D3" w:rsidRPr="00F0185E">
        <w:rPr>
          <w:rFonts w:hint="cs"/>
          <w:rtl/>
        </w:rPr>
        <w:t>,</w:t>
      </w:r>
      <w:r w:rsidRPr="00F0185E">
        <w:rPr>
          <w:rFonts w:hint="cs"/>
          <w:rtl/>
        </w:rPr>
        <w:t xml:space="preserve"> רבי יוסף אשכנזי </w:t>
      </w:r>
      <w:r w:rsidR="006A07D3" w:rsidRPr="00F0185E">
        <w:rPr>
          <w:rFonts w:hint="cs"/>
          <w:rtl/>
        </w:rPr>
        <w:t>(</w:t>
      </w:r>
      <w:r w:rsidRPr="00F0185E">
        <w:rPr>
          <w:rFonts w:hint="cs"/>
          <w:rtl/>
        </w:rPr>
        <w:t>ממקובלי צפת</w:t>
      </w:r>
      <w:r w:rsidR="006A07D3" w:rsidRPr="00F0185E">
        <w:rPr>
          <w:rFonts w:hint="cs"/>
          <w:rtl/>
        </w:rPr>
        <w:t>),</w:t>
      </w:r>
      <w:r w:rsidRPr="00F0185E">
        <w:rPr>
          <w:rFonts w:hint="cs"/>
          <w:rtl/>
        </w:rPr>
        <w:t xml:space="preserve"> כי כ</w:t>
      </w:r>
      <w:r w:rsidR="006A07D3" w:rsidRPr="00F0185E">
        <w:rPr>
          <w:rFonts w:hint="cs"/>
          <w:rtl/>
        </w:rPr>
        <w:t>"</w:t>
      </w:r>
      <w:r w:rsidRPr="00F0185E">
        <w:rPr>
          <w:rFonts w:hint="cs"/>
          <w:rtl/>
        </w:rPr>
        <w:t xml:space="preserve">ד הפרקים במסכת שבת הם כנגד </w:t>
      </w:r>
      <w:r w:rsidR="006A07D3" w:rsidRPr="00F0185E">
        <w:rPr>
          <w:rFonts w:hint="cs"/>
          <w:rtl/>
        </w:rPr>
        <w:t>עשרים וארבעה</w:t>
      </w:r>
      <w:r w:rsidRPr="00F0185E">
        <w:rPr>
          <w:rFonts w:hint="cs"/>
          <w:rtl/>
        </w:rPr>
        <w:t xml:space="preserve"> ק</w:t>
      </w:r>
      <w:r w:rsidR="006A07D3" w:rsidRPr="00F0185E">
        <w:rPr>
          <w:rFonts w:hint="cs"/>
          <w:rtl/>
        </w:rPr>
        <w:t>י</w:t>
      </w:r>
      <w:r w:rsidRPr="00F0185E">
        <w:rPr>
          <w:rFonts w:hint="cs"/>
          <w:rtl/>
        </w:rPr>
        <w:t>שוטי כלה. תפיסה זו הביא</w:t>
      </w:r>
      <w:r w:rsidR="006A07D3" w:rsidRPr="00F0185E">
        <w:rPr>
          <w:rFonts w:hint="cs"/>
          <w:rtl/>
        </w:rPr>
        <w:t>ה</w:t>
      </w:r>
      <w:r w:rsidRPr="00F0185E">
        <w:rPr>
          <w:rFonts w:hint="cs"/>
          <w:rtl/>
        </w:rPr>
        <w:t xml:space="preserve"> את מקובלי צפת להנהיג את שינון משניות מסכת שבת בסמוך לסעודה</w:t>
      </w:r>
      <w:r w:rsidR="006A07D3" w:rsidRPr="00F0185E">
        <w:rPr>
          <w:rFonts w:hint="cs"/>
          <w:rtl/>
        </w:rPr>
        <w:t>,</w:t>
      </w:r>
      <w:r w:rsidRPr="00F0185E">
        <w:rPr>
          <w:rFonts w:hint="cs"/>
          <w:rtl/>
        </w:rPr>
        <w:t xml:space="preserve"> וראה אצל אהרון ארנד</w:t>
      </w:r>
      <w:r w:rsidR="006A07D3" w:rsidRPr="00F0185E">
        <w:rPr>
          <w:rFonts w:hint="cs"/>
          <w:rtl/>
        </w:rPr>
        <w:t>,</w:t>
      </w:r>
      <w:r w:rsidRPr="00F0185E">
        <w:rPr>
          <w:rFonts w:hint="cs"/>
          <w:rtl/>
        </w:rPr>
        <w:t xml:space="preserve"> </w:t>
      </w:r>
      <w:r w:rsidR="006A07D3" w:rsidRPr="00F0185E">
        <w:rPr>
          <w:rFonts w:hint="cs"/>
          <w:rtl/>
        </w:rPr>
        <w:t>"</w:t>
      </w:r>
      <w:r w:rsidRPr="00F0185E">
        <w:rPr>
          <w:rFonts w:hint="cs"/>
          <w:rtl/>
        </w:rPr>
        <w:t>לימוד משנה וחברות משנה בעת החדשה</w:t>
      </w:r>
      <w:r w:rsidR="006A07D3" w:rsidRPr="00F0185E">
        <w:rPr>
          <w:rFonts w:hint="cs"/>
          <w:rtl/>
        </w:rPr>
        <w:t>"</w:t>
      </w:r>
      <w:r w:rsidRPr="00F0185E">
        <w:rPr>
          <w:rFonts w:hint="cs"/>
          <w:rtl/>
        </w:rPr>
        <w:t xml:space="preserve"> </w:t>
      </w:r>
      <w:r w:rsidR="006A07D3" w:rsidRPr="00F0185E">
        <w:rPr>
          <w:rFonts w:hint="cs"/>
          <w:rtl/>
        </w:rPr>
        <w:t>(</w:t>
      </w:r>
      <w:hyperlink r:id="rId2" w:history="1">
        <w:r w:rsidRPr="00F0185E">
          <w:rPr>
            <w:rStyle w:val="Hyperlink"/>
            <w:color w:val="auto"/>
            <w:u w:val="none"/>
            <w:rtl/>
          </w:rPr>
          <w:t>כאן</w:t>
        </w:r>
      </w:hyperlink>
      <w:r w:rsidR="006A07D3" w:rsidRPr="00F0185E">
        <w:rPr>
          <w:rFonts w:hint="cs"/>
          <w:rtl/>
        </w:rPr>
        <w:t>).</w:t>
      </w:r>
    </w:p>
  </w:footnote>
  <w:footnote w:id="2">
    <w:p w14:paraId="07E64EF1" w14:textId="5EA089D2" w:rsidR="00D74148" w:rsidRPr="00F0185E" w:rsidRDefault="00D74148" w:rsidP="00F0185E">
      <w:pPr>
        <w:pStyle w:val="a3"/>
      </w:pPr>
      <w:r w:rsidRPr="00F0185E">
        <w:rPr>
          <w:rStyle w:val="a5"/>
          <w:rFonts w:eastAsia="Narkisim"/>
        </w:rPr>
        <w:footnoteRef/>
      </w:r>
      <w:r w:rsidRPr="00F0185E">
        <w:rPr>
          <w:rtl/>
        </w:rPr>
        <w:t xml:space="preserve"> </w:t>
      </w:r>
      <w:r w:rsidR="006A07D3" w:rsidRPr="00F0185E">
        <w:rPr>
          <w:rtl/>
        </w:rPr>
        <w:tab/>
      </w:r>
      <w:r w:rsidRPr="00F0185E">
        <w:rPr>
          <w:rFonts w:hint="cs"/>
          <w:rtl/>
        </w:rPr>
        <w:t>זהו הסדר המקובל בדפוסים ובחלק מכת"י</w:t>
      </w:r>
      <w:r w:rsidR="004F006D" w:rsidRPr="00F0185E">
        <w:rPr>
          <w:rFonts w:hint="cs"/>
          <w:rtl/>
        </w:rPr>
        <w:t>,</w:t>
      </w:r>
      <w:r w:rsidRPr="00F0185E">
        <w:rPr>
          <w:rFonts w:hint="cs"/>
          <w:rtl/>
        </w:rPr>
        <w:t xml:space="preserve"> לדוגמה ראה כת"י </w:t>
      </w:r>
      <w:r w:rsidRPr="00F0185E">
        <w:rPr>
          <w:rtl/>
        </w:rPr>
        <w:t xml:space="preserve">פרמה </w:t>
      </w:r>
      <w:r w:rsidRPr="00F0185E">
        <w:rPr>
          <w:rFonts w:hint="cs"/>
          <w:rtl/>
        </w:rPr>
        <w:t xml:space="preserve">וקטעי הגניזה </w:t>
      </w:r>
      <w:hyperlink r:id="rId3" w:history="1">
        <w:r w:rsidRPr="00F0185E">
          <w:rPr>
            <w:rStyle w:val="Hyperlink"/>
            <w:color w:val="auto"/>
            <w:u w:val="none"/>
          </w:rPr>
          <w:t>T-S E1-95</w:t>
        </w:r>
      </w:hyperlink>
      <w:r w:rsidR="002C220C" w:rsidRPr="00F0185E">
        <w:rPr>
          <w:rFonts w:hint="cs"/>
          <w:rtl/>
        </w:rPr>
        <w:t xml:space="preserve"> ב</w:t>
      </w:r>
      <w:r w:rsidR="00E2494D" w:rsidRPr="00F0185E">
        <w:rPr>
          <w:rFonts w:hint="cs"/>
          <w:rtl/>
        </w:rPr>
        <w:t xml:space="preserve">ספריית </w:t>
      </w:r>
      <w:r w:rsidR="002C220C" w:rsidRPr="00F0185E">
        <w:rPr>
          <w:rFonts w:hint="cs"/>
          <w:rtl/>
        </w:rPr>
        <w:t>אוניברסיטת קיימברידג'.</w:t>
      </w:r>
      <w:r w:rsidRPr="00F0185E">
        <w:rPr>
          <w:rFonts w:hint="cs"/>
          <w:rtl/>
        </w:rPr>
        <w:t xml:space="preserve"> לרמב"ם היה סדר שונה</w:t>
      </w:r>
      <w:r w:rsidR="004F006D" w:rsidRPr="00F0185E">
        <w:rPr>
          <w:rFonts w:hint="cs"/>
          <w:rtl/>
        </w:rPr>
        <w:t>,</w:t>
      </w:r>
      <w:r w:rsidRPr="00F0185E">
        <w:rPr>
          <w:rFonts w:hint="cs"/>
          <w:rtl/>
        </w:rPr>
        <w:t xml:space="preserve"> </w:t>
      </w:r>
      <w:r w:rsidR="004F006D" w:rsidRPr="00F0185E">
        <w:rPr>
          <w:rFonts w:hint="cs"/>
          <w:rtl/>
        </w:rPr>
        <w:t>ו</w:t>
      </w:r>
      <w:r w:rsidRPr="00F0185E">
        <w:rPr>
          <w:rFonts w:hint="cs"/>
          <w:rtl/>
        </w:rPr>
        <w:t>בביאור שיטת</w:t>
      </w:r>
      <w:r w:rsidR="004F006D" w:rsidRPr="00F0185E">
        <w:rPr>
          <w:rFonts w:hint="cs"/>
          <w:rtl/>
        </w:rPr>
        <w:t>ו</w:t>
      </w:r>
      <w:r w:rsidRPr="00F0185E">
        <w:rPr>
          <w:rFonts w:hint="cs"/>
          <w:rtl/>
        </w:rPr>
        <w:t xml:space="preserve"> נעסוק לקמן.</w:t>
      </w:r>
    </w:p>
  </w:footnote>
  <w:footnote w:id="3">
    <w:p w14:paraId="27E5ACF8" w14:textId="26546B7C" w:rsidR="00D74148" w:rsidRPr="00F0185E" w:rsidRDefault="00D74148" w:rsidP="00F0185E">
      <w:pPr>
        <w:pStyle w:val="a3"/>
        <w:rPr>
          <w:rtl/>
        </w:rPr>
      </w:pPr>
      <w:r w:rsidRPr="00F0185E">
        <w:footnoteRef/>
      </w:r>
      <w:r w:rsidRPr="00F0185E">
        <w:rPr>
          <w:rtl/>
        </w:rPr>
        <w:t xml:space="preserve"> </w:t>
      </w:r>
      <w:r w:rsidR="006A07D3" w:rsidRPr="00F0185E">
        <w:rPr>
          <w:rtl/>
        </w:rPr>
        <w:tab/>
      </w:r>
      <w:r w:rsidRPr="00F0185E">
        <w:rPr>
          <w:rFonts w:hint="cs"/>
          <w:rtl/>
        </w:rPr>
        <w:t>הרמב"ם בהקדמתו לפירוש המשנה מחלק את סדר נשים לשני חלקים באופן שונה:</w:t>
      </w:r>
      <w:r w:rsidR="004F006D" w:rsidRPr="00F0185E">
        <w:rPr>
          <w:rtl/>
        </w:rPr>
        <w:tab/>
      </w:r>
      <w:r w:rsidR="004F006D" w:rsidRPr="00F0185E">
        <w:rPr>
          <w:rtl/>
        </w:rPr>
        <w:br/>
      </w:r>
      <w:r w:rsidR="004F006D" w:rsidRPr="00F0185E">
        <w:rPr>
          <w:rFonts w:hint="cs"/>
          <w:rtl/>
        </w:rPr>
        <w:t>"</w:t>
      </w:r>
      <w:r w:rsidRPr="00F0185E">
        <w:rPr>
          <w:rtl/>
        </w:rPr>
        <w:t>וכאשר גמר עניני נשואין ודיני הפרת נדרים בא לדבר על הגירושין, לפי שאחרי הנשואין יארעו הגירושין, ולפיכך קבע גטין אחרי נזירות. ואחר גטין ש</w:t>
      </w:r>
      <w:r w:rsidR="004F006D" w:rsidRPr="00F0185E">
        <w:rPr>
          <w:rFonts w:hint="cs"/>
          <w:rtl/>
        </w:rPr>
        <w:t>ׂ</w:t>
      </w:r>
      <w:r w:rsidRPr="00F0185E">
        <w:rPr>
          <w:rtl/>
        </w:rPr>
        <w:t>וטה, מפני שגם היא מעניני הגירושין... ונשארה השאלה למה איחר קדושין</w:t>
      </w:r>
      <w:r w:rsidR="005C30B2" w:rsidRPr="00F0185E">
        <w:rPr>
          <w:rFonts w:hint="cs"/>
          <w:rtl/>
        </w:rPr>
        <w:t>,</w:t>
      </w:r>
      <w:r w:rsidRPr="00F0185E">
        <w:rPr>
          <w:rtl/>
        </w:rPr>
        <w:t xml:space="preserve"> והיתה ראויה לקדם, ומקומה הראוי לפני כתובות</w:t>
      </w:r>
      <w:r w:rsidR="005C30B2" w:rsidRPr="00F0185E">
        <w:rPr>
          <w:rFonts w:hint="cs"/>
          <w:rtl/>
        </w:rPr>
        <w:t>.</w:t>
      </w:r>
      <w:r w:rsidRPr="00F0185E">
        <w:rPr>
          <w:rtl/>
        </w:rPr>
        <w:t xml:space="preserve"> ואם תאמר שלא קבעה לפני כתובות כדי שלא יפסיק בין יבמות לכתובות כיון שהם ענין אחד</w:t>
      </w:r>
      <w:r w:rsidR="005C30B2" w:rsidRPr="00F0185E">
        <w:rPr>
          <w:rFonts w:hint="cs"/>
          <w:rtl/>
        </w:rPr>
        <w:t>,</w:t>
      </w:r>
      <w:r w:rsidRPr="00F0185E">
        <w:rPr>
          <w:rtl/>
        </w:rPr>
        <w:t xml:space="preserve"> כלומר נישואי האשה</w:t>
      </w:r>
      <w:r w:rsidR="005C30B2" w:rsidRPr="00F0185E">
        <w:rPr>
          <w:rFonts w:hint="cs"/>
          <w:rtl/>
        </w:rPr>
        <w:t>,</w:t>
      </w:r>
      <w:r w:rsidRPr="00F0185E">
        <w:rPr>
          <w:rtl/>
        </w:rPr>
        <w:t xml:space="preserve"> והסמיך את הדברים כמו שאמרנו, אם כן תהיה לפני גטין כדי שיהיה הסדר קדושין ואח"כ גטין אחריה. התשובה, שעשה כן חיקוי לסדר הכתוב</w:t>
      </w:r>
      <w:r w:rsidR="005C30B2" w:rsidRPr="00F0185E">
        <w:rPr>
          <w:rFonts w:hint="cs"/>
          <w:rtl/>
        </w:rPr>
        <w:t>,</w:t>
      </w:r>
      <w:r w:rsidRPr="00F0185E">
        <w:rPr>
          <w:rtl/>
        </w:rPr>
        <w:t xml:space="preserve"> שדיבר בגירושין לפני הקידושין, והוא אמרו יתעלה </w:t>
      </w:r>
      <w:r w:rsidR="005C30B2" w:rsidRPr="00F0185E">
        <w:rPr>
          <w:rFonts w:hint="cs"/>
          <w:rtl/>
        </w:rPr>
        <w:t>'</w:t>
      </w:r>
      <w:r w:rsidRPr="00F0185E">
        <w:rPr>
          <w:rtl/>
        </w:rPr>
        <w:t>וכתב לה ספר כריתות ונתן בידה ושלחה מביתו ויצאה מביתו והלכה והיתה לאיש אחר</w:t>
      </w:r>
      <w:r w:rsidR="005C30B2" w:rsidRPr="00F0185E">
        <w:rPr>
          <w:rFonts w:hint="cs"/>
          <w:rtl/>
        </w:rPr>
        <w:t>'</w:t>
      </w:r>
      <w:r w:rsidRPr="00F0185E">
        <w:rPr>
          <w:rtl/>
        </w:rPr>
        <w:t xml:space="preserve">, וממה שנ' </w:t>
      </w:r>
      <w:r w:rsidR="005C30B2" w:rsidRPr="00F0185E">
        <w:rPr>
          <w:rFonts w:hint="cs"/>
          <w:rtl/>
        </w:rPr>
        <w:t>'</w:t>
      </w:r>
      <w:r w:rsidRPr="00F0185E">
        <w:rPr>
          <w:rtl/>
        </w:rPr>
        <w:t>והיתה לאיש אחר</w:t>
      </w:r>
      <w:r w:rsidR="005C30B2" w:rsidRPr="00F0185E">
        <w:rPr>
          <w:rFonts w:hint="cs"/>
          <w:rtl/>
        </w:rPr>
        <w:t>'</w:t>
      </w:r>
      <w:r w:rsidRPr="00F0185E">
        <w:rPr>
          <w:rtl/>
        </w:rPr>
        <w:t xml:space="preserve"> למדנו דרך מדרכי הקדושין</w:t>
      </w:r>
      <w:r w:rsidR="005C30B2" w:rsidRPr="00F0185E">
        <w:rPr>
          <w:rFonts w:hint="cs"/>
          <w:rtl/>
        </w:rPr>
        <w:t>,</w:t>
      </w:r>
      <w:r w:rsidRPr="00F0185E">
        <w:rPr>
          <w:rtl/>
        </w:rPr>
        <w:t xml:space="preserve"> כמו שנתבאר מקיש הויה ליציאה, ובכך נסתיימה חלוקת הדברים בסדר נשים שבע מסכתות</w:t>
      </w:r>
      <w:r w:rsidR="004F006D" w:rsidRPr="00F0185E">
        <w:rPr>
          <w:rFonts w:hint="cs"/>
          <w:rtl/>
        </w:rPr>
        <w:t>"</w:t>
      </w:r>
      <w:r w:rsidRPr="00F0185E">
        <w:rPr>
          <w:rtl/>
        </w:rPr>
        <w:t>.</w:t>
      </w:r>
    </w:p>
  </w:footnote>
  <w:footnote w:id="4">
    <w:p w14:paraId="3F943143" w14:textId="41BB85DF" w:rsidR="00E65306" w:rsidRPr="00F0185E" w:rsidRDefault="00E65306" w:rsidP="00F0185E">
      <w:pPr>
        <w:pStyle w:val="a3"/>
        <w:rPr>
          <w:rtl/>
        </w:rPr>
      </w:pPr>
      <w:r w:rsidRPr="00F0185E">
        <w:rPr>
          <w:rStyle w:val="a5"/>
          <w:rFonts w:eastAsia="Narkisim"/>
        </w:rPr>
        <w:footnoteRef/>
      </w:r>
      <w:r w:rsidRPr="00F0185E">
        <w:rPr>
          <w:rtl/>
        </w:rPr>
        <w:t xml:space="preserve"> </w:t>
      </w:r>
      <w:r w:rsidR="006A07D3" w:rsidRPr="00F0185E">
        <w:rPr>
          <w:rtl/>
        </w:rPr>
        <w:tab/>
      </w:r>
      <w:r w:rsidRPr="00F0185E">
        <w:rPr>
          <w:rFonts w:hint="cs"/>
          <w:rtl/>
        </w:rPr>
        <w:t xml:space="preserve">בדפוס ראשון של המשנה וכן </w:t>
      </w:r>
      <w:hyperlink r:id="rId4" w:history="1">
        <w:r w:rsidRPr="00F0185E">
          <w:rPr>
            <w:rStyle w:val="Hyperlink"/>
            <w:color w:val="auto"/>
            <w:u w:val="none"/>
            <w:rtl/>
          </w:rPr>
          <w:t xml:space="preserve">בקטעי הגניזה </w:t>
        </w:r>
        <w:r w:rsidRPr="00F0185E">
          <w:rPr>
            <w:rStyle w:val="Hyperlink"/>
            <w:color w:val="auto"/>
            <w:u w:val="none"/>
          </w:rPr>
          <w:t>T-S E2-67</w:t>
        </w:r>
      </w:hyperlink>
      <w:r w:rsidRPr="00F0185E">
        <w:rPr>
          <w:rtl/>
        </w:rPr>
        <w:t xml:space="preserve"> המופיעים בספר</w:t>
      </w:r>
      <w:r w:rsidR="005C30B2" w:rsidRPr="00F0185E">
        <w:rPr>
          <w:rFonts w:hint="cs"/>
          <w:rtl/>
        </w:rPr>
        <w:t>י</w:t>
      </w:r>
      <w:r w:rsidRPr="00F0185E">
        <w:rPr>
          <w:rtl/>
        </w:rPr>
        <w:t>ית אוניברסיטת קיימברידג' סידור המסכתות הוא כשיטת הרמב"ם</w:t>
      </w:r>
      <w:r w:rsidR="005C30B2" w:rsidRPr="00F0185E">
        <w:rPr>
          <w:rFonts w:hint="cs"/>
          <w:rtl/>
        </w:rPr>
        <w:t>.</w:t>
      </w:r>
    </w:p>
  </w:footnote>
  <w:footnote w:id="5">
    <w:p w14:paraId="1AF660DC" w14:textId="0EDDB87D" w:rsidR="00D74148" w:rsidRPr="00F0185E" w:rsidRDefault="00D74148" w:rsidP="00F0185E">
      <w:pPr>
        <w:pStyle w:val="a3"/>
        <w:rPr>
          <w:rtl/>
        </w:rPr>
      </w:pPr>
      <w:r w:rsidRPr="00F0185E">
        <w:rPr>
          <w:rStyle w:val="a5"/>
          <w:rFonts w:eastAsia="Narkisim"/>
        </w:rPr>
        <w:footnoteRef/>
      </w:r>
      <w:r w:rsidRPr="00F0185E">
        <w:rPr>
          <w:rtl/>
        </w:rPr>
        <w:t xml:space="preserve"> </w:t>
      </w:r>
      <w:r w:rsidR="006A07D3" w:rsidRPr="00F0185E">
        <w:rPr>
          <w:rtl/>
        </w:rPr>
        <w:tab/>
      </w:r>
      <w:r w:rsidRPr="00F0185E">
        <w:rPr>
          <w:rFonts w:hint="cs"/>
          <w:rtl/>
        </w:rPr>
        <w:t xml:space="preserve">גישה נוספת לסידור </w:t>
      </w:r>
      <w:r w:rsidR="005C30B2" w:rsidRPr="00F0185E">
        <w:rPr>
          <w:rFonts w:hint="cs"/>
          <w:rtl/>
        </w:rPr>
        <w:t xml:space="preserve">המסכתות </w:t>
      </w:r>
      <w:r w:rsidRPr="00F0185E">
        <w:rPr>
          <w:rFonts w:hint="cs"/>
          <w:rtl/>
        </w:rPr>
        <w:t>מופיעה בכת"י ק</w:t>
      </w:r>
      <w:r w:rsidR="001A00C7" w:rsidRPr="00F0185E">
        <w:rPr>
          <w:rFonts w:hint="cs"/>
          <w:rtl/>
        </w:rPr>
        <w:t>א</w:t>
      </w:r>
      <w:r w:rsidRPr="00F0185E">
        <w:rPr>
          <w:rFonts w:hint="cs"/>
          <w:rtl/>
        </w:rPr>
        <w:t>ופמן (</w:t>
      </w:r>
      <w:hyperlink r:id="rId5" w:history="1">
        <w:r w:rsidRPr="00F0185E">
          <w:rPr>
            <w:rStyle w:val="Hyperlink"/>
            <w:color w:val="auto"/>
            <w:u w:val="none"/>
            <w:rtl/>
          </w:rPr>
          <w:t>ראה כאן</w:t>
        </w:r>
      </w:hyperlink>
      <w:r w:rsidRPr="00F0185E">
        <w:rPr>
          <w:rtl/>
        </w:rPr>
        <w:t>)</w:t>
      </w:r>
      <w:r w:rsidR="005C30B2" w:rsidRPr="00F0185E">
        <w:rPr>
          <w:rFonts w:hint="cs"/>
          <w:rtl/>
        </w:rPr>
        <w:t>.</w:t>
      </w:r>
      <w:r w:rsidRPr="00F0185E">
        <w:rPr>
          <w:rtl/>
        </w:rPr>
        <w:t xml:space="preserve"> ע</w:t>
      </w:r>
      <w:r w:rsidR="005C30B2" w:rsidRPr="00F0185E">
        <w:rPr>
          <w:rFonts w:hint="cs"/>
          <w:rtl/>
        </w:rPr>
        <w:t xml:space="preserve">ל </w:t>
      </w:r>
      <w:r w:rsidRPr="00F0185E">
        <w:rPr>
          <w:rtl/>
        </w:rPr>
        <w:t>פ</w:t>
      </w:r>
      <w:r w:rsidR="005C30B2" w:rsidRPr="00F0185E">
        <w:rPr>
          <w:rFonts w:hint="cs"/>
          <w:rtl/>
        </w:rPr>
        <w:t>י כתב יד זה</w:t>
      </w:r>
      <w:r w:rsidRPr="00F0185E">
        <w:rPr>
          <w:rtl/>
        </w:rPr>
        <w:t xml:space="preserve"> סידור המסכתות הוא גיטין-סוטה-נזיר-קידושין. סידור זה משלב למעשה בין השיטות, מחד הוא רואה את גיטין וסוטה כיחידה אחת</w:t>
      </w:r>
      <w:r w:rsidR="005C30B2" w:rsidRPr="00F0185E">
        <w:rPr>
          <w:rFonts w:hint="cs"/>
          <w:rtl/>
        </w:rPr>
        <w:t>,</w:t>
      </w:r>
      <w:r w:rsidRPr="00F0185E">
        <w:rPr>
          <w:rtl/>
        </w:rPr>
        <w:t xml:space="preserve"> העוסקות בענייני הפירוד</w:t>
      </w:r>
      <w:r w:rsidR="005C30B2" w:rsidRPr="00F0185E">
        <w:rPr>
          <w:rFonts w:hint="cs"/>
          <w:rtl/>
        </w:rPr>
        <w:t>, כרמב"ם,</w:t>
      </w:r>
      <w:r w:rsidRPr="00F0185E">
        <w:rPr>
          <w:rtl/>
        </w:rPr>
        <w:t xml:space="preserve"> </w:t>
      </w:r>
      <w:r w:rsidR="005C30B2" w:rsidRPr="00F0185E">
        <w:rPr>
          <w:rFonts w:hint="cs"/>
          <w:rtl/>
        </w:rPr>
        <w:t>ו</w:t>
      </w:r>
      <w:r w:rsidRPr="00F0185E">
        <w:rPr>
          <w:rtl/>
        </w:rPr>
        <w:t xml:space="preserve">מאידך הוא מסמיך את </w:t>
      </w:r>
      <w:r w:rsidR="005C30B2" w:rsidRPr="00F0185E">
        <w:rPr>
          <w:rFonts w:hint="cs"/>
          <w:rtl/>
        </w:rPr>
        <w:t xml:space="preserve">מסכת </w:t>
      </w:r>
      <w:r w:rsidRPr="00F0185E">
        <w:rPr>
          <w:rtl/>
        </w:rPr>
        <w:t>נזיר למסכת סוטה</w:t>
      </w:r>
      <w:r w:rsidR="005C30B2" w:rsidRPr="00F0185E">
        <w:rPr>
          <w:rFonts w:hint="cs"/>
          <w:rtl/>
        </w:rPr>
        <w:t>,</w:t>
      </w:r>
      <w:r w:rsidRPr="00F0185E">
        <w:rPr>
          <w:rtl/>
        </w:rPr>
        <w:t xml:space="preserve"> ע</w:t>
      </w:r>
      <w:r w:rsidR="005C30B2" w:rsidRPr="00F0185E">
        <w:rPr>
          <w:rFonts w:hint="cs"/>
          <w:rtl/>
        </w:rPr>
        <w:t xml:space="preserve">ל </w:t>
      </w:r>
      <w:r w:rsidRPr="00F0185E">
        <w:rPr>
          <w:rtl/>
        </w:rPr>
        <w:t>פ</w:t>
      </w:r>
      <w:r w:rsidR="005C30B2" w:rsidRPr="00F0185E">
        <w:rPr>
          <w:rFonts w:hint="cs"/>
          <w:rtl/>
        </w:rPr>
        <w:t>י</w:t>
      </w:r>
      <w:r w:rsidRPr="00F0185E">
        <w:rPr>
          <w:rtl/>
        </w:rPr>
        <w:t xml:space="preserve"> </w:t>
      </w:r>
      <w:r w:rsidR="005C30B2" w:rsidRPr="00F0185E">
        <w:rPr>
          <w:rFonts w:hint="cs"/>
          <w:rtl/>
        </w:rPr>
        <w:t xml:space="preserve">הדרשה </w:t>
      </w:r>
      <w:r w:rsidRPr="00F0185E">
        <w:rPr>
          <w:rtl/>
        </w:rPr>
        <w:t>הנזכרת בתלמוד</w:t>
      </w:r>
      <w:r w:rsidR="005C30B2" w:rsidRPr="00F0185E">
        <w:rPr>
          <w:rFonts w:hint="cs"/>
          <w:rtl/>
        </w:rPr>
        <w:t xml:space="preserve"> בשם רבי.</w:t>
      </w:r>
    </w:p>
  </w:footnote>
  <w:footnote w:id="6">
    <w:p w14:paraId="7418A632" w14:textId="6097B292" w:rsidR="00D74148" w:rsidRDefault="00D74148" w:rsidP="00F0185E">
      <w:pPr>
        <w:pStyle w:val="a3"/>
        <w:rPr>
          <w:rtl/>
        </w:rPr>
      </w:pPr>
      <w:r w:rsidRPr="00F0185E">
        <w:rPr>
          <w:rStyle w:val="a5"/>
          <w:rFonts w:eastAsia="Narkisim"/>
        </w:rPr>
        <w:footnoteRef/>
      </w:r>
      <w:r w:rsidRPr="00F0185E">
        <w:rPr>
          <w:rtl/>
        </w:rPr>
        <w:t xml:space="preserve"> </w:t>
      </w:r>
      <w:r w:rsidR="006A07D3" w:rsidRPr="00F0185E">
        <w:rPr>
          <w:rtl/>
        </w:rPr>
        <w:tab/>
      </w:r>
      <w:r w:rsidRPr="00F0185E">
        <w:rPr>
          <w:rFonts w:hint="cs"/>
          <w:rtl/>
        </w:rPr>
        <w:t xml:space="preserve">שיטה זו מכונה </w:t>
      </w:r>
      <w:r w:rsidR="00837271" w:rsidRPr="00F0185E">
        <w:rPr>
          <w:rFonts w:hint="cs"/>
          <w:rtl/>
        </w:rPr>
        <w:t>"</w:t>
      </w:r>
      <w:r w:rsidRPr="00F0185E">
        <w:rPr>
          <w:rFonts w:hint="cs"/>
          <w:rtl/>
        </w:rPr>
        <w:t>שיטת הגלגול</w:t>
      </w:r>
      <w:r w:rsidR="00837271" w:rsidRPr="00F0185E">
        <w:rPr>
          <w:rFonts w:hint="cs"/>
          <w:rtl/>
        </w:rPr>
        <w:t>",</w:t>
      </w:r>
      <w:r w:rsidRPr="00F0185E">
        <w:rPr>
          <w:rFonts w:hint="cs"/>
          <w:rtl/>
        </w:rPr>
        <w:t xml:space="preserve"> </w:t>
      </w:r>
      <w:r w:rsidR="00837271" w:rsidRPr="00F0185E">
        <w:rPr>
          <w:rFonts w:hint="cs"/>
          <w:rtl/>
        </w:rPr>
        <w:t>ו</w:t>
      </w:r>
      <w:r w:rsidRPr="00F0185E">
        <w:rPr>
          <w:rFonts w:hint="cs"/>
          <w:rtl/>
        </w:rPr>
        <w:t>לפיה התנא עובר מעניין לעניין ע"פ קישור מסוים</w:t>
      </w:r>
      <w:r w:rsidR="00837271" w:rsidRPr="00F0185E">
        <w:rPr>
          <w:rFonts w:hint="cs"/>
          <w:rtl/>
        </w:rPr>
        <w:t>.</w:t>
      </w:r>
      <w:r w:rsidRPr="00F0185E">
        <w:rPr>
          <w:rFonts w:hint="cs"/>
          <w:rtl/>
        </w:rPr>
        <w:t xml:space="preserve"> אודות הגישות השונות להבנת תופעה זו ראו מאמרו של הרב אברהם וולפיש</w:t>
      </w:r>
      <w:r w:rsidR="00837271" w:rsidRPr="00F0185E">
        <w:rPr>
          <w:rFonts w:hint="cs"/>
          <w:rtl/>
        </w:rPr>
        <w:t>,</w:t>
      </w:r>
      <w:r w:rsidRPr="00F0185E">
        <w:rPr>
          <w:rFonts w:hint="cs"/>
          <w:rtl/>
        </w:rPr>
        <w:t xml:space="preserve"> </w:t>
      </w:r>
      <w:r w:rsidR="00837271" w:rsidRPr="00F0185E">
        <w:rPr>
          <w:rFonts w:hint="cs"/>
          <w:rtl/>
        </w:rPr>
        <w:t>"</w:t>
      </w:r>
      <w:r w:rsidRPr="00F0185E">
        <w:rPr>
          <w:rtl/>
        </w:rPr>
        <w:t>שיקולים ספרותיים בעריכת המשנה ומשמעויותיהם</w:t>
      </w:r>
      <w:r w:rsidR="00837271" w:rsidRPr="00F0185E">
        <w:rPr>
          <w:rFonts w:hint="cs"/>
          <w:rtl/>
        </w:rPr>
        <w:t>",</w:t>
      </w:r>
      <w:r w:rsidRPr="00F0185E">
        <w:rPr>
          <w:rtl/>
        </w:rPr>
        <w:t xml:space="preserve"> בתוך: </w:t>
      </w:r>
      <w:hyperlink r:id="rId6" w:history="1">
        <w:r w:rsidRPr="00F0185E">
          <w:rPr>
            <w:rtl/>
          </w:rPr>
          <w:t>נטועים, א' תשנ"ד, עמ' 33-60</w:t>
        </w:r>
      </w:hyperlink>
      <w:r w:rsidRPr="00F0185E">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C86DAA" w:rsidRDefault="00C86DAA"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453574CA" w14:textId="77777777" w:rsidR="00C86DAA" w:rsidRDefault="00C86DAA"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86DAA" w:rsidRPr="006216C9" w14:paraId="3B079562" w14:textId="77777777" w:rsidTr="00FA1793">
      <w:tc>
        <w:tcPr>
          <w:tcW w:w="6506" w:type="dxa"/>
          <w:tcBorders>
            <w:bottom w:val="double" w:sz="4" w:space="0" w:color="auto"/>
          </w:tcBorders>
        </w:tcPr>
        <w:p w14:paraId="3AD8C92A" w14:textId="0314041C" w:rsidR="00C86DAA" w:rsidRPr="006216C9" w:rsidRDefault="00C86DA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94C7E40" w:rsidR="00C86DAA" w:rsidRPr="006216C9" w:rsidRDefault="00C86DAA" w:rsidP="00CD6003">
          <w:pPr>
            <w:spacing w:after="0"/>
            <w:rPr>
              <w:sz w:val="22"/>
              <w:szCs w:val="22"/>
            </w:rPr>
          </w:pPr>
          <w:r>
            <w:rPr>
              <w:rFonts w:hint="cs"/>
              <w:sz w:val="22"/>
              <w:szCs w:val="22"/>
              <w:rtl/>
            </w:rPr>
            <w:t>מסכת</w:t>
          </w:r>
          <w:r w:rsidR="003D148A">
            <w:rPr>
              <w:rFonts w:hint="cs"/>
              <w:sz w:val="22"/>
              <w:szCs w:val="22"/>
              <w:rtl/>
            </w:rPr>
            <w:t xml:space="preserve"> סוטה</w:t>
          </w:r>
        </w:p>
      </w:tc>
      <w:tc>
        <w:tcPr>
          <w:tcW w:w="3348" w:type="dxa"/>
          <w:tcBorders>
            <w:bottom w:val="double" w:sz="4" w:space="0" w:color="auto"/>
          </w:tcBorders>
          <w:vAlign w:val="center"/>
        </w:tcPr>
        <w:p w14:paraId="7D40D3BB" w14:textId="0D991F74" w:rsidR="00C86DAA" w:rsidRPr="006216C9" w:rsidRDefault="007E38BB" w:rsidP="006216C9">
          <w:pPr>
            <w:bidi w:val="0"/>
            <w:spacing w:after="0"/>
            <w:rPr>
              <w:sz w:val="22"/>
              <w:szCs w:val="22"/>
            </w:rPr>
          </w:pPr>
          <w:hyperlink r:id="rId1" w:tgtFrame="_blank" w:history="1">
            <w:r w:rsidR="00C86DAA">
              <w:rPr>
                <w:rStyle w:val="Hyperlink"/>
                <w:color w:val="1155CC"/>
                <w:shd w:val="clear" w:color="auto" w:fill="FFFFFF"/>
              </w:rPr>
              <w:t>http://etzion.org.il</w:t>
            </w:r>
          </w:hyperlink>
        </w:p>
      </w:tc>
    </w:tr>
  </w:tbl>
  <w:p w14:paraId="2CFAB289" w14:textId="77777777" w:rsidR="00C86DAA" w:rsidRPr="00AC2922" w:rsidRDefault="00C86DAA"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437F"/>
    <w:rsid w:val="00005156"/>
    <w:rsid w:val="00006142"/>
    <w:rsid w:val="00007261"/>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37629"/>
    <w:rsid w:val="00040A12"/>
    <w:rsid w:val="00042703"/>
    <w:rsid w:val="000438EA"/>
    <w:rsid w:val="00043F83"/>
    <w:rsid w:val="0004674C"/>
    <w:rsid w:val="00051554"/>
    <w:rsid w:val="000517DE"/>
    <w:rsid w:val="00056413"/>
    <w:rsid w:val="00056637"/>
    <w:rsid w:val="00057741"/>
    <w:rsid w:val="00061FC7"/>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874E6"/>
    <w:rsid w:val="00090212"/>
    <w:rsid w:val="000921C9"/>
    <w:rsid w:val="00092D5A"/>
    <w:rsid w:val="00092EFE"/>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100306"/>
    <w:rsid w:val="001009EE"/>
    <w:rsid w:val="001018AC"/>
    <w:rsid w:val="0010214C"/>
    <w:rsid w:val="00102A1E"/>
    <w:rsid w:val="00102A2A"/>
    <w:rsid w:val="00102BE4"/>
    <w:rsid w:val="001051EE"/>
    <w:rsid w:val="00105F77"/>
    <w:rsid w:val="00106143"/>
    <w:rsid w:val="00112FFD"/>
    <w:rsid w:val="00114D83"/>
    <w:rsid w:val="00115505"/>
    <w:rsid w:val="001162A4"/>
    <w:rsid w:val="001164E7"/>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23D3"/>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3921"/>
    <w:rsid w:val="001852B1"/>
    <w:rsid w:val="0018772F"/>
    <w:rsid w:val="0018776A"/>
    <w:rsid w:val="00190FEA"/>
    <w:rsid w:val="001935D9"/>
    <w:rsid w:val="001A00C7"/>
    <w:rsid w:val="001A13AC"/>
    <w:rsid w:val="001A160E"/>
    <w:rsid w:val="001A50CD"/>
    <w:rsid w:val="001A5C79"/>
    <w:rsid w:val="001A6573"/>
    <w:rsid w:val="001A7ECD"/>
    <w:rsid w:val="001B0107"/>
    <w:rsid w:val="001B0261"/>
    <w:rsid w:val="001B1475"/>
    <w:rsid w:val="001B3ED3"/>
    <w:rsid w:val="001B46A9"/>
    <w:rsid w:val="001B669C"/>
    <w:rsid w:val="001B7F24"/>
    <w:rsid w:val="001C0F9A"/>
    <w:rsid w:val="001C1CAA"/>
    <w:rsid w:val="001C3B23"/>
    <w:rsid w:val="001C4473"/>
    <w:rsid w:val="001C4940"/>
    <w:rsid w:val="001C4B5E"/>
    <w:rsid w:val="001C4E63"/>
    <w:rsid w:val="001C6C39"/>
    <w:rsid w:val="001D7F02"/>
    <w:rsid w:val="001E11C3"/>
    <w:rsid w:val="001E1D48"/>
    <w:rsid w:val="001E3883"/>
    <w:rsid w:val="001E5152"/>
    <w:rsid w:val="001E68D1"/>
    <w:rsid w:val="001F243E"/>
    <w:rsid w:val="001F77EE"/>
    <w:rsid w:val="00203453"/>
    <w:rsid w:val="002115E2"/>
    <w:rsid w:val="00211DA7"/>
    <w:rsid w:val="00212A5E"/>
    <w:rsid w:val="0021417A"/>
    <w:rsid w:val="002142D4"/>
    <w:rsid w:val="00214428"/>
    <w:rsid w:val="00216AF7"/>
    <w:rsid w:val="0022042F"/>
    <w:rsid w:val="00220493"/>
    <w:rsid w:val="00220D4A"/>
    <w:rsid w:val="00223CEC"/>
    <w:rsid w:val="002314D2"/>
    <w:rsid w:val="002338A7"/>
    <w:rsid w:val="00233E7F"/>
    <w:rsid w:val="002345BB"/>
    <w:rsid w:val="00235575"/>
    <w:rsid w:val="00237A75"/>
    <w:rsid w:val="00251114"/>
    <w:rsid w:val="0025188F"/>
    <w:rsid w:val="00252934"/>
    <w:rsid w:val="002537CA"/>
    <w:rsid w:val="002548F1"/>
    <w:rsid w:val="00254CCB"/>
    <w:rsid w:val="0025700E"/>
    <w:rsid w:val="0025727A"/>
    <w:rsid w:val="00260AA2"/>
    <w:rsid w:val="002635D1"/>
    <w:rsid w:val="00265E1C"/>
    <w:rsid w:val="00267C22"/>
    <w:rsid w:val="00270BA3"/>
    <w:rsid w:val="00270E17"/>
    <w:rsid w:val="0027200A"/>
    <w:rsid w:val="0027267B"/>
    <w:rsid w:val="00272883"/>
    <w:rsid w:val="00273132"/>
    <w:rsid w:val="002744D7"/>
    <w:rsid w:val="00275739"/>
    <w:rsid w:val="00275B17"/>
    <w:rsid w:val="00276321"/>
    <w:rsid w:val="00276B14"/>
    <w:rsid w:val="00281070"/>
    <w:rsid w:val="00282163"/>
    <w:rsid w:val="002826F7"/>
    <w:rsid w:val="00284937"/>
    <w:rsid w:val="00284E60"/>
    <w:rsid w:val="00291A14"/>
    <w:rsid w:val="00291DC9"/>
    <w:rsid w:val="00293BED"/>
    <w:rsid w:val="0029412F"/>
    <w:rsid w:val="00294EDC"/>
    <w:rsid w:val="00296EA3"/>
    <w:rsid w:val="002A26CA"/>
    <w:rsid w:val="002A2CB0"/>
    <w:rsid w:val="002A300A"/>
    <w:rsid w:val="002A349D"/>
    <w:rsid w:val="002A6A8D"/>
    <w:rsid w:val="002A6E6F"/>
    <w:rsid w:val="002A7264"/>
    <w:rsid w:val="002B0904"/>
    <w:rsid w:val="002B33FB"/>
    <w:rsid w:val="002B3B0F"/>
    <w:rsid w:val="002B4D51"/>
    <w:rsid w:val="002B519B"/>
    <w:rsid w:val="002B6CA6"/>
    <w:rsid w:val="002C12A6"/>
    <w:rsid w:val="002C220C"/>
    <w:rsid w:val="002C33E6"/>
    <w:rsid w:val="002C3C5F"/>
    <w:rsid w:val="002D22C4"/>
    <w:rsid w:val="002D4DC1"/>
    <w:rsid w:val="002E0589"/>
    <w:rsid w:val="002E098C"/>
    <w:rsid w:val="002E0D3F"/>
    <w:rsid w:val="002E2489"/>
    <w:rsid w:val="002E26D6"/>
    <w:rsid w:val="002E417E"/>
    <w:rsid w:val="002E602A"/>
    <w:rsid w:val="002E644E"/>
    <w:rsid w:val="002E65D7"/>
    <w:rsid w:val="002F2680"/>
    <w:rsid w:val="002F7C51"/>
    <w:rsid w:val="002F7DBF"/>
    <w:rsid w:val="0030002C"/>
    <w:rsid w:val="003014C4"/>
    <w:rsid w:val="00303A65"/>
    <w:rsid w:val="00304682"/>
    <w:rsid w:val="0030539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6EC"/>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11B"/>
    <w:rsid w:val="003549DE"/>
    <w:rsid w:val="00356341"/>
    <w:rsid w:val="00362073"/>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322"/>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1D0"/>
    <w:rsid w:val="003C1DF2"/>
    <w:rsid w:val="003C1F10"/>
    <w:rsid w:val="003C32D1"/>
    <w:rsid w:val="003C3B19"/>
    <w:rsid w:val="003C3FEB"/>
    <w:rsid w:val="003C52A8"/>
    <w:rsid w:val="003C65D7"/>
    <w:rsid w:val="003D148A"/>
    <w:rsid w:val="003D454A"/>
    <w:rsid w:val="003D7E06"/>
    <w:rsid w:val="003E3654"/>
    <w:rsid w:val="003E3E6B"/>
    <w:rsid w:val="003E6B7E"/>
    <w:rsid w:val="003E78AE"/>
    <w:rsid w:val="003E7DF7"/>
    <w:rsid w:val="003F0F92"/>
    <w:rsid w:val="003F19C6"/>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7582"/>
    <w:rsid w:val="00451C66"/>
    <w:rsid w:val="0045432D"/>
    <w:rsid w:val="004573E6"/>
    <w:rsid w:val="00460362"/>
    <w:rsid w:val="00460E6D"/>
    <w:rsid w:val="00460F15"/>
    <w:rsid w:val="00462359"/>
    <w:rsid w:val="00464F58"/>
    <w:rsid w:val="0046609E"/>
    <w:rsid w:val="004676F0"/>
    <w:rsid w:val="004752AE"/>
    <w:rsid w:val="00475741"/>
    <w:rsid w:val="00476985"/>
    <w:rsid w:val="00476D9D"/>
    <w:rsid w:val="00477C74"/>
    <w:rsid w:val="00481042"/>
    <w:rsid w:val="0048350A"/>
    <w:rsid w:val="00484DA1"/>
    <w:rsid w:val="004853A2"/>
    <w:rsid w:val="00486027"/>
    <w:rsid w:val="00486E88"/>
    <w:rsid w:val="00495C84"/>
    <w:rsid w:val="0049613D"/>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3F3"/>
    <w:rsid w:val="004E37D0"/>
    <w:rsid w:val="004E6605"/>
    <w:rsid w:val="004F006D"/>
    <w:rsid w:val="004F0D92"/>
    <w:rsid w:val="004F1BA9"/>
    <w:rsid w:val="004F25D6"/>
    <w:rsid w:val="004F2997"/>
    <w:rsid w:val="004F3587"/>
    <w:rsid w:val="004F48CF"/>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3123"/>
    <w:rsid w:val="005342F8"/>
    <w:rsid w:val="0053592D"/>
    <w:rsid w:val="00535D76"/>
    <w:rsid w:val="00537C4E"/>
    <w:rsid w:val="0054083B"/>
    <w:rsid w:val="005427CB"/>
    <w:rsid w:val="00543387"/>
    <w:rsid w:val="005515D3"/>
    <w:rsid w:val="00552BC7"/>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5E8E"/>
    <w:rsid w:val="00576198"/>
    <w:rsid w:val="00576A9E"/>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B08DB"/>
    <w:rsid w:val="005B11E9"/>
    <w:rsid w:val="005B1FDC"/>
    <w:rsid w:val="005B48C5"/>
    <w:rsid w:val="005B6383"/>
    <w:rsid w:val="005B75E6"/>
    <w:rsid w:val="005C06E5"/>
    <w:rsid w:val="005C0C87"/>
    <w:rsid w:val="005C0CA0"/>
    <w:rsid w:val="005C1685"/>
    <w:rsid w:val="005C30B2"/>
    <w:rsid w:val="005C53F3"/>
    <w:rsid w:val="005C5B0A"/>
    <w:rsid w:val="005C5BD5"/>
    <w:rsid w:val="005C6015"/>
    <w:rsid w:val="005C6E50"/>
    <w:rsid w:val="005D0257"/>
    <w:rsid w:val="005D120F"/>
    <w:rsid w:val="005D3CF2"/>
    <w:rsid w:val="005D4972"/>
    <w:rsid w:val="005D5801"/>
    <w:rsid w:val="005D5DBD"/>
    <w:rsid w:val="005D6D51"/>
    <w:rsid w:val="005E146F"/>
    <w:rsid w:val="005E33F6"/>
    <w:rsid w:val="005E50E0"/>
    <w:rsid w:val="005E604F"/>
    <w:rsid w:val="005E65BE"/>
    <w:rsid w:val="005E6815"/>
    <w:rsid w:val="005F1E51"/>
    <w:rsid w:val="005F4985"/>
    <w:rsid w:val="005F7954"/>
    <w:rsid w:val="005F7C2A"/>
    <w:rsid w:val="006013FF"/>
    <w:rsid w:val="00603920"/>
    <w:rsid w:val="00605B50"/>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660F"/>
    <w:rsid w:val="006404CD"/>
    <w:rsid w:val="006404D8"/>
    <w:rsid w:val="0064066D"/>
    <w:rsid w:val="00640ED2"/>
    <w:rsid w:val="00641C4F"/>
    <w:rsid w:val="0064335B"/>
    <w:rsid w:val="00643B0D"/>
    <w:rsid w:val="00644A0E"/>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4A8A"/>
    <w:rsid w:val="006853CC"/>
    <w:rsid w:val="006860DF"/>
    <w:rsid w:val="006901D9"/>
    <w:rsid w:val="00691A41"/>
    <w:rsid w:val="00692B3F"/>
    <w:rsid w:val="006945E2"/>
    <w:rsid w:val="00695BCE"/>
    <w:rsid w:val="00697343"/>
    <w:rsid w:val="006A07D3"/>
    <w:rsid w:val="006A086B"/>
    <w:rsid w:val="006A1277"/>
    <w:rsid w:val="006A2863"/>
    <w:rsid w:val="006A4F72"/>
    <w:rsid w:val="006A58EE"/>
    <w:rsid w:val="006A6111"/>
    <w:rsid w:val="006B044E"/>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2CE0"/>
    <w:rsid w:val="006D3595"/>
    <w:rsid w:val="006D5A1C"/>
    <w:rsid w:val="006D5E74"/>
    <w:rsid w:val="006D74BE"/>
    <w:rsid w:val="006E2874"/>
    <w:rsid w:val="006E3F9D"/>
    <w:rsid w:val="006E40E3"/>
    <w:rsid w:val="006E5E02"/>
    <w:rsid w:val="006E6F72"/>
    <w:rsid w:val="006F0018"/>
    <w:rsid w:val="006F016B"/>
    <w:rsid w:val="006F20BC"/>
    <w:rsid w:val="006F3743"/>
    <w:rsid w:val="006F77DB"/>
    <w:rsid w:val="006F7B26"/>
    <w:rsid w:val="00701021"/>
    <w:rsid w:val="00701DF9"/>
    <w:rsid w:val="00702359"/>
    <w:rsid w:val="00706365"/>
    <w:rsid w:val="007071A9"/>
    <w:rsid w:val="00710FEE"/>
    <w:rsid w:val="00711334"/>
    <w:rsid w:val="007115F7"/>
    <w:rsid w:val="00713F43"/>
    <w:rsid w:val="0071439C"/>
    <w:rsid w:val="00714DEA"/>
    <w:rsid w:val="007170EF"/>
    <w:rsid w:val="007208C8"/>
    <w:rsid w:val="0072125D"/>
    <w:rsid w:val="00723694"/>
    <w:rsid w:val="00726594"/>
    <w:rsid w:val="00727205"/>
    <w:rsid w:val="00731FFA"/>
    <w:rsid w:val="00732736"/>
    <w:rsid w:val="007360D3"/>
    <w:rsid w:val="00737519"/>
    <w:rsid w:val="00740096"/>
    <w:rsid w:val="007429B8"/>
    <w:rsid w:val="00743AC7"/>
    <w:rsid w:val="00743E5F"/>
    <w:rsid w:val="0074567B"/>
    <w:rsid w:val="007503A7"/>
    <w:rsid w:val="00753641"/>
    <w:rsid w:val="00754216"/>
    <w:rsid w:val="00754383"/>
    <w:rsid w:val="00755D64"/>
    <w:rsid w:val="00755F2F"/>
    <w:rsid w:val="00760C49"/>
    <w:rsid w:val="007633BC"/>
    <w:rsid w:val="0076733C"/>
    <w:rsid w:val="00772025"/>
    <w:rsid w:val="00772EFB"/>
    <w:rsid w:val="007738DC"/>
    <w:rsid w:val="00773907"/>
    <w:rsid w:val="00775D44"/>
    <w:rsid w:val="007763BC"/>
    <w:rsid w:val="007769B1"/>
    <w:rsid w:val="0077787E"/>
    <w:rsid w:val="00781669"/>
    <w:rsid w:val="00781778"/>
    <w:rsid w:val="00782136"/>
    <w:rsid w:val="00785703"/>
    <w:rsid w:val="0078791E"/>
    <w:rsid w:val="00787B94"/>
    <w:rsid w:val="00790711"/>
    <w:rsid w:val="007908FE"/>
    <w:rsid w:val="0079116D"/>
    <w:rsid w:val="007915D4"/>
    <w:rsid w:val="00791FB2"/>
    <w:rsid w:val="00795618"/>
    <w:rsid w:val="007962FF"/>
    <w:rsid w:val="007970DA"/>
    <w:rsid w:val="007976E8"/>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3CED"/>
    <w:rsid w:val="007D5680"/>
    <w:rsid w:val="007D65E1"/>
    <w:rsid w:val="007D678A"/>
    <w:rsid w:val="007E374F"/>
    <w:rsid w:val="007E38BB"/>
    <w:rsid w:val="007E488C"/>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600"/>
    <w:rsid w:val="00820E72"/>
    <w:rsid w:val="00823240"/>
    <w:rsid w:val="00823E41"/>
    <w:rsid w:val="00824C63"/>
    <w:rsid w:val="008270AF"/>
    <w:rsid w:val="00827253"/>
    <w:rsid w:val="00827967"/>
    <w:rsid w:val="00830915"/>
    <w:rsid w:val="008309A4"/>
    <w:rsid w:val="008329EF"/>
    <w:rsid w:val="00832F1E"/>
    <w:rsid w:val="00834286"/>
    <w:rsid w:val="008345FC"/>
    <w:rsid w:val="008346A3"/>
    <w:rsid w:val="00836815"/>
    <w:rsid w:val="00837271"/>
    <w:rsid w:val="00841279"/>
    <w:rsid w:val="00850E4B"/>
    <w:rsid w:val="00853097"/>
    <w:rsid w:val="00855513"/>
    <w:rsid w:val="00856FE3"/>
    <w:rsid w:val="00861EBC"/>
    <w:rsid w:val="00863B49"/>
    <w:rsid w:val="008652A5"/>
    <w:rsid w:val="008657A6"/>
    <w:rsid w:val="0087097B"/>
    <w:rsid w:val="00870E8C"/>
    <w:rsid w:val="00872A3A"/>
    <w:rsid w:val="00873BF1"/>
    <w:rsid w:val="008746DC"/>
    <w:rsid w:val="008774CC"/>
    <w:rsid w:val="008779E6"/>
    <w:rsid w:val="008809EB"/>
    <w:rsid w:val="00880A53"/>
    <w:rsid w:val="00880F6C"/>
    <w:rsid w:val="008829C2"/>
    <w:rsid w:val="008858E9"/>
    <w:rsid w:val="00890769"/>
    <w:rsid w:val="0089145F"/>
    <w:rsid w:val="00895A57"/>
    <w:rsid w:val="00895B8B"/>
    <w:rsid w:val="00896063"/>
    <w:rsid w:val="00897D94"/>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2E19"/>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27C"/>
    <w:rsid w:val="009152C7"/>
    <w:rsid w:val="00916A73"/>
    <w:rsid w:val="009179AD"/>
    <w:rsid w:val="0092030C"/>
    <w:rsid w:val="00922523"/>
    <w:rsid w:val="00922FDE"/>
    <w:rsid w:val="00923778"/>
    <w:rsid w:val="00925DEB"/>
    <w:rsid w:val="00926478"/>
    <w:rsid w:val="00926A5D"/>
    <w:rsid w:val="0093096E"/>
    <w:rsid w:val="00930B61"/>
    <w:rsid w:val="00933CB5"/>
    <w:rsid w:val="00942486"/>
    <w:rsid w:val="00943732"/>
    <w:rsid w:val="00943D2D"/>
    <w:rsid w:val="00944737"/>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45EC"/>
    <w:rsid w:val="009850FB"/>
    <w:rsid w:val="0098545E"/>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49BD"/>
    <w:rsid w:val="009B723D"/>
    <w:rsid w:val="009C15BC"/>
    <w:rsid w:val="009C20E3"/>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131C"/>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288E"/>
    <w:rsid w:val="00A25893"/>
    <w:rsid w:val="00A271CE"/>
    <w:rsid w:val="00A33CB2"/>
    <w:rsid w:val="00A34ADA"/>
    <w:rsid w:val="00A34B5A"/>
    <w:rsid w:val="00A355D1"/>
    <w:rsid w:val="00A3624F"/>
    <w:rsid w:val="00A4058B"/>
    <w:rsid w:val="00A4449A"/>
    <w:rsid w:val="00A45D24"/>
    <w:rsid w:val="00A47B1D"/>
    <w:rsid w:val="00A5048D"/>
    <w:rsid w:val="00A51A07"/>
    <w:rsid w:val="00A51BE8"/>
    <w:rsid w:val="00A52DF1"/>
    <w:rsid w:val="00A53716"/>
    <w:rsid w:val="00A53973"/>
    <w:rsid w:val="00A57682"/>
    <w:rsid w:val="00A61CC1"/>
    <w:rsid w:val="00A65685"/>
    <w:rsid w:val="00A65CE5"/>
    <w:rsid w:val="00A66C3E"/>
    <w:rsid w:val="00A67CE0"/>
    <w:rsid w:val="00A7069D"/>
    <w:rsid w:val="00A70ABB"/>
    <w:rsid w:val="00A71555"/>
    <w:rsid w:val="00A7465C"/>
    <w:rsid w:val="00A74AB1"/>
    <w:rsid w:val="00A76EA7"/>
    <w:rsid w:val="00A77365"/>
    <w:rsid w:val="00A81749"/>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457"/>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4A9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4501"/>
    <w:rsid w:val="00B768C2"/>
    <w:rsid w:val="00B77DC6"/>
    <w:rsid w:val="00B81A07"/>
    <w:rsid w:val="00B8224A"/>
    <w:rsid w:val="00B827DA"/>
    <w:rsid w:val="00B84799"/>
    <w:rsid w:val="00B879AC"/>
    <w:rsid w:val="00B948EF"/>
    <w:rsid w:val="00B94A1E"/>
    <w:rsid w:val="00B96F8B"/>
    <w:rsid w:val="00B97E67"/>
    <w:rsid w:val="00BA062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B14"/>
    <w:rsid w:val="00BD7EC0"/>
    <w:rsid w:val="00BE0E97"/>
    <w:rsid w:val="00BE2000"/>
    <w:rsid w:val="00BE35D3"/>
    <w:rsid w:val="00BE62BC"/>
    <w:rsid w:val="00BF08BD"/>
    <w:rsid w:val="00BF251F"/>
    <w:rsid w:val="00BF3443"/>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30CCF"/>
    <w:rsid w:val="00C31739"/>
    <w:rsid w:val="00C31B76"/>
    <w:rsid w:val="00C320DF"/>
    <w:rsid w:val="00C32335"/>
    <w:rsid w:val="00C3249B"/>
    <w:rsid w:val="00C354A3"/>
    <w:rsid w:val="00C35C25"/>
    <w:rsid w:val="00C36DAD"/>
    <w:rsid w:val="00C410C9"/>
    <w:rsid w:val="00C4117C"/>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64E4A"/>
    <w:rsid w:val="00C72129"/>
    <w:rsid w:val="00C73BAB"/>
    <w:rsid w:val="00C76B15"/>
    <w:rsid w:val="00C83636"/>
    <w:rsid w:val="00C84ABE"/>
    <w:rsid w:val="00C86DAA"/>
    <w:rsid w:val="00C8748C"/>
    <w:rsid w:val="00C8776F"/>
    <w:rsid w:val="00C91B83"/>
    <w:rsid w:val="00C91E73"/>
    <w:rsid w:val="00C921A2"/>
    <w:rsid w:val="00C9325B"/>
    <w:rsid w:val="00C96E9D"/>
    <w:rsid w:val="00C9772B"/>
    <w:rsid w:val="00C97E38"/>
    <w:rsid w:val="00CA0DDE"/>
    <w:rsid w:val="00CA437A"/>
    <w:rsid w:val="00CA7843"/>
    <w:rsid w:val="00CA7D02"/>
    <w:rsid w:val="00CB1E2B"/>
    <w:rsid w:val="00CB217F"/>
    <w:rsid w:val="00CB2FAC"/>
    <w:rsid w:val="00CB49A0"/>
    <w:rsid w:val="00CB57A1"/>
    <w:rsid w:val="00CB5EDD"/>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E7F6D"/>
    <w:rsid w:val="00CF054B"/>
    <w:rsid w:val="00CF0678"/>
    <w:rsid w:val="00CF255F"/>
    <w:rsid w:val="00CF3213"/>
    <w:rsid w:val="00CF39C7"/>
    <w:rsid w:val="00CF4F7F"/>
    <w:rsid w:val="00CF67A5"/>
    <w:rsid w:val="00D02643"/>
    <w:rsid w:val="00D037D3"/>
    <w:rsid w:val="00D0716C"/>
    <w:rsid w:val="00D1073B"/>
    <w:rsid w:val="00D10B8A"/>
    <w:rsid w:val="00D12553"/>
    <w:rsid w:val="00D139EF"/>
    <w:rsid w:val="00D14175"/>
    <w:rsid w:val="00D151FC"/>
    <w:rsid w:val="00D21139"/>
    <w:rsid w:val="00D25526"/>
    <w:rsid w:val="00D27C12"/>
    <w:rsid w:val="00D31DEC"/>
    <w:rsid w:val="00D32322"/>
    <w:rsid w:val="00D33D36"/>
    <w:rsid w:val="00D347EF"/>
    <w:rsid w:val="00D356BC"/>
    <w:rsid w:val="00D36B6A"/>
    <w:rsid w:val="00D370A3"/>
    <w:rsid w:val="00D4379E"/>
    <w:rsid w:val="00D45116"/>
    <w:rsid w:val="00D46876"/>
    <w:rsid w:val="00D47C2F"/>
    <w:rsid w:val="00D50419"/>
    <w:rsid w:val="00D51713"/>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148"/>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10D9"/>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007B"/>
    <w:rsid w:val="00E21370"/>
    <w:rsid w:val="00E2170E"/>
    <w:rsid w:val="00E2494D"/>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65306"/>
    <w:rsid w:val="00E704F4"/>
    <w:rsid w:val="00E71307"/>
    <w:rsid w:val="00E71BA0"/>
    <w:rsid w:val="00E722C5"/>
    <w:rsid w:val="00E72351"/>
    <w:rsid w:val="00E73829"/>
    <w:rsid w:val="00E74F06"/>
    <w:rsid w:val="00E750A9"/>
    <w:rsid w:val="00E75D62"/>
    <w:rsid w:val="00E76D6F"/>
    <w:rsid w:val="00E8031F"/>
    <w:rsid w:val="00E81B7B"/>
    <w:rsid w:val="00E821CF"/>
    <w:rsid w:val="00E844FA"/>
    <w:rsid w:val="00E84968"/>
    <w:rsid w:val="00E84C14"/>
    <w:rsid w:val="00E86713"/>
    <w:rsid w:val="00E86FBD"/>
    <w:rsid w:val="00E87EC2"/>
    <w:rsid w:val="00E938A1"/>
    <w:rsid w:val="00E9649B"/>
    <w:rsid w:val="00EA0780"/>
    <w:rsid w:val="00EA2E03"/>
    <w:rsid w:val="00EA4D37"/>
    <w:rsid w:val="00EA50A9"/>
    <w:rsid w:val="00EA7E68"/>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3115"/>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257"/>
    <w:rsid w:val="00EF2B3D"/>
    <w:rsid w:val="00EF3ADE"/>
    <w:rsid w:val="00EF5DED"/>
    <w:rsid w:val="00EF6C74"/>
    <w:rsid w:val="00EF7775"/>
    <w:rsid w:val="00F00C66"/>
    <w:rsid w:val="00F0185E"/>
    <w:rsid w:val="00F06356"/>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507B"/>
    <w:rsid w:val="00F8799C"/>
    <w:rsid w:val="00F90720"/>
    <w:rsid w:val="00F909AD"/>
    <w:rsid w:val="00F914F0"/>
    <w:rsid w:val="00F920C3"/>
    <w:rsid w:val="00F93969"/>
    <w:rsid w:val="00F97571"/>
    <w:rsid w:val="00FA1793"/>
    <w:rsid w:val="00FA483B"/>
    <w:rsid w:val="00FA4CFD"/>
    <w:rsid w:val="00FA628D"/>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652F"/>
    <w:rsid w:val="00FF2723"/>
    <w:rsid w:val="00FF2942"/>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0874E6"/>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0874E6"/>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b">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1">
    <w:name w:val="Plain Text"/>
    <w:basedOn w:val="a"/>
    <w:link w:val="aff2"/>
    <w:semiHidden/>
    <w:rsid w:val="00D605F5"/>
    <w:pPr>
      <w:tabs>
        <w:tab w:val="clear" w:pos="4620"/>
      </w:tabs>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3326EC"/>
    <w:pPr>
      <w:ind w:left="720"/>
    </w:pPr>
    <w:rPr>
      <w:rFonts w:cs="Arial"/>
      <w:sz w:val="22"/>
      <w:szCs w:val="22"/>
    </w:rPr>
  </w:style>
  <w:style w:type="character" w:customStyle="1" w:styleId="15">
    <w:name w:val="ציטוט1 תו"/>
    <w:basedOn w:val="a0"/>
    <w:link w:val="14"/>
    <w:rsid w:val="003326EC"/>
    <w:rPr>
      <w:rFonts w:ascii="Arial" w:hAnsi="Arial" w:cs="Arial"/>
      <w:sz w:val="22"/>
      <w:szCs w:val="22"/>
    </w:rPr>
  </w:style>
  <w:style w:type="paragraph" w:customStyle="1" w:styleId="aff3">
    <w:name w:val="ציטוט תו"/>
    <w:basedOn w:val="a"/>
    <w:next w:val="a"/>
    <w:link w:val="aff4"/>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tabs>
        <w:tab w:val="clear" w:pos="4620"/>
      </w:tabs>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tabs>
        <w:tab w:val="clear" w:pos="4620"/>
      </w:tabs>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Unresolved Mention"/>
    <w:basedOn w:val="a0"/>
    <w:uiPriority w:val="99"/>
    <w:semiHidden/>
    <w:unhideWhenUsed/>
    <w:rsid w:val="005C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42847523">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30965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b.nli.org.il/sites/nli/hebrew/collections/jewish-collection/talmud/pages/default.aspx?IsByManuscript=False&amp;Im_Ms=5304&amp;Fr_Co=2&amp;Fr_Tr=28&amp;Pe_code=001&amp;Mi_code=01&amp;Li_code=-1" TargetMode="External"/><Relationship Id="rId2" Type="http://schemas.openxmlformats.org/officeDocument/2006/relationships/hyperlink" Target="https://jewish-faculty.biu.ac.il/files/jewish-faculty/shared/JSIJ3/ahrend.pdf" TargetMode="External"/><Relationship Id="rId1" Type="http://schemas.openxmlformats.org/officeDocument/2006/relationships/hyperlink" Target="https://www.hamichlol.org.il/%D7%9E%D7%A1%D7%9B%D7%AA" TargetMode="External"/><Relationship Id="rId6" Type="http://schemas.openxmlformats.org/officeDocument/2006/relationships/hyperlink" Target="http://www.herzog.ac.il/vtc/0041087.doc" TargetMode="External"/><Relationship Id="rId5" Type="http://schemas.openxmlformats.org/officeDocument/2006/relationships/hyperlink" Target="https://web.nli.org.il/sites/NLI/Hebrew/collections/jewish-collection/Talmud/Pages/default.aspx?IsByManuscript=False&amp;Im_Ms=1723&amp;Fr_Co=2&amp;Fr_Tr=30&amp;Pe_code=004&amp;Mi_code=16&amp;Li_code=-1" TargetMode="External"/><Relationship Id="rId4" Type="http://schemas.openxmlformats.org/officeDocument/2006/relationships/hyperlink" Target="https://web.nli.org.il/sites/nli/hebrew/collections/jewish-collection/talmud/pages/default.aspx?IsByManuscript=False&amp;Im_Ms=5304&amp;Fr_Co=2&amp;Fr_Tr=28&amp;Pe_code=001&amp;Mi_code=01&amp;Li_code=-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2AE0-02B1-4890-9552-727A3670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3</Pages>
  <Words>898</Words>
  <Characters>4490</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5378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30</cp:revision>
  <cp:lastPrinted>2001-10-24T10:13:00Z</cp:lastPrinted>
  <dcterms:created xsi:type="dcterms:W3CDTF">2019-09-29T12:09:00Z</dcterms:created>
  <dcterms:modified xsi:type="dcterms:W3CDTF">2019-11-03T16:11:00Z</dcterms:modified>
</cp:coreProperties>
</file>