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E8" w:rsidRPr="004F3617" w:rsidRDefault="00F244E8" w:rsidP="00F244E8">
      <w:pPr>
        <w:pStyle w:val="a3"/>
        <w:tabs>
          <w:tab w:val="clear" w:pos="4153"/>
          <w:tab w:val="clear" w:pos="8306"/>
          <w:tab w:val="center" w:pos="4818"/>
          <w:tab w:val="right" w:pos="8220"/>
        </w:tabs>
        <w:spacing w:after="0"/>
        <w:rPr>
          <w:rFonts w:asciiTheme="minorBidi" w:hAnsiTheme="minorBidi" w:cstheme="minorBidi"/>
          <w:b/>
          <w:bCs/>
          <w:sz w:val="24"/>
          <w:szCs w:val="24"/>
          <w:rtl/>
        </w:rPr>
      </w:pPr>
      <w:bookmarkStart w:id="0" w:name="_GoBack"/>
      <w:bookmarkEnd w:id="0"/>
      <w:r w:rsidRPr="004F3617">
        <w:rPr>
          <w:rFonts w:asciiTheme="minorBidi" w:hAnsiTheme="minorBidi" w:cstheme="minorBidi"/>
          <w:b/>
          <w:bCs/>
          <w:sz w:val="24"/>
          <w:szCs w:val="24"/>
          <w:rtl/>
        </w:rPr>
        <w:t xml:space="preserve">בית המדרש </w:t>
      </w:r>
      <w:proofErr w:type="spellStart"/>
      <w:r w:rsidRPr="004F3617">
        <w:rPr>
          <w:rFonts w:asciiTheme="minorBidi" w:hAnsiTheme="minorBidi" w:cstheme="minorBidi"/>
          <w:b/>
          <w:bCs/>
          <w:sz w:val="24"/>
          <w:szCs w:val="24"/>
          <w:rtl/>
        </w:rPr>
        <w:t>הוירטואלי</w:t>
      </w:r>
      <w:proofErr w:type="spellEnd"/>
      <w:r w:rsidRPr="004F3617">
        <w:rPr>
          <w:rFonts w:asciiTheme="minorBidi" w:hAnsiTheme="minorBidi" w:cstheme="minorBidi"/>
          <w:b/>
          <w:bCs/>
          <w:sz w:val="24"/>
          <w:szCs w:val="24"/>
          <w:rtl/>
        </w:rPr>
        <w:t xml:space="preserve"> (</w:t>
      </w:r>
      <w:r w:rsidRPr="004F3617">
        <w:rPr>
          <w:rFonts w:asciiTheme="minorBidi" w:hAnsiTheme="minorBidi" w:cstheme="minorBidi"/>
          <w:b/>
          <w:bCs/>
          <w:sz w:val="24"/>
          <w:szCs w:val="24"/>
        </w:rPr>
        <w:t>V.B.M</w:t>
      </w:r>
      <w:r w:rsidRPr="004F3617">
        <w:rPr>
          <w:rFonts w:asciiTheme="minorBidi" w:hAnsiTheme="minorBidi" w:cstheme="minorBidi"/>
          <w:b/>
          <w:bCs/>
          <w:sz w:val="24"/>
          <w:szCs w:val="24"/>
          <w:rtl/>
        </w:rPr>
        <w:t>) שליד ישיבת הר עציון</w:t>
      </w:r>
    </w:p>
    <w:p w:rsidR="00F244E8" w:rsidRPr="004F3617" w:rsidRDefault="00F244E8" w:rsidP="00F244E8">
      <w:pPr>
        <w:rPr>
          <w:rFonts w:asciiTheme="minorBidi" w:hAnsiTheme="minorBidi"/>
          <w:b/>
          <w:bCs/>
          <w:sz w:val="24"/>
          <w:szCs w:val="24"/>
        </w:rPr>
      </w:pPr>
      <w:r w:rsidRPr="004F3617">
        <w:rPr>
          <w:rFonts w:asciiTheme="minorBidi" w:hAnsiTheme="minorBidi"/>
          <w:b/>
          <w:bCs/>
          <w:sz w:val="24"/>
          <w:szCs w:val="24"/>
          <w:rtl/>
        </w:rPr>
        <w:t>שיעורים בעיון בגמרה מאת רבני הישיבה</w:t>
      </w:r>
    </w:p>
    <w:p w:rsidR="00F244E8" w:rsidRPr="004F3617" w:rsidRDefault="00F244E8" w:rsidP="00F244E8">
      <w:pPr>
        <w:rPr>
          <w:rFonts w:asciiTheme="minorBidi" w:hAnsiTheme="minorBidi"/>
          <w:sz w:val="24"/>
          <w:szCs w:val="24"/>
        </w:rPr>
      </w:pP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לימוד מסכת פסחים בזמן קיץ</w:t>
      </w:r>
    </w:p>
    <w:p w:rsidR="00F244E8" w:rsidRPr="004F3617" w:rsidRDefault="00F244E8" w:rsidP="00F244E8">
      <w:pPr>
        <w:rPr>
          <w:rFonts w:asciiTheme="minorBidi" w:hAnsiTheme="minorBidi"/>
          <w:sz w:val="24"/>
          <w:szCs w:val="24"/>
          <w:rtl/>
        </w:rPr>
      </w:pP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 xml:space="preserve">השבוע סיימנו </w:t>
      </w:r>
      <w:proofErr w:type="spellStart"/>
      <w:r w:rsidRPr="004F3617">
        <w:rPr>
          <w:rFonts w:asciiTheme="minorBidi" w:hAnsiTheme="minorBidi"/>
          <w:sz w:val="24"/>
          <w:szCs w:val="24"/>
          <w:rtl/>
        </w:rPr>
        <w:t>בעז"ה</w:t>
      </w:r>
      <w:proofErr w:type="spellEnd"/>
      <w:r w:rsidRPr="004F3617">
        <w:rPr>
          <w:rFonts w:asciiTheme="minorBidi" w:hAnsiTheme="minorBidi"/>
          <w:sz w:val="24"/>
          <w:szCs w:val="24"/>
          <w:rtl/>
        </w:rPr>
        <w:t xml:space="preserve"> את הלימוד במסכת גיטין. בשבוע הבא נפתח את הלימוד לזמן קיץ, תשע"ט.</w:t>
      </w: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 xml:space="preserve">בזמן הזה נלמד את הפרק השני </w:t>
      </w:r>
      <w:r w:rsidRPr="004F3617">
        <w:rPr>
          <w:rFonts w:asciiTheme="minorBidi" w:hAnsiTheme="minorBidi"/>
          <w:b/>
          <w:bCs/>
          <w:sz w:val="24"/>
          <w:szCs w:val="24"/>
          <w:rtl/>
        </w:rPr>
        <w:t>במסכת פסחים</w:t>
      </w:r>
      <w:r w:rsidRPr="004F3617">
        <w:rPr>
          <w:rFonts w:asciiTheme="minorBidi" w:hAnsiTheme="minorBidi"/>
          <w:sz w:val="24"/>
          <w:szCs w:val="24"/>
          <w:rtl/>
        </w:rPr>
        <w:t>. הסוגיות עוסקות רובן ככולן בדיני איסורי הנאה (לאו דווקא חמץ) ובנושאים נושקים, ומהווים יחידה שלימה ורציפה ביסוד הלכתי זה.</w:t>
      </w: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אנו נתחיל בדף כ"א:, שם מתחיל הדיון של הגמרא במקור של איסורי הנאה של תורה.</w:t>
      </w:r>
    </w:p>
    <w:p w:rsidR="00F244E8" w:rsidRPr="004F3617" w:rsidRDefault="00F244E8" w:rsidP="00F244E8">
      <w:pPr>
        <w:rPr>
          <w:rFonts w:asciiTheme="minorBidi" w:hAnsiTheme="minorBidi"/>
          <w:b/>
          <w:bCs/>
          <w:sz w:val="24"/>
          <w:szCs w:val="24"/>
          <w:rtl/>
        </w:rPr>
      </w:pPr>
      <w:r w:rsidRPr="004F3617">
        <w:rPr>
          <w:rFonts w:asciiTheme="minorBidi" w:hAnsiTheme="minorBidi"/>
          <w:b/>
          <w:bCs/>
          <w:color w:val="FF0000"/>
          <w:sz w:val="24"/>
          <w:szCs w:val="24"/>
          <w:rtl/>
        </w:rPr>
        <w:t xml:space="preserve">זוהי גם הזדמנות ללומדים חדשים להצטרף ללימוד גמרא בעיון, בליווי השיעורים השבועיים של בית המדרש </w:t>
      </w:r>
      <w:proofErr w:type="spellStart"/>
      <w:r w:rsidRPr="004F3617">
        <w:rPr>
          <w:rFonts w:asciiTheme="minorBidi" w:hAnsiTheme="minorBidi"/>
          <w:b/>
          <w:bCs/>
          <w:color w:val="FF0000"/>
          <w:sz w:val="24"/>
          <w:szCs w:val="24"/>
          <w:rtl/>
        </w:rPr>
        <w:t>הוירטואלי</w:t>
      </w:r>
      <w:proofErr w:type="spellEnd"/>
      <w:r w:rsidRPr="004F3617">
        <w:rPr>
          <w:rFonts w:asciiTheme="minorBidi" w:hAnsiTheme="minorBidi"/>
          <w:b/>
          <w:bCs/>
          <w:sz w:val="24"/>
          <w:szCs w:val="24"/>
          <w:rtl/>
        </w:rPr>
        <w:t>.</w:t>
      </w: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השיעורים נכתבו על ידי הרב עזרא ביק. השיעור הראשון יצא בשבוע הבא.</w:t>
      </w: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מראי מקומות לשיעור הראשון מצורפים.</w:t>
      </w:r>
    </w:p>
    <w:p w:rsidR="00F244E8" w:rsidRPr="004F3617" w:rsidRDefault="00F244E8" w:rsidP="004F3617">
      <w:pPr>
        <w:rPr>
          <w:rFonts w:asciiTheme="minorBidi" w:hAnsiTheme="minorBidi"/>
          <w:sz w:val="24"/>
          <w:szCs w:val="24"/>
          <w:rtl/>
        </w:rPr>
      </w:pPr>
      <w:r w:rsidRPr="004F3617">
        <w:rPr>
          <w:rFonts w:asciiTheme="minorBidi" w:hAnsiTheme="minorBidi"/>
          <w:sz w:val="24"/>
          <w:szCs w:val="24"/>
          <w:rtl/>
        </w:rPr>
        <w:t xml:space="preserve">אם אינכם רשומים לשיעורי הגמרא, אפשר להצטרף באתר – </w:t>
      </w:r>
      <w:hyperlink r:id="rId5" w:history="1">
        <w:r w:rsidRPr="004F3617">
          <w:rPr>
            <w:rStyle w:val="Hyperlink"/>
            <w:rFonts w:asciiTheme="minorBidi" w:hAnsiTheme="minorBidi"/>
            <w:sz w:val="24"/>
            <w:szCs w:val="24"/>
          </w:rPr>
          <w:t>http://etzion.org.il</w:t>
        </w:r>
      </w:hyperlink>
      <w:r w:rsidR="00974ADB" w:rsidRPr="004F3617">
        <w:rPr>
          <w:rFonts w:asciiTheme="minorBidi" w:hAnsiTheme="minorBidi"/>
          <w:sz w:val="24"/>
          <w:szCs w:val="24"/>
          <w:rtl/>
        </w:rPr>
        <w:t xml:space="preserve"> – פשוט </w:t>
      </w:r>
      <w:r w:rsidR="004F3617" w:rsidRPr="004F3617">
        <w:rPr>
          <w:rFonts w:asciiTheme="minorBidi" w:hAnsiTheme="minorBidi"/>
          <w:sz w:val="24"/>
          <w:szCs w:val="24"/>
          <w:rtl/>
        </w:rPr>
        <w:t xml:space="preserve">מוסיפים גמרא גיטין / פסחים </w:t>
      </w:r>
      <w:r w:rsidR="00974ADB" w:rsidRPr="004F3617">
        <w:rPr>
          <w:rFonts w:asciiTheme="minorBidi" w:hAnsiTheme="minorBidi"/>
          <w:sz w:val="24"/>
          <w:szCs w:val="24"/>
          <w:rtl/>
        </w:rPr>
        <w:t>בדף הרישום. נתקלים בבעיה? כתבו אלינו ונעזור.</w:t>
      </w:r>
    </w:p>
    <w:p w:rsidR="00F244E8" w:rsidRPr="004F3617" w:rsidRDefault="00F244E8" w:rsidP="00F244E8">
      <w:pPr>
        <w:rPr>
          <w:rFonts w:asciiTheme="minorBidi" w:hAnsiTheme="minorBidi"/>
          <w:sz w:val="24"/>
          <w:szCs w:val="24"/>
        </w:rPr>
      </w:pPr>
    </w:p>
    <w:p w:rsidR="00F244E8" w:rsidRPr="004F3617" w:rsidRDefault="00F244E8" w:rsidP="00F244E8">
      <w:pPr>
        <w:rPr>
          <w:rFonts w:asciiTheme="minorBidi" w:hAnsiTheme="minorBidi"/>
          <w:sz w:val="24"/>
          <w:szCs w:val="24"/>
          <w:rtl/>
        </w:rPr>
      </w:pPr>
      <w:r w:rsidRPr="004F3617">
        <w:rPr>
          <w:rFonts w:asciiTheme="minorBidi" w:hAnsiTheme="minorBidi"/>
          <w:sz w:val="24"/>
          <w:szCs w:val="24"/>
          <w:rtl/>
        </w:rPr>
        <w:t>מקורות:</w:t>
      </w:r>
    </w:p>
    <w:p w:rsidR="00F244E8" w:rsidRPr="004F3617" w:rsidRDefault="00F244E8" w:rsidP="00F244E8">
      <w:pPr>
        <w:spacing w:line="360" w:lineRule="auto"/>
        <w:rPr>
          <w:rFonts w:asciiTheme="minorBidi" w:hAnsiTheme="minorBidi"/>
          <w:sz w:val="24"/>
          <w:szCs w:val="24"/>
        </w:rPr>
      </w:pPr>
      <w:r w:rsidRPr="004F3617">
        <w:rPr>
          <w:rFonts w:asciiTheme="minorBidi" w:hAnsiTheme="minorBidi"/>
          <w:sz w:val="24"/>
          <w:szCs w:val="24"/>
          <w:rtl/>
        </w:rPr>
        <w:t xml:space="preserve">בשיעור הבא נתחיל לדון בעניין איסורי הנאה. יש להכין את הגמרא </w:t>
      </w:r>
      <w:proofErr w:type="spellStart"/>
      <w:r w:rsidRPr="004F3617">
        <w:rPr>
          <w:rFonts w:asciiTheme="minorBidi" w:hAnsiTheme="minorBidi"/>
          <w:sz w:val="24"/>
          <w:szCs w:val="24"/>
          <w:rtl/>
        </w:rPr>
        <w:t>מכא</w:t>
      </w:r>
      <w:proofErr w:type="spellEnd"/>
      <w:r w:rsidRPr="004F3617">
        <w:rPr>
          <w:rFonts w:asciiTheme="minorBidi" w:hAnsiTheme="minorBidi"/>
          <w:sz w:val="24"/>
          <w:szCs w:val="24"/>
          <w:rtl/>
        </w:rPr>
        <w:t xml:space="preserve">:, "אמר חזקיה" עד </w:t>
      </w:r>
      <w:proofErr w:type="spellStart"/>
      <w:r w:rsidRPr="004F3617">
        <w:rPr>
          <w:rFonts w:asciiTheme="minorBidi" w:hAnsiTheme="minorBidi"/>
          <w:sz w:val="24"/>
          <w:szCs w:val="24"/>
          <w:rtl/>
        </w:rPr>
        <w:t>לכב</w:t>
      </w:r>
      <w:proofErr w:type="spellEnd"/>
      <w:r w:rsidRPr="004F3617">
        <w:rPr>
          <w:rFonts w:asciiTheme="minorBidi" w:hAnsiTheme="minorBidi"/>
          <w:sz w:val="24"/>
          <w:szCs w:val="24"/>
          <w:rtl/>
        </w:rPr>
        <w:t xml:space="preserve">., "חולין שנשחטו בעזרה לאו דאורייתא היא". השאלה הראשונה הנשאלת, היא מהו המקור להכריז על חפץ כלשהו כעל איסור הנאה, היות שאיסור זה לא נאמר בפירוש בתורה. שאלה נוספת, חשובה לא פחות, היא מה טבעו של איסור ההנאה </w:t>
      </w:r>
      <w:proofErr w:type="spellStart"/>
      <w:r w:rsidRPr="004F3617">
        <w:rPr>
          <w:rFonts w:asciiTheme="minorBidi" w:hAnsiTheme="minorBidi"/>
          <w:sz w:val="24"/>
          <w:szCs w:val="24"/>
          <w:rtl/>
        </w:rPr>
        <w:t>בתהחשב</w:t>
      </w:r>
      <w:proofErr w:type="spellEnd"/>
      <w:r w:rsidRPr="004F3617">
        <w:rPr>
          <w:rFonts w:asciiTheme="minorBidi" w:hAnsiTheme="minorBidi"/>
          <w:sz w:val="24"/>
          <w:szCs w:val="24"/>
          <w:rtl/>
        </w:rPr>
        <w:t xml:space="preserve"> בלימודים המופיעים בגמרא, ומה היחס בין איסור הנאה ובין איסור אכילה. עיין:</w:t>
      </w:r>
    </w:p>
    <w:p w:rsidR="00F244E8" w:rsidRPr="004F3617" w:rsidRDefault="00F244E8" w:rsidP="002B18F5">
      <w:pPr>
        <w:pStyle w:val="Normal1"/>
        <w:bidi/>
        <w:spacing w:before="0" w:beforeAutospacing="0" w:after="0" w:afterAutospacing="0"/>
        <w:jc w:val="both"/>
        <w:rPr>
          <w:rFonts w:asciiTheme="minorBidi" w:hAnsiTheme="minorBidi" w:cstheme="minorBidi"/>
          <w:color w:val="333333"/>
          <w:rtl/>
        </w:rPr>
      </w:pPr>
      <w:r w:rsidRPr="004F3617">
        <w:rPr>
          <w:rFonts w:asciiTheme="minorBidi" w:hAnsiTheme="minorBidi" w:cstheme="minorBidi"/>
          <w:color w:val="333333"/>
          <w:rtl/>
        </w:rPr>
        <w:t xml:space="preserve">רמב"ם, הלכות מאכלות אסורות ח, טו- </w:t>
      </w:r>
      <w:proofErr w:type="spellStart"/>
      <w:r w:rsidRPr="004F3617">
        <w:rPr>
          <w:rFonts w:asciiTheme="minorBidi" w:hAnsiTheme="minorBidi" w:cstheme="minorBidi"/>
          <w:color w:val="333333"/>
          <w:rtl/>
        </w:rPr>
        <w:t>טז</w:t>
      </w:r>
      <w:proofErr w:type="spellEnd"/>
      <w:r w:rsidRPr="004F3617">
        <w:rPr>
          <w:rFonts w:asciiTheme="minorBidi" w:hAnsiTheme="minorBidi" w:cstheme="minorBidi"/>
          <w:color w:val="333333"/>
          <w:rtl/>
        </w:rPr>
        <w:t xml:space="preserve">; ט, א; חמץ ומצה א, ב; ספר המצוות, לאו </w:t>
      </w:r>
      <w:proofErr w:type="spellStart"/>
      <w:r w:rsidR="002B18F5">
        <w:rPr>
          <w:rFonts w:asciiTheme="minorBidi" w:hAnsiTheme="minorBidi" w:cstheme="minorBidi" w:hint="cs"/>
          <w:color w:val="333333"/>
          <w:rtl/>
        </w:rPr>
        <w:t>ק</w:t>
      </w:r>
      <w:r w:rsidRPr="004F3617">
        <w:rPr>
          <w:rFonts w:asciiTheme="minorBidi" w:hAnsiTheme="minorBidi" w:cstheme="minorBidi"/>
          <w:color w:val="333333"/>
          <w:rtl/>
        </w:rPr>
        <w:t>פו</w:t>
      </w:r>
      <w:proofErr w:type="spellEnd"/>
      <w:r w:rsidRPr="004F3617">
        <w:rPr>
          <w:rFonts w:asciiTheme="minorBidi" w:hAnsiTheme="minorBidi" w:cstheme="minorBidi"/>
          <w:color w:val="333333"/>
          <w:rtl/>
        </w:rPr>
        <w:t xml:space="preserve"> - </w:t>
      </w:r>
      <w:proofErr w:type="spellStart"/>
      <w:r w:rsidR="002B18F5">
        <w:rPr>
          <w:rFonts w:asciiTheme="minorBidi" w:hAnsiTheme="minorBidi" w:cstheme="minorBidi" w:hint="cs"/>
          <w:color w:val="333333"/>
          <w:rtl/>
        </w:rPr>
        <w:t>ק</w:t>
      </w:r>
      <w:r w:rsidRPr="004F3617">
        <w:rPr>
          <w:rFonts w:asciiTheme="minorBidi" w:hAnsiTheme="minorBidi" w:cstheme="minorBidi"/>
          <w:color w:val="333333"/>
          <w:rtl/>
        </w:rPr>
        <w:t>פז</w:t>
      </w:r>
      <w:proofErr w:type="spellEnd"/>
      <w:r w:rsidRPr="004F3617">
        <w:rPr>
          <w:rFonts w:asciiTheme="minorBidi" w:hAnsiTheme="minorBidi" w:cstheme="minorBidi"/>
          <w:color w:val="333333"/>
          <w:rtl/>
        </w:rPr>
        <w:t xml:space="preserve"> (חשוב מאד). ניתן לעיין פה</w:t>
      </w:r>
      <w:r w:rsidRPr="004F3617">
        <w:rPr>
          <w:rFonts w:asciiTheme="minorBidi" w:hAnsiTheme="minorBidi" w:cstheme="minorBidi"/>
          <w:color w:val="333333"/>
        </w:rPr>
        <w:t>: </w:t>
      </w:r>
    </w:p>
    <w:p w:rsidR="00F244E8" w:rsidRPr="004F3617" w:rsidRDefault="00F244E8" w:rsidP="00F244E8">
      <w:pPr>
        <w:pStyle w:val="Normal1"/>
        <w:bidi/>
        <w:spacing w:before="0" w:beforeAutospacing="0" w:after="0" w:afterAutospacing="0"/>
        <w:jc w:val="both"/>
        <w:rPr>
          <w:rFonts w:asciiTheme="minorBidi" w:hAnsiTheme="minorBidi" w:cstheme="minorBidi"/>
          <w:color w:val="333333"/>
        </w:rPr>
      </w:pPr>
    </w:p>
    <w:p w:rsidR="002B18F5" w:rsidRDefault="008B093B" w:rsidP="002B18F5">
      <w:pPr>
        <w:pStyle w:val="CC"/>
        <w:keepLines w:val="0"/>
        <w:spacing w:after="0"/>
        <w:ind w:right="0" w:firstLine="0"/>
        <w:jc w:val="both"/>
        <w:rPr>
          <w:rFonts w:ascii="Arial" w:hAnsi="Arial" w:cs="Arial"/>
          <w:sz w:val="24"/>
          <w:szCs w:val="24"/>
          <w:rtl/>
        </w:rPr>
      </w:pPr>
      <w:hyperlink r:id="rId6" w:history="1">
        <w:r w:rsidR="002B18F5" w:rsidRPr="00552AED">
          <w:rPr>
            <w:rStyle w:val="Hyperlink"/>
            <w:rFonts w:ascii="Arial" w:hAnsi="Arial" w:cs="Arial" w:hint="cs"/>
            <w:sz w:val="24"/>
            <w:szCs w:val="24"/>
            <w:rtl/>
          </w:rPr>
          <w:t xml:space="preserve">מצות לאו </w:t>
        </w:r>
        <w:proofErr w:type="spellStart"/>
        <w:r w:rsidR="002B18F5" w:rsidRPr="00552AED">
          <w:rPr>
            <w:rStyle w:val="Hyperlink"/>
            <w:rFonts w:ascii="Arial" w:hAnsi="Arial" w:cs="Arial" w:hint="cs"/>
            <w:sz w:val="24"/>
            <w:szCs w:val="24"/>
            <w:rtl/>
          </w:rPr>
          <w:t>קפו</w:t>
        </w:r>
        <w:proofErr w:type="spellEnd"/>
        <w:r w:rsidR="002B18F5" w:rsidRPr="00552AED">
          <w:rPr>
            <w:rStyle w:val="Hyperlink"/>
            <w:rFonts w:ascii="Arial" w:hAnsi="Arial" w:cs="Arial" w:hint="cs"/>
            <w:sz w:val="24"/>
            <w:szCs w:val="24"/>
            <w:rtl/>
          </w:rPr>
          <w:t xml:space="preserve"> – לא לבשל בשר בחלב</w:t>
        </w:r>
      </w:hyperlink>
    </w:p>
    <w:p w:rsidR="002B18F5" w:rsidRDefault="008B093B" w:rsidP="002B18F5">
      <w:pPr>
        <w:pStyle w:val="CC"/>
        <w:keepLines w:val="0"/>
        <w:spacing w:after="0"/>
        <w:ind w:right="0" w:firstLine="0"/>
        <w:jc w:val="both"/>
        <w:rPr>
          <w:rFonts w:ascii="Arial" w:hAnsi="Arial" w:cs="Arial"/>
          <w:sz w:val="24"/>
          <w:szCs w:val="24"/>
          <w:rtl/>
        </w:rPr>
      </w:pPr>
      <w:hyperlink r:id="rId7" w:history="1">
        <w:r w:rsidR="002B18F5" w:rsidRPr="00552AED">
          <w:rPr>
            <w:rStyle w:val="Hyperlink"/>
            <w:rFonts w:ascii="Arial" w:hAnsi="Arial" w:cs="Arial"/>
            <w:sz w:val="24"/>
            <w:szCs w:val="24"/>
            <w:rtl/>
          </w:rPr>
          <w:t xml:space="preserve">מצות לאו </w:t>
        </w:r>
        <w:proofErr w:type="spellStart"/>
        <w:r w:rsidR="002B18F5" w:rsidRPr="00552AED">
          <w:rPr>
            <w:rStyle w:val="Hyperlink"/>
            <w:rFonts w:ascii="Arial" w:hAnsi="Arial" w:cs="Arial"/>
            <w:sz w:val="24"/>
            <w:szCs w:val="24"/>
            <w:rtl/>
          </w:rPr>
          <w:t>קפז</w:t>
        </w:r>
        <w:proofErr w:type="spellEnd"/>
        <w:r w:rsidR="002B18F5" w:rsidRPr="00552AED">
          <w:rPr>
            <w:rStyle w:val="Hyperlink"/>
            <w:rFonts w:ascii="Arial" w:hAnsi="Arial" w:cs="Arial"/>
            <w:sz w:val="24"/>
            <w:szCs w:val="24"/>
            <w:rtl/>
          </w:rPr>
          <w:t xml:space="preserve"> - לא לאכול בשר בחלב</w:t>
        </w:r>
      </w:hyperlink>
    </w:p>
    <w:p w:rsidR="00F244E8" w:rsidRPr="004F3617" w:rsidRDefault="00F244E8" w:rsidP="00F244E8">
      <w:pPr>
        <w:pStyle w:val="Normal1"/>
        <w:bidi/>
        <w:spacing w:before="0" w:beforeAutospacing="0" w:after="0" w:afterAutospacing="0"/>
        <w:rPr>
          <w:rFonts w:asciiTheme="minorBidi" w:hAnsiTheme="minorBidi" w:cstheme="minorBidi"/>
          <w:color w:val="333333"/>
          <w:rtl/>
        </w:rPr>
      </w:pPr>
    </w:p>
    <w:p w:rsidR="00F244E8" w:rsidRPr="004F3617" w:rsidRDefault="00F244E8" w:rsidP="00F244E8">
      <w:pPr>
        <w:pStyle w:val="Normal1"/>
        <w:bidi/>
        <w:spacing w:before="0" w:beforeAutospacing="0" w:after="0" w:afterAutospacing="0"/>
        <w:rPr>
          <w:rFonts w:asciiTheme="minorBidi" w:hAnsiTheme="minorBidi" w:cstheme="minorBidi"/>
          <w:color w:val="333333"/>
          <w:rtl/>
        </w:rPr>
      </w:pPr>
      <w:r w:rsidRPr="004F3617">
        <w:rPr>
          <w:rFonts w:asciiTheme="minorBidi" w:hAnsiTheme="minorBidi" w:cstheme="minorBidi"/>
          <w:color w:val="333333"/>
          <w:rtl/>
        </w:rPr>
        <w:t>רמב"ם: פירוש המשנה למסכת כריתות ד, ג</w:t>
      </w:r>
      <w:r w:rsidRPr="004F3617">
        <w:rPr>
          <w:rFonts w:asciiTheme="minorBidi" w:hAnsiTheme="minorBidi" w:cstheme="minorBidi"/>
          <w:color w:val="333333"/>
        </w:rPr>
        <w:t>.</w:t>
      </w:r>
    </w:p>
    <w:p w:rsidR="00F244E8" w:rsidRPr="004F3617" w:rsidRDefault="00F244E8" w:rsidP="00F244E8">
      <w:pPr>
        <w:spacing w:line="360" w:lineRule="auto"/>
        <w:rPr>
          <w:rFonts w:asciiTheme="minorBidi" w:hAnsiTheme="minorBidi"/>
          <w:sz w:val="24"/>
          <w:szCs w:val="24"/>
        </w:rPr>
      </w:pPr>
    </w:p>
    <w:p w:rsidR="00F23669" w:rsidRPr="004F3617" w:rsidRDefault="00F23669">
      <w:pPr>
        <w:rPr>
          <w:rFonts w:asciiTheme="minorBidi" w:hAnsiTheme="minorBidi"/>
          <w:sz w:val="24"/>
          <w:szCs w:val="24"/>
        </w:rPr>
      </w:pPr>
    </w:p>
    <w:sectPr w:rsidR="00F23669" w:rsidRPr="004F36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E8"/>
    <w:rsid w:val="002B18F5"/>
    <w:rsid w:val="004F3617"/>
    <w:rsid w:val="005D5F7E"/>
    <w:rsid w:val="00877B9A"/>
    <w:rsid w:val="008B093B"/>
    <w:rsid w:val="00974ADB"/>
    <w:rsid w:val="00F23669"/>
    <w:rsid w:val="00F244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12285-A66B-405F-A12F-FB44F9D8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E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244E8"/>
    <w:rPr>
      <w:color w:val="0000FF" w:themeColor="hyperlink"/>
      <w:u w:val="single"/>
    </w:rPr>
  </w:style>
  <w:style w:type="paragraph" w:customStyle="1" w:styleId="Normal1">
    <w:name w:val="Normal1"/>
    <w:basedOn w:val="a"/>
    <w:rsid w:val="00F244E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rsid w:val="00F244E8"/>
    <w:pPr>
      <w:tabs>
        <w:tab w:val="center" w:pos="4153"/>
        <w:tab w:val="right" w:pos="8306"/>
      </w:tabs>
      <w:autoSpaceDE w:val="0"/>
      <w:autoSpaceDN w:val="0"/>
      <w:spacing w:after="80" w:line="280" w:lineRule="exact"/>
      <w:jc w:val="both"/>
    </w:pPr>
    <w:rPr>
      <w:rFonts w:ascii="Times New Roman" w:eastAsia="Times New Roman" w:hAnsi="Times New Roman" w:cs="Narkisim"/>
      <w:sz w:val="20"/>
    </w:rPr>
  </w:style>
  <w:style w:type="character" w:customStyle="1" w:styleId="a4">
    <w:name w:val="כותרת עליונה תו"/>
    <w:basedOn w:val="a0"/>
    <w:link w:val="a3"/>
    <w:uiPriority w:val="99"/>
    <w:rsid w:val="00F244E8"/>
    <w:rPr>
      <w:rFonts w:ascii="Times New Roman" w:eastAsia="Times New Roman" w:hAnsi="Times New Roman" w:cs="Narkisim"/>
      <w:sz w:val="20"/>
    </w:rPr>
  </w:style>
  <w:style w:type="paragraph" w:customStyle="1" w:styleId="CC">
    <w:name w:val="CC"/>
    <w:basedOn w:val="a5"/>
    <w:rsid w:val="002B18F5"/>
    <w:pPr>
      <w:keepLines/>
      <w:overflowPunct w:val="0"/>
      <w:autoSpaceDE w:val="0"/>
      <w:autoSpaceDN w:val="0"/>
      <w:adjustRightInd w:val="0"/>
      <w:spacing w:after="160" w:line="240" w:lineRule="auto"/>
      <w:ind w:right="360" w:hanging="360"/>
      <w:textAlignment w:val="baseline"/>
    </w:pPr>
    <w:rPr>
      <w:rFonts w:ascii="Times New Roman" w:eastAsia="Times New Roman" w:hAnsi="Times New Roman" w:cs="Times New Roman"/>
      <w:sz w:val="20"/>
      <w:szCs w:val="20"/>
    </w:rPr>
  </w:style>
  <w:style w:type="paragraph" w:styleId="a5">
    <w:name w:val="Body Text"/>
    <w:basedOn w:val="a"/>
    <w:link w:val="a6"/>
    <w:uiPriority w:val="99"/>
    <w:semiHidden/>
    <w:unhideWhenUsed/>
    <w:rsid w:val="002B18F5"/>
    <w:pPr>
      <w:spacing w:after="120"/>
    </w:pPr>
  </w:style>
  <w:style w:type="character" w:customStyle="1" w:styleId="a6">
    <w:name w:val="גוף טקסט תו"/>
    <w:basedOn w:val="a0"/>
    <w:link w:val="a5"/>
    <w:uiPriority w:val="99"/>
    <w:semiHidden/>
    <w:rsid w:val="002B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source.org/wiki/%D7%A1%D7%A4%D7%A8_%D7%94%D7%9E%D7%A6%D7%95%D7%95%D7%AA_%D7%9C%D7%90%D7%95_%D7%A7%D7%A4%D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source.org/wiki/%D7%A1%D7%A4%D7%A8_%D7%94%D7%9E%D7%A6%D7%95%D7%95%D7%AA_%D7%9C%D7%90%D7%95_%D7%A7%D7%A4%D7%95" TargetMode="External"/><Relationship Id="rId5" Type="http://schemas.openxmlformats.org/officeDocument/2006/relationships/hyperlink" Target="http://etzion.org.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1419</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דבורה ברקוביץ</cp:lastModifiedBy>
  <cp:revision>2</cp:revision>
  <dcterms:created xsi:type="dcterms:W3CDTF">2019-06-19T11:13:00Z</dcterms:created>
  <dcterms:modified xsi:type="dcterms:W3CDTF">2019-06-19T11:13:00Z</dcterms:modified>
</cp:coreProperties>
</file>