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E71" w:rsidRPr="003D3E71" w:rsidRDefault="003D3E71" w:rsidP="00486647">
      <w:pPr>
        <w:pStyle w:val="CC"/>
        <w:keepLines w:val="0"/>
        <w:tabs>
          <w:tab w:val="left" w:pos="0"/>
        </w:tabs>
        <w:spacing w:afterLines="80" w:after="192" w:line="280" w:lineRule="exact"/>
        <w:ind w:right="0" w:firstLine="0"/>
        <w:jc w:val="both"/>
        <w:rPr>
          <w:rFonts w:ascii="Arial" w:hAnsi="Arial" w:cs="Narkisim"/>
          <w:sz w:val="22"/>
          <w:szCs w:val="22"/>
          <w:lang w:val="en-GB"/>
        </w:rPr>
      </w:pPr>
    </w:p>
    <w:p w:rsidR="003D3E71" w:rsidRPr="003D3E71" w:rsidRDefault="003D3E71" w:rsidP="00486647">
      <w:pPr>
        <w:pStyle w:val="CC"/>
        <w:keepLines w:val="0"/>
        <w:tabs>
          <w:tab w:val="left" w:pos="0"/>
        </w:tabs>
        <w:spacing w:afterLines="80" w:after="192" w:line="280" w:lineRule="exact"/>
        <w:ind w:right="0" w:firstLine="0"/>
        <w:jc w:val="both"/>
        <w:rPr>
          <w:rFonts w:ascii="Arial" w:hAnsi="Arial" w:cs="Narkisim"/>
          <w:sz w:val="22"/>
          <w:szCs w:val="22"/>
          <w:lang w:val="en-GB"/>
        </w:rPr>
      </w:pPr>
    </w:p>
    <w:p w:rsidR="00725459" w:rsidRPr="006533B2" w:rsidRDefault="00725459" w:rsidP="00486647">
      <w:pPr>
        <w:pStyle w:val="CC"/>
        <w:keepLines w:val="0"/>
        <w:tabs>
          <w:tab w:val="left" w:pos="0"/>
        </w:tabs>
        <w:spacing w:afterLines="80" w:after="192" w:line="280" w:lineRule="exact"/>
        <w:ind w:right="0" w:firstLine="0"/>
        <w:jc w:val="center"/>
        <w:rPr>
          <w:rFonts w:ascii="Arial" w:hAnsi="Arial" w:cs="Narkisim" w:hint="cs"/>
          <w:b/>
          <w:bCs/>
          <w:sz w:val="28"/>
          <w:szCs w:val="28"/>
          <w:rtl/>
          <w:lang w:val="en-GB"/>
        </w:rPr>
      </w:pPr>
      <w:r w:rsidRPr="006533B2">
        <w:rPr>
          <w:rFonts w:ascii="Arial" w:hAnsi="Arial" w:cs="Narkisim" w:hint="cs"/>
          <w:b/>
          <w:bCs/>
          <w:sz w:val="28"/>
          <w:szCs w:val="28"/>
          <w:rtl/>
          <w:lang w:val="en-GB"/>
        </w:rPr>
        <w:t xml:space="preserve">פרק ב' </w:t>
      </w:r>
      <w:r w:rsidRPr="006533B2">
        <w:rPr>
          <w:rFonts w:ascii="Arial" w:hAnsi="Arial" w:cs="Narkisim"/>
          <w:b/>
          <w:bCs/>
          <w:sz w:val="28"/>
          <w:szCs w:val="28"/>
          <w:rtl/>
          <w:lang w:val="en-GB"/>
        </w:rPr>
        <w:t>–</w:t>
      </w:r>
      <w:r w:rsidRPr="006533B2">
        <w:rPr>
          <w:rFonts w:ascii="Arial" w:hAnsi="Arial" w:cs="Narkisim" w:hint="cs"/>
          <w:b/>
          <w:bCs/>
          <w:sz w:val="28"/>
          <w:szCs w:val="28"/>
          <w:rtl/>
          <w:lang w:val="en-GB"/>
        </w:rPr>
        <w:t xml:space="preserve"> דף כ"ד:</w:t>
      </w:r>
      <w:r w:rsidR="003D3E71">
        <w:rPr>
          <w:rFonts w:ascii="Arial" w:hAnsi="Arial" w:cs="Narkisim" w:hint="cs"/>
          <w:b/>
          <w:bCs/>
          <w:sz w:val="28"/>
          <w:szCs w:val="28"/>
          <w:rtl/>
          <w:lang w:val="en-GB"/>
        </w:rPr>
        <w:t xml:space="preserve"> - כה.</w:t>
      </w:r>
    </w:p>
    <w:p w:rsidR="00725459" w:rsidRDefault="003D3E71" w:rsidP="00486647">
      <w:pPr>
        <w:pStyle w:val="CC"/>
        <w:keepLines w:val="0"/>
        <w:tabs>
          <w:tab w:val="left" w:pos="0"/>
        </w:tabs>
        <w:spacing w:afterLines="80" w:after="192" w:line="280" w:lineRule="exact"/>
        <w:ind w:right="0" w:firstLine="0"/>
        <w:jc w:val="center"/>
        <w:rPr>
          <w:rFonts w:cs="Narkisim" w:hint="cs"/>
          <w:b/>
          <w:bCs/>
          <w:sz w:val="28"/>
          <w:szCs w:val="28"/>
          <w:rtl/>
        </w:rPr>
      </w:pPr>
      <w:r w:rsidRPr="003D3E71">
        <w:rPr>
          <w:rFonts w:cs="Narkisim" w:hint="cs"/>
          <w:b/>
          <w:bCs/>
          <w:sz w:val="28"/>
          <w:szCs w:val="28"/>
          <w:rtl/>
        </w:rPr>
        <w:t>פיקוח נפש</w:t>
      </w:r>
    </w:p>
    <w:p w:rsidR="003D3E71" w:rsidRPr="003D3E71" w:rsidRDefault="003D3E71" w:rsidP="00486647">
      <w:pPr>
        <w:pStyle w:val="CC"/>
        <w:keepLines w:val="0"/>
        <w:tabs>
          <w:tab w:val="left" w:pos="0"/>
        </w:tabs>
        <w:spacing w:afterLines="80" w:after="192" w:line="280" w:lineRule="exact"/>
        <w:ind w:right="0" w:firstLine="0"/>
        <w:jc w:val="center"/>
        <w:rPr>
          <w:rFonts w:ascii="Arial" w:hAnsi="Arial" w:cs="Narkisim"/>
          <w:b/>
          <w:bCs/>
          <w:sz w:val="28"/>
          <w:szCs w:val="28"/>
          <w:rtl/>
          <w:lang w:val="en-GB"/>
        </w:rPr>
      </w:pPr>
    </w:p>
    <w:p w:rsidR="00725459" w:rsidRPr="00B64FA3" w:rsidRDefault="00725459" w:rsidP="00486647">
      <w:pPr>
        <w:pStyle w:val="CC"/>
        <w:keepLines w:val="0"/>
        <w:tabs>
          <w:tab w:val="left" w:pos="0"/>
        </w:tabs>
        <w:spacing w:afterLines="80" w:after="192" w:line="280" w:lineRule="exact"/>
        <w:ind w:right="0" w:firstLine="0"/>
        <w:jc w:val="center"/>
        <w:rPr>
          <w:rFonts w:ascii="Arial" w:hAnsi="Arial" w:cs="Narkisim"/>
          <w:sz w:val="28"/>
          <w:szCs w:val="28"/>
          <w:lang w:val="en-GB"/>
        </w:rPr>
      </w:pPr>
      <w:r w:rsidRPr="006533B2">
        <w:rPr>
          <w:rFonts w:ascii="Arial" w:hAnsi="Arial" w:cs="Narkisim" w:hint="cs"/>
          <w:b/>
          <w:bCs/>
          <w:sz w:val="28"/>
          <w:szCs w:val="28"/>
          <w:rtl/>
          <w:lang w:val="en-GB"/>
        </w:rPr>
        <w:t>הרב עזרא ביק</w:t>
      </w:r>
    </w:p>
    <w:p w:rsidR="008108E7" w:rsidRDefault="008108E7" w:rsidP="00486647">
      <w:pPr>
        <w:spacing w:afterLines="80" w:after="192"/>
        <w:jc w:val="center"/>
        <w:rPr>
          <w:rFonts w:hint="cs"/>
          <w:rtl/>
        </w:rPr>
      </w:pPr>
    </w:p>
    <w:p w:rsidR="00486647" w:rsidRPr="00486647" w:rsidRDefault="00486647" w:rsidP="00486647">
      <w:pPr>
        <w:spacing w:before="100" w:beforeAutospacing="1" w:afterLines="80" w:after="192"/>
        <w:rPr>
          <w:rFonts w:ascii="Arial" w:hAnsi="Arial" w:cs="Arial"/>
          <w:sz w:val="22"/>
          <w:rtl/>
        </w:rPr>
      </w:pPr>
      <w:r w:rsidRPr="00486647">
        <w:rPr>
          <w:rFonts w:ascii="Arial" w:hAnsi="Arial" w:hint="cs"/>
          <w:sz w:val="22"/>
          <w:rtl/>
        </w:rPr>
        <w:t xml:space="preserve">מקורות: </w:t>
      </w:r>
    </w:p>
    <w:p w:rsidR="00486647" w:rsidRPr="00486647" w:rsidRDefault="00486647" w:rsidP="00486647">
      <w:pPr>
        <w:spacing w:before="100" w:beforeAutospacing="1" w:afterLines="80" w:after="192"/>
        <w:rPr>
          <w:rFonts w:ascii="Narkisim" w:hAnsi="Narkisim"/>
          <w:sz w:val="22"/>
        </w:rPr>
      </w:pPr>
      <w:r w:rsidRPr="00486647">
        <w:rPr>
          <w:rFonts w:ascii="Narkisim" w:hAnsi="Narkisim"/>
          <w:sz w:val="22"/>
          <w:rtl/>
        </w:rPr>
        <w:t>גמרא כד: מיתיבי איסי בן יהודה... כה. לא הוסיף לא</w:t>
      </w:r>
    </w:p>
    <w:p w:rsidR="00486647" w:rsidRPr="00486647" w:rsidRDefault="00486647" w:rsidP="00486647">
      <w:pPr>
        <w:spacing w:before="100" w:beforeAutospacing="1" w:afterLines="80" w:after="192"/>
        <w:rPr>
          <w:rFonts w:ascii="Narkisim" w:hAnsi="Narkisim"/>
          <w:sz w:val="22"/>
        </w:rPr>
      </w:pPr>
      <w:r w:rsidRPr="00486647">
        <w:rPr>
          <w:rFonts w:ascii="Narkisim" w:hAnsi="Narkisim"/>
          <w:sz w:val="22"/>
          <w:rtl/>
        </w:rPr>
        <w:t>השיעור ישמש הקדמה לנושא הבא, פיקוח נפש.</w:t>
      </w:r>
    </w:p>
    <w:p w:rsidR="00486647" w:rsidRPr="00486647" w:rsidRDefault="00486647" w:rsidP="00486647">
      <w:pPr>
        <w:spacing w:before="100" w:beforeAutospacing="1" w:afterLines="80" w:after="192"/>
        <w:rPr>
          <w:rFonts w:ascii="Narkisim" w:hAnsi="Narkisim"/>
          <w:sz w:val="22"/>
          <w:rtl/>
        </w:rPr>
      </w:pPr>
      <w:r w:rsidRPr="00486647">
        <w:rPr>
          <w:rFonts w:ascii="Narkisim" w:hAnsi="Narkisim"/>
          <w:sz w:val="22"/>
          <w:rtl/>
        </w:rPr>
        <w:t xml:space="preserve">סנהדרין עד. </w:t>
      </w:r>
      <w:proofErr w:type="spellStart"/>
      <w:r w:rsidRPr="00486647">
        <w:rPr>
          <w:rFonts w:ascii="Narkisim" w:hAnsi="Narkisim"/>
          <w:sz w:val="22"/>
          <w:rtl/>
        </w:rPr>
        <w:t>א"ר</w:t>
      </w:r>
      <w:proofErr w:type="spellEnd"/>
      <w:r w:rsidRPr="00486647">
        <w:rPr>
          <w:rFonts w:ascii="Narkisim" w:hAnsi="Narkisim"/>
          <w:sz w:val="22"/>
          <w:rtl/>
        </w:rPr>
        <w:t xml:space="preserve"> יוחנן משום </w:t>
      </w:r>
      <w:proofErr w:type="spellStart"/>
      <w:r w:rsidRPr="00486647">
        <w:rPr>
          <w:rFonts w:ascii="Narkisim" w:hAnsi="Narkisim"/>
          <w:sz w:val="22"/>
          <w:rtl/>
        </w:rPr>
        <w:t>ר"ש</w:t>
      </w:r>
      <w:proofErr w:type="spellEnd"/>
      <w:r w:rsidRPr="00486647">
        <w:rPr>
          <w:rFonts w:ascii="Narkisim" w:hAnsi="Narkisim"/>
          <w:sz w:val="22"/>
          <w:rtl/>
        </w:rPr>
        <w:t xml:space="preserve"> בן </w:t>
      </w:r>
      <w:proofErr w:type="spellStart"/>
      <w:r w:rsidRPr="00486647">
        <w:rPr>
          <w:rFonts w:ascii="Narkisim" w:hAnsi="Narkisim"/>
          <w:sz w:val="22"/>
          <w:rtl/>
        </w:rPr>
        <w:t>יהוצדק</w:t>
      </w:r>
      <w:proofErr w:type="spellEnd"/>
      <w:r w:rsidRPr="00486647">
        <w:rPr>
          <w:rFonts w:ascii="Narkisim" w:hAnsi="Narkisim"/>
          <w:sz w:val="22"/>
          <w:rtl/>
        </w:rPr>
        <w:t xml:space="preserve"> עד </w:t>
      </w:r>
      <w:proofErr w:type="spellStart"/>
      <w:r w:rsidRPr="00486647">
        <w:rPr>
          <w:rFonts w:ascii="Narkisim" w:hAnsi="Narkisim"/>
          <w:sz w:val="22"/>
          <w:rtl/>
        </w:rPr>
        <w:t>עה</w:t>
      </w:r>
      <w:proofErr w:type="spellEnd"/>
      <w:r w:rsidRPr="00486647">
        <w:rPr>
          <w:rFonts w:ascii="Narkisim" w:hAnsi="Narkisim"/>
          <w:sz w:val="22"/>
          <w:rtl/>
        </w:rPr>
        <w:t xml:space="preserve">. סוף הפרק </w:t>
      </w:r>
    </w:p>
    <w:p w:rsidR="00486647" w:rsidRPr="00486647" w:rsidRDefault="00486647" w:rsidP="00486647">
      <w:pPr>
        <w:spacing w:before="100" w:beforeAutospacing="1" w:afterLines="80" w:after="192"/>
        <w:rPr>
          <w:rFonts w:ascii="Narkisim" w:hAnsi="Narkisim"/>
          <w:sz w:val="22"/>
          <w:rtl/>
        </w:rPr>
      </w:pPr>
      <w:proofErr w:type="spellStart"/>
      <w:r w:rsidRPr="00486647">
        <w:rPr>
          <w:rFonts w:ascii="Narkisim" w:hAnsi="Narkisim"/>
          <w:sz w:val="22"/>
          <w:rtl/>
        </w:rPr>
        <w:t>תוס</w:t>
      </w:r>
      <w:proofErr w:type="spellEnd"/>
      <w:r w:rsidRPr="00486647">
        <w:rPr>
          <w:rFonts w:ascii="Narkisim" w:hAnsi="Narkisim"/>
          <w:sz w:val="22"/>
          <w:rtl/>
        </w:rPr>
        <w:t>' עד: ד"ה והא, ד"ה קטול</w:t>
      </w:r>
    </w:p>
    <w:p w:rsidR="00486647" w:rsidRPr="00486647" w:rsidRDefault="00486647" w:rsidP="00486647">
      <w:pPr>
        <w:spacing w:before="100" w:beforeAutospacing="1" w:afterLines="80" w:after="192"/>
        <w:rPr>
          <w:rFonts w:ascii="Narkisim" w:hAnsi="Narkisim"/>
          <w:sz w:val="22"/>
          <w:rtl/>
        </w:rPr>
      </w:pPr>
      <w:r w:rsidRPr="00486647">
        <w:rPr>
          <w:rFonts w:ascii="Narkisim" w:hAnsi="Narkisim"/>
          <w:sz w:val="22"/>
          <w:rtl/>
        </w:rPr>
        <w:t>רמב"ן, מלחמות (</w:t>
      </w:r>
      <w:proofErr w:type="spellStart"/>
      <w:r w:rsidRPr="00486647">
        <w:rPr>
          <w:rFonts w:ascii="Narkisim" w:hAnsi="Narkisim"/>
          <w:sz w:val="22"/>
          <w:rtl/>
        </w:rPr>
        <w:t>יז</w:t>
      </w:r>
      <w:proofErr w:type="spellEnd"/>
      <w:r w:rsidRPr="00486647">
        <w:rPr>
          <w:rFonts w:ascii="Narkisim" w:hAnsi="Narkisim"/>
          <w:sz w:val="22"/>
          <w:rtl/>
        </w:rPr>
        <w:t xml:space="preserve">: בדפי </w:t>
      </w:r>
      <w:proofErr w:type="spellStart"/>
      <w:r w:rsidRPr="00486647">
        <w:rPr>
          <w:rFonts w:ascii="Narkisim" w:hAnsi="Narkisim"/>
          <w:sz w:val="22"/>
          <w:rtl/>
        </w:rPr>
        <w:t>הרי"ף</w:t>
      </w:r>
      <w:proofErr w:type="spellEnd"/>
      <w:r w:rsidRPr="00486647">
        <w:rPr>
          <w:rFonts w:ascii="Narkisim" w:hAnsi="Narkisim"/>
          <w:sz w:val="22"/>
          <w:rtl/>
        </w:rPr>
        <w:t>) ד"ה ועוד. (רמב"ן ארוך ומסובך, אבל חשוב. עשו כמה שאפשר.)</w:t>
      </w:r>
    </w:p>
    <w:p w:rsidR="003D3E71" w:rsidRPr="00486647" w:rsidRDefault="003D3E71" w:rsidP="00486647">
      <w:pPr>
        <w:spacing w:afterLines="80" w:after="192"/>
        <w:rPr>
          <w:rFonts w:hint="cs"/>
          <w:sz w:val="22"/>
          <w:rtl/>
        </w:rPr>
      </w:pPr>
    </w:p>
    <w:p w:rsidR="008108E7" w:rsidRDefault="008108E7" w:rsidP="00486647">
      <w:pPr>
        <w:pStyle w:val="BodyTextIndent"/>
        <w:spacing w:afterLines="80" w:after="192"/>
        <w:ind w:left="0"/>
        <w:rPr>
          <w:rFonts w:hint="cs"/>
          <w:sz w:val="24"/>
          <w:szCs w:val="24"/>
          <w:rtl/>
        </w:rPr>
      </w:pPr>
      <w:r w:rsidRPr="00486647">
        <w:rPr>
          <w:rFonts w:hint="cs"/>
          <w:sz w:val="22"/>
          <w:rtl/>
        </w:rPr>
        <w:t>החלק הראשון של הסוגיה,</w:t>
      </w:r>
      <w:r>
        <w:rPr>
          <w:rFonts w:hint="cs"/>
          <w:sz w:val="24"/>
          <w:szCs w:val="24"/>
          <w:rtl/>
        </w:rPr>
        <w:t xml:space="preserve"> עוסק בעניין בשר בחלב. </w:t>
      </w:r>
      <w:proofErr w:type="spellStart"/>
      <w:r>
        <w:rPr>
          <w:rFonts w:hint="cs"/>
          <w:sz w:val="24"/>
          <w:szCs w:val="24"/>
          <w:rtl/>
        </w:rPr>
        <w:t>אביי</w:t>
      </w:r>
      <w:proofErr w:type="spellEnd"/>
      <w:r>
        <w:rPr>
          <w:rFonts w:hint="cs"/>
          <w:sz w:val="24"/>
          <w:szCs w:val="24"/>
          <w:rtl/>
        </w:rPr>
        <w:t xml:space="preserve"> טוען כי כשם שלוקים על אכילת כלאיים שלא כדרך אכילתו, משום שהאיסור לא נאמר בלשון אכילה, כך לוקים גם על אכילת בשר בחלב שלא כדרך אכילתו, מאותה סיבה. אנו יודעים כי איסור בשר בחלב נלמד  מן הפסוק "לא תבשל גדי בחלב אמו", ועל כן מסקנתו של </w:t>
      </w:r>
      <w:proofErr w:type="spellStart"/>
      <w:r>
        <w:rPr>
          <w:rFonts w:hint="cs"/>
          <w:sz w:val="24"/>
          <w:szCs w:val="24"/>
          <w:rtl/>
        </w:rPr>
        <w:t>אביי</w:t>
      </w:r>
      <w:proofErr w:type="spellEnd"/>
      <w:r>
        <w:rPr>
          <w:rFonts w:hint="cs"/>
          <w:sz w:val="24"/>
          <w:szCs w:val="24"/>
          <w:rtl/>
        </w:rPr>
        <w:t xml:space="preserve"> נראית לנו הגיונית. אך הסוגיה שלנו מבוססת על דעת איסי בן יהודה, הלומד את איסור אכילה ואיסור הנאה בבשר בחלב מטריפה ומערלה. היות שאיסור אכילת טריפה נאמר בלשון אכילה, הגמרא מעלה את האפשרות כי יהיה פטור ממלקות </w:t>
      </w:r>
      <w:proofErr w:type="spellStart"/>
      <w:r>
        <w:rPr>
          <w:rFonts w:hint="cs"/>
          <w:sz w:val="24"/>
          <w:szCs w:val="24"/>
          <w:rtl/>
        </w:rPr>
        <w:t>בשלא</w:t>
      </w:r>
      <w:proofErr w:type="spellEnd"/>
      <w:r>
        <w:rPr>
          <w:rFonts w:hint="cs"/>
          <w:sz w:val="24"/>
          <w:szCs w:val="24"/>
          <w:rtl/>
        </w:rPr>
        <w:t xml:space="preserve"> כדרך אכילתו, כמו בטריפה עצמה. </w:t>
      </w:r>
      <w:proofErr w:type="spellStart"/>
      <w:r>
        <w:rPr>
          <w:rFonts w:hint="cs"/>
          <w:sz w:val="24"/>
          <w:szCs w:val="24"/>
          <w:rtl/>
        </w:rPr>
        <w:t>אביי</w:t>
      </w:r>
      <w:proofErr w:type="spellEnd"/>
      <w:r>
        <w:rPr>
          <w:rFonts w:hint="cs"/>
          <w:sz w:val="24"/>
          <w:szCs w:val="24"/>
          <w:rtl/>
        </w:rPr>
        <w:t xml:space="preserve"> משיב כי למרות שכך עשוי להיות מסברה, השמטת לשון אכילה בעניין בשר בחלב אינה השמטה בעלמא, אלא אינדיקציה כי אין לחלק בדין זה בין דרך אכילתו ובין שלא כדרך אכילתו. </w:t>
      </w:r>
    </w:p>
    <w:p w:rsidR="008108E7" w:rsidRDefault="008108E7" w:rsidP="00486647">
      <w:pPr>
        <w:spacing w:afterLines="80" w:after="192"/>
        <w:ind w:firstLine="567"/>
        <w:rPr>
          <w:rFonts w:hint="cs"/>
          <w:rtl/>
        </w:rPr>
      </w:pPr>
      <w:r>
        <w:rPr>
          <w:rFonts w:hint="cs"/>
          <w:rtl/>
        </w:rPr>
        <w:t xml:space="preserve">הגמרא ממשיכה לדון במתרפא באיסורי הנאה. (הקשר שבין דיון זה ובין שלא כדרך אכילתו יובן בהמשך כה:). היות שיש כאן דיון פרטי בנושא הכללי של הצלת חיים על ידי איסור </w:t>
      </w:r>
      <w:r>
        <w:rPr>
          <w:rtl/>
        </w:rPr>
        <w:t>–</w:t>
      </w:r>
      <w:r>
        <w:rPr>
          <w:rFonts w:hint="cs"/>
          <w:rtl/>
        </w:rPr>
        <w:t xml:space="preserve"> פיקוח נפש </w:t>
      </w:r>
      <w:r>
        <w:rPr>
          <w:rtl/>
        </w:rPr>
        <w:t>–</w:t>
      </w:r>
      <w:r>
        <w:rPr>
          <w:rFonts w:hint="cs"/>
          <w:rtl/>
        </w:rPr>
        <w:t xml:space="preserve"> נדון קודם בנושאים העולים בגמרא בסנהדרין (עד. - </w:t>
      </w:r>
      <w:proofErr w:type="spellStart"/>
      <w:r>
        <w:rPr>
          <w:rFonts w:hint="cs"/>
          <w:rtl/>
        </w:rPr>
        <w:t>עה</w:t>
      </w:r>
      <w:proofErr w:type="spellEnd"/>
      <w:r>
        <w:rPr>
          <w:rFonts w:hint="cs"/>
          <w:rtl/>
        </w:rPr>
        <w:t xml:space="preserve">.) שהיא המקור לדיון זה. </w:t>
      </w:r>
    </w:p>
    <w:p w:rsidR="008108E7" w:rsidRDefault="008108E7" w:rsidP="00486647">
      <w:pPr>
        <w:spacing w:afterLines="80" w:after="192"/>
        <w:ind w:firstLine="566"/>
        <w:rPr>
          <w:rFonts w:hint="cs"/>
          <w:rtl/>
        </w:rPr>
      </w:pPr>
      <w:r>
        <w:rPr>
          <w:rFonts w:hint="cs"/>
          <w:rtl/>
        </w:rPr>
        <w:t>ניתן לחלק את הסוגיה למספר דינים:</w:t>
      </w:r>
    </w:p>
    <w:p w:rsidR="008108E7" w:rsidRDefault="008108E7" w:rsidP="00486647">
      <w:pPr>
        <w:pStyle w:val="ListParagraph"/>
        <w:numPr>
          <w:ilvl w:val="0"/>
          <w:numId w:val="13"/>
        </w:numPr>
        <w:autoSpaceDE/>
        <w:autoSpaceDN/>
        <w:spacing w:afterLines="80" w:after="192"/>
        <w:rPr>
          <w:rFonts w:hint="cs"/>
          <w:rtl/>
        </w:rPr>
      </w:pPr>
      <w:r>
        <w:rPr>
          <w:rFonts w:hint="cs"/>
          <w:rtl/>
        </w:rPr>
        <w:t>ייהרג ואל יעבור (עד.)</w:t>
      </w:r>
    </w:p>
    <w:p w:rsidR="008108E7" w:rsidRDefault="008108E7" w:rsidP="00486647">
      <w:pPr>
        <w:numPr>
          <w:ilvl w:val="1"/>
          <w:numId w:val="10"/>
        </w:numPr>
        <w:autoSpaceDE/>
        <w:autoSpaceDN/>
        <w:spacing w:afterLines="80" w:after="192"/>
        <w:ind w:left="924" w:right="0" w:hanging="357"/>
        <w:rPr>
          <w:rFonts w:hint="cs"/>
          <w:rtl/>
        </w:rPr>
      </w:pPr>
      <w:r>
        <w:rPr>
          <w:rFonts w:hint="cs"/>
          <w:rtl/>
        </w:rPr>
        <w:t>בכל האיסורים שבתורה אם כופים את האדם לעבור עליהם או להיהרג, עליו לעבור על האיסור ולא למות חוץ משלושה איסורים: עבודה זרה, גילוי עריות ושפיכות דמים. על איסורים אלו חל  דין "ייהרג ואל יעבור". לגבי עבודה זרה, הגמרא (עד.) מביאה פסוק כמקור. לגבי שפיכות דמים, הגמרא אומרת "</w:t>
      </w:r>
      <w:proofErr w:type="spellStart"/>
      <w:r>
        <w:rPr>
          <w:rFonts w:hint="cs"/>
          <w:rtl/>
        </w:rPr>
        <w:t>סברא</w:t>
      </w:r>
      <w:proofErr w:type="spellEnd"/>
      <w:r>
        <w:rPr>
          <w:rFonts w:hint="cs"/>
          <w:rtl/>
        </w:rPr>
        <w:t xml:space="preserve"> היא". והגמרא מפרטת: "מאי חזית </w:t>
      </w:r>
      <w:proofErr w:type="spellStart"/>
      <w:r>
        <w:rPr>
          <w:rFonts w:hint="cs"/>
          <w:rtl/>
        </w:rPr>
        <w:t>דדמא</w:t>
      </w:r>
      <w:proofErr w:type="spellEnd"/>
      <w:r>
        <w:rPr>
          <w:rFonts w:hint="cs"/>
          <w:rtl/>
        </w:rPr>
        <w:t xml:space="preserve"> </w:t>
      </w:r>
      <w:proofErr w:type="spellStart"/>
      <w:r>
        <w:rPr>
          <w:rFonts w:hint="cs"/>
          <w:rtl/>
        </w:rPr>
        <w:t>דידך</w:t>
      </w:r>
      <w:proofErr w:type="spellEnd"/>
      <w:r>
        <w:rPr>
          <w:rFonts w:hint="cs"/>
          <w:rtl/>
        </w:rPr>
        <w:t xml:space="preserve"> </w:t>
      </w:r>
      <w:proofErr w:type="spellStart"/>
      <w:r>
        <w:rPr>
          <w:rFonts w:hint="cs"/>
          <w:rtl/>
        </w:rPr>
        <w:t>סומקא</w:t>
      </w:r>
      <w:proofErr w:type="spellEnd"/>
      <w:r>
        <w:rPr>
          <w:rFonts w:hint="cs"/>
          <w:rtl/>
        </w:rPr>
        <w:t xml:space="preserve"> טפי". גילוי עריות נלמד מכך שהוא </w:t>
      </w:r>
      <w:proofErr w:type="spellStart"/>
      <w:r>
        <w:rPr>
          <w:rFonts w:hint="cs"/>
          <w:rtl/>
        </w:rPr>
        <w:t>הוקש</w:t>
      </w:r>
      <w:proofErr w:type="spellEnd"/>
      <w:r>
        <w:rPr>
          <w:rFonts w:hint="cs"/>
          <w:rtl/>
        </w:rPr>
        <w:t xml:space="preserve">  לשפיכות דמים. </w:t>
      </w:r>
    </w:p>
    <w:p w:rsidR="008108E7" w:rsidRDefault="008108E7" w:rsidP="00486647">
      <w:pPr>
        <w:numPr>
          <w:ilvl w:val="1"/>
          <w:numId w:val="10"/>
        </w:numPr>
        <w:autoSpaceDE/>
        <w:autoSpaceDN/>
        <w:spacing w:afterLines="80" w:after="192"/>
        <w:ind w:left="924" w:right="0" w:hanging="357"/>
        <w:rPr>
          <w:rFonts w:hint="cs"/>
        </w:rPr>
      </w:pPr>
      <w:r>
        <w:rPr>
          <w:rFonts w:hint="cs"/>
          <w:rtl/>
        </w:rPr>
        <w:t xml:space="preserve">שעת השמד </w:t>
      </w:r>
      <w:r>
        <w:rPr>
          <w:rtl/>
        </w:rPr>
        <w:t>–</w:t>
      </w:r>
      <w:r>
        <w:rPr>
          <w:rFonts w:hint="cs"/>
          <w:rtl/>
        </w:rPr>
        <w:t xml:space="preserve"> בזמן רדיפות על רקע דתי, יש למסור את הנפש גם על הפרט הקטן ביותר. </w:t>
      </w:r>
    </w:p>
    <w:p w:rsidR="008108E7" w:rsidRDefault="008108E7" w:rsidP="00486647">
      <w:pPr>
        <w:numPr>
          <w:ilvl w:val="1"/>
          <w:numId w:val="10"/>
        </w:numPr>
        <w:autoSpaceDE/>
        <w:autoSpaceDN/>
        <w:spacing w:afterLines="80" w:after="192"/>
        <w:ind w:left="924" w:right="0" w:hanging="357"/>
        <w:rPr>
          <w:rFonts w:hint="cs"/>
        </w:rPr>
      </w:pPr>
      <w:proofErr w:type="spellStart"/>
      <w:r>
        <w:rPr>
          <w:rFonts w:hint="cs"/>
          <w:rtl/>
        </w:rPr>
        <w:t>פרהסיא</w:t>
      </w:r>
      <w:proofErr w:type="spellEnd"/>
      <w:r>
        <w:rPr>
          <w:rFonts w:hint="cs"/>
          <w:rtl/>
        </w:rPr>
        <w:t xml:space="preserve"> </w:t>
      </w:r>
      <w:r>
        <w:rPr>
          <w:rtl/>
        </w:rPr>
        <w:t>–</w:t>
      </w:r>
      <w:r>
        <w:rPr>
          <w:rFonts w:hint="cs"/>
          <w:rtl/>
        </w:rPr>
        <w:t xml:space="preserve"> גם בזמנים רגילים, אם מכריחים את האדם לעבור עברה ברבים ובגלוי (לפני עשרה יהודים), עליו למסור את הנפש אפילו על איסור קטן. </w:t>
      </w:r>
    </w:p>
    <w:p w:rsidR="008108E7" w:rsidRDefault="008108E7" w:rsidP="00486647">
      <w:pPr>
        <w:pStyle w:val="ListParagraph"/>
        <w:numPr>
          <w:ilvl w:val="0"/>
          <w:numId w:val="13"/>
        </w:numPr>
        <w:autoSpaceDE/>
        <w:autoSpaceDN/>
        <w:spacing w:afterLines="80" w:after="192"/>
        <w:rPr>
          <w:rFonts w:hint="cs"/>
          <w:rtl/>
        </w:rPr>
      </w:pPr>
      <w:r>
        <w:rPr>
          <w:rFonts w:hint="cs"/>
          <w:rtl/>
        </w:rPr>
        <w:t xml:space="preserve">חריגים (עד.) </w:t>
      </w:r>
      <w:r>
        <w:rPr>
          <w:rtl/>
        </w:rPr>
        <w:t>–</w:t>
      </w:r>
      <w:r>
        <w:rPr>
          <w:rFonts w:hint="cs"/>
          <w:rtl/>
        </w:rPr>
        <w:t xml:space="preserve"> הגמרא שואלת מדוע אסתר לא מסרה עצמה למיתה על מנת להימלט מנישואין לאחשוורוש:</w:t>
      </w:r>
    </w:p>
    <w:p w:rsidR="008108E7" w:rsidRDefault="008108E7" w:rsidP="00486647">
      <w:pPr>
        <w:numPr>
          <w:ilvl w:val="1"/>
          <w:numId w:val="10"/>
        </w:numPr>
        <w:autoSpaceDE/>
        <w:autoSpaceDN/>
        <w:spacing w:afterLines="80" w:after="192"/>
        <w:ind w:left="924" w:right="0" w:hanging="357"/>
        <w:rPr>
          <w:rFonts w:hint="cs"/>
          <w:rtl/>
        </w:rPr>
      </w:pPr>
      <w:r>
        <w:rPr>
          <w:rFonts w:hint="cs"/>
          <w:rtl/>
        </w:rPr>
        <w:t xml:space="preserve">קרקע עולם </w:t>
      </w:r>
      <w:r>
        <w:rPr>
          <w:rtl/>
        </w:rPr>
        <w:t>–</w:t>
      </w:r>
      <w:r>
        <w:rPr>
          <w:rFonts w:hint="cs"/>
          <w:rtl/>
        </w:rPr>
        <w:t xml:space="preserve"> דעת </w:t>
      </w:r>
      <w:proofErr w:type="spellStart"/>
      <w:r>
        <w:rPr>
          <w:rFonts w:hint="cs"/>
          <w:rtl/>
        </w:rPr>
        <w:t>אביי</w:t>
      </w:r>
      <w:proofErr w:type="spellEnd"/>
      <w:r>
        <w:rPr>
          <w:rFonts w:hint="cs"/>
          <w:rtl/>
        </w:rPr>
        <w:t xml:space="preserve"> היא כי בקיום יחסי אישות תפקיד האישה הוא פסיבי. </w:t>
      </w:r>
    </w:p>
    <w:p w:rsidR="008108E7" w:rsidRDefault="008108E7" w:rsidP="00486647">
      <w:pPr>
        <w:numPr>
          <w:ilvl w:val="1"/>
          <w:numId w:val="10"/>
        </w:numPr>
        <w:autoSpaceDE/>
        <w:autoSpaceDN/>
        <w:spacing w:afterLines="80" w:after="192"/>
        <w:ind w:left="924" w:right="0" w:hanging="357"/>
        <w:rPr>
          <w:rFonts w:hint="cs"/>
        </w:rPr>
      </w:pPr>
      <w:r>
        <w:rPr>
          <w:rFonts w:hint="cs"/>
          <w:rtl/>
        </w:rPr>
        <w:t xml:space="preserve">הנאת עצמן </w:t>
      </w:r>
      <w:r>
        <w:rPr>
          <w:rtl/>
        </w:rPr>
        <w:t>–</w:t>
      </w:r>
      <w:r>
        <w:rPr>
          <w:rFonts w:hint="cs"/>
          <w:rtl/>
        </w:rPr>
        <w:t xml:space="preserve"> רבא סבור כי אם  המניע של הגוי הכופה על האיסור הוא להנאת עצמו, ואין מטרתו דווקא לגרום ליהודי לעבור על דברי התורה, דין ייהרג ואל יעבור אינו חל. </w:t>
      </w:r>
    </w:p>
    <w:p w:rsidR="008108E7" w:rsidRDefault="008108E7" w:rsidP="00486647">
      <w:pPr>
        <w:spacing w:afterLines="80" w:after="192"/>
        <w:rPr>
          <w:rFonts w:hint="cs"/>
          <w:rtl/>
        </w:rPr>
      </w:pPr>
      <w:r>
        <w:rPr>
          <w:rFonts w:hint="cs"/>
          <w:rtl/>
        </w:rPr>
        <w:t xml:space="preserve">מה אופיו של החיוב למות ולא לעבור על מספר עברות חמורות? התשובה לשאלה זו טמונה בהבנת דיון הגמרא ביחס לנישואי אסתר לאחשוורוש. </w:t>
      </w:r>
    </w:p>
    <w:p w:rsidR="008108E7" w:rsidRDefault="008108E7" w:rsidP="00486647">
      <w:pPr>
        <w:pStyle w:val="ListParagraph"/>
        <w:numPr>
          <w:ilvl w:val="0"/>
          <w:numId w:val="13"/>
        </w:numPr>
        <w:autoSpaceDE/>
        <w:autoSpaceDN/>
        <w:spacing w:afterLines="80" w:after="192"/>
        <w:rPr>
          <w:rFonts w:hint="cs"/>
          <w:rtl/>
        </w:rPr>
      </w:pPr>
      <w:r>
        <w:rPr>
          <w:rFonts w:hint="cs"/>
          <w:rtl/>
        </w:rPr>
        <w:t>תוספות</w:t>
      </w:r>
    </w:p>
    <w:p w:rsidR="008108E7" w:rsidRDefault="008108E7" w:rsidP="00486647">
      <w:pPr>
        <w:spacing w:afterLines="80" w:after="192"/>
        <w:ind w:firstLine="566"/>
        <w:rPr>
          <w:rFonts w:hint="cs"/>
          <w:rtl/>
        </w:rPr>
      </w:pPr>
      <w:r>
        <w:rPr>
          <w:rFonts w:hint="cs"/>
          <w:rtl/>
        </w:rPr>
        <w:t xml:space="preserve">שני החריגים שצוינו לעיל עולים בגמרא כתשובה לשאלה "והא אסתר </w:t>
      </w:r>
      <w:proofErr w:type="spellStart"/>
      <w:r>
        <w:rPr>
          <w:rFonts w:hint="cs"/>
          <w:rtl/>
        </w:rPr>
        <w:t>פרהסיא</w:t>
      </w:r>
      <w:proofErr w:type="spellEnd"/>
      <w:r>
        <w:rPr>
          <w:rFonts w:hint="cs"/>
          <w:rtl/>
        </w:rPr>
        <w:t xml:space="preserve"> הווי" (מדוע הסכימה אסתר להינשא לאחשוורוש, והלא מדובר באיסור שנעשה בגלוי?). הראשונים שואלים מדוע לא שאלה הגמרא כי על אסתר היה למסור את עצמה שכן מדובר במקרה של עריות שדינו ייהרג ואל יעבור גם אם אינו נעשה </w:t>
      </w:r>
      <w:proofErr w:type="spellStart"/>
      <w:r>
        <w:rPr>
          <w:rFonts w:hint="cs"/>
          <w:rtl/>
        </w:rPr>
        <w:t>בפרהסיא</w:t>
      </w:r>
      <w:proofErr w:type="spellEnd"/>
      <w:r>
        <w:rPr>
          <w:rFonts w:hint="cs"/>
          <w:rtl/>
        </w:rPr>
        <w:t xml:space="preserve">. שאלה זו מעלה את חוסר הבהירות הקיים לגבי תשובותיהם של </w:t>
      </w:r>
      <w:proofErr w:type="spellStart"/>
      <w:r>
        <w:rPr>
          <w:rFonts w:hint="cs"/>
          <w:rtl/>
        </w:rPr>
        <w:t>אביי</w:t>
      </w:r>
      <w:proofErr w:type="spellEnd"/>
      <w:r>
        <w:rPr>
          <w:rFonts w:hint="cs"/>
          <w:rtl/>
        </w:rPr>
        <w:t xml:space="preserve"> ורבא </w:t>
      </w:r>
      <w:r>
        <w:rPr>
          <w:rtl/>
        </w:rPr>
        <w:t>–</w:t>
      </w:r>
      <w:r>
        <w:rPr>
          <w:rFonts w:hint="cs"/>
          <w:rtl/>
        </w:rPr>
        <w:t xml:space="preserve"> האם תשובות אלו תופסות גם במקרה של עריות (כמו גם בשני האיסורים החמורים הנוספים)?על מנת להשיב על שאלה זו, עלינו להבין את </w:t>
      </w:r>
      <w:proofErr w:type="spellStart"/>
      <w:r>
        <w:rPr>
          <w:rFonts w:hint="cs"/>
          <w:rtl/>
        </w:rPr>
        <w:t>ההגיון</w:t>
      </w:r>
      <w:proofErr w:type="spellEnd"/>
      <w:r>
        <w:rPr>
          <w:rFonts w:hint="cs"/>
          <w:rtl/>
        </w:rPr>
        <w:t xml:space="preserve"> שמאחורי שני החריגים הללו. </w:t>
      </w:r>
    </w:p>
    <w:p w:rsidR="008108E7" w:rsidRDefault="008108E7" w:rsidP="00486647">
      <w:pPr>
        <w:spacing w:afterLines="80" w:after="192"/>
        <w:ind w:firstLine="566"/>
        <w:rPr>
          <w:rFonts w:hint="cs"/>
          <w:rtl/>
        </w:rPr>
      </w:pPr>
      <w:r>
        <w:rPr>
          <w:rFonts w:hint="cs"/>
          <w:rtl/>
        </w:rPr>
        <w:t xml:space="preserve">תוספות (ד"ה "והא") מסבירים כי הגמרא לא שאלה על אסתר מעריות משום שהיא כבר ידעה כי ישנו פטור של אישה בעריות מדין ייהרג ואל יעבור משום קרקע עולם. אך הגמרא סבורה כי דין </w:t>
      </w:r>
      <w:proofErr w:type="spellStart"/>
      <w:r>
        <w:rPr>
          <w:rFonts w:hint="cs"/>
          <w:rtl/>
        </w:rPr>
        <w:t>פרהסיא</w:t>
      </w:r>
      <w:proofErr w:type="spellEnd"/>
      <w:r>
        <w:rPr>
          <w:rFonts w:hint="cs"/>
          <w:rtl/>
        </w:rPr>
        <w:t xml:space="preserve"> אינו בטל משום קרקע עולם, ואילו </w:t>
      </w:r>
      <w:proofErr w:type="spellStart"/>
      <w:r>
        <w:rPr>
          <w:rFonts w:hint="cs"/>
          <w:rtl/>
        </w:rPr>
        <w:t>אביי</w:t>
      </w:r>
      <w:proofErr w:type="spellEnd"/>
      <w:r>
        <w:rPr>
          <w:rFonts w:hint="cs"/>
          <w:rtl/>
        </w:rPr>
        <w:t xml:space="preserve"> סבור כי קרקע עולם מבטל את דין ייהרג ואל יעבור גם במקרה של </w:t>
      </w:r>
      <w:proofErr w:type="spellStart"/>
      <w:r>
        <w:rPr>
          <w:rFonts w:hint="cs"/>
          <w:rtl/>
        </w:rPr>
        <w:t>פרהסיא</w:t>
      </w:r>
      <w:proofErr w:type="spellEnd"/>
      <w:r>
        <w:rPr>
          <w:rFonts w:hint="cs"/>
          <w:rtl/>
        </w:rPr>
        <w:t xml:space="preserve">. </w:t>
      </w:r>
    </w:p>
    <w:p w:rsidR="008108E7" w:rsidRDefault="008108E7" w:rsidP="00486647">
      <w:pPr>
        <w:spacing w:afterLines="80" w:after="192"/>
        <w:ind w:firstLine="566"/>
        <w:rPr>
          <w:rFonts w:hint="cs"/>
          <w:rtl/>
        </w:rPr>
      </w:pPr>
      <w:r>
        <w:rPr>
          <w:rFonts w:hint="cs"/>
          <w:rtl/>
        </w:rPr>
        <w:t xml:space="preserve">מה </w:t>
      </w:r>
      <w:proofErr w:type="spellStart"/>
      <w:r>
        <w:rPr>
          <w:rFonts w:hint="cs"/>
          <w:rtl/>
        </w:rPr>
        <w:t>ההגיון</w:t>
      </w:r>
      <w:proofErr w:type="spellEnd"/>
      <w:r>
        <w:rPr>
          <w:rFonts w:hint="cs"/>
          <w:rtl/>
        </w:rPr>
        <w:t xml:space="preserve"> בהווה </w:t>
      </w:r>
      <w:proofErr w:type="spellStart"/>
      <w:r>
        <w:rPr>
          <w:rFonts w:hint="cs"/>
          <w:rtl/>
        </w:rPr>
        <w:t>אמינא</w:t>
      </w:r>
      <w:proofErr w:type="spellEnd"/>
      <w:r>
        <w:rPr>
          <w:rFonts w:hint="cs"/>
          <w:rtl/>
        </w:rPr>
        <w:t xml:space="preserve"> של הגמרא? תוספות מסבירים כי דין קרקע עולם אומר שהאישה פסיבית ואינה עושה כל מעשה בפועל. המקור של ייהרג ואל יעבור הוא משפיכות דמים, ועל כן לדעת תוספות "מאי חזית" שייך רק כשמישהו </w:t>
      </w:r>
      <w:r>
        <w:rPr>
          <w:rFonts w:hint="cs"/>
          <w:u w:val="single"/>
          <w:rtl/>
        </w:rPr>
        <w:t>מחליט</w:t>
      </w:r>
      <w:r>
        <w:rPr>
          <w:rFonts w:hint="cs"/>
          <w:rtl/>
        </w:rPr>
        <w:t xml:space="preserve"> להרוג מישהו אחר על מנת להציל את חייו. </w:t>
      </w:r>
      <w:proofErr w:type="spellStart"/>
      <w:r>
        <w:rPr>
          <w:rFonts w:hint="cs"/>
          <w:rtl/>
        </w:rPr>
        <w:t>ההגיון</w:t>
      </w:r>
      <w:proofErr w:type="spellEnd"/>
      <w:r>
        <w:rPr>
          <w:rFonts w:hint="cs"/>
          <w:rtl/>
        </w:rPr>
        <w:t xml:space="preserve"> של הטענה הוא כי לא ניתן להעדיף נפש על פני נפש במקרה מעין זה, ועל כן לא ניתן להשתמש בדין פיקוח נפש על מנת להציל מישהו. ממילא, אם הצלתו של אדם אחר ממוות כרוכה במוות של המציל, אין חובה להצילו ולמות, שכן על פי </w:t>
      </w:r>
      <w:proofErr w:type="spellStart"/>
      <w:r>
        <w:rPr>
          <w:rFonts w:hint="cs"/>
          <w:rtl/>
        </w:rPr>
        <w:t>ההגיון</w:t>
      </w:r>
      <w:proofErr w:type="spellEnd"/>
      <w:r>
        <w:rPr>
          <w:rFonts w:hint="cs"/>
          <w:rtl/>
        </w:rPr>
        <w:t xml:space="preserve"> של הגמרא, מי אמר שדמו של השני אדום יותר מזה של הראשון? </w:t>
      </w:r>
      <w:proofErr w:type="spellStart"/>
      <w:r>
        <w:rPr>
          <w:rFonts w:hint="cs"/>
          <w:rtl/>
        </w:rPr>
        <w:t>הנפקא</w:t>
      </w:r>
      <w:proofErr w:type="spellEnd"/>
      <w:r>
        <w:rPr>
          <w:rFonts w:hint="cs"/>
          <w:rtl/>
        </w:rPr>
        <w:t xml:space="preserve"> מינה של תוספות היא במקרה של דחפוהו על התינוק </w:t>
      </w:r>
      <w:r>
        <w:rPr>
          <w:rtl/>
        </w:rPr>
        <w:t>–</w:t>
      </w:r>
      <w:r>
        <w:rPr>
          <w:rFonts w:hint="cs"/>
          <w:rtl/>
        </w:rPr>
        <w:t xml:space="preserve"> כלומר, אם דוחפים אדם על תינוק, כך שברור שהתינוק יימחץ למוות. התנגדות של המוחץ תביא עליו את מותו. תוספות פוסקים כי המוחץ אינו צריך לעשות דבר, ויניח לאנסים להשליכו על התינוק, גם אם הוא ימות. תוספות טוענים כי הם למדו את דינם זה מדין "מאי חזית". את הדין הזה ניתן להחיל גם על עריות. לדעת תוספות אישה אינה צריכה למות על מנת לא להיות שותפה לאיסור עריות, היות שהיא אינה משתתפת בפועל במעשה האיסור. היא אינה בוחרת להעדיף את דמה על פני האיסור, היות שעברה על האיסור באופן  פסיבי אינה כבחירה אקטיבית לעבור על האיסור על מנת להציל את חייה. </w:t>
      </w:r>
    </w:p>
    <w:p w:rsidR="008108E7" w:rsidRDefault="008108E7" w:rsidP="00486647">
      <w:pPr>
        <w:spacing w:afterLines="80" w:after="192"/>
        <w:ind w:firstLine="566"/>
        <w:rPr>
          <w:rFonts w:hint="cs"/>
          <w:rtl/>
        </w:rPr>
      </w:pPr>
      <w:r>
        <w:rPr>
          <w:rFonts w:hint="cs"/>
          <w:rtl/>
        </w:rPr>
        <w:t xml:space="preserve">מדוע טיעון זה אינו חל לגבי </w:t>
      </w:r>
      <w:proofErr w:type="spellStart"/>
      <w:r>
        <w:rPr>
          <w:rFonts w:hint="cs"/>
          <w:rtl/>
        </w:rPr>
        <w:t>פרהסיא</w:t>
      </w:r>
      <w:proofErr w:type="spellEnd"/>
      <w:r>
        <w:rPr>
          <w:rFonts w:hint="cs"/>
          <w:rtl/>
        </w:rPr>
        <w:t xml:space="preserve">? דין </w:t>
      </w:r>
      <w:proofErr w:type="spellStart"/>
      <w:r>
        <w:rPr>
          <w:rFonts w:hint="cs"/>
          <w:rtl/>
        </w:rPr>
        <w:t>פרהסיא</w:t>
      </w:r>
      <w:proofErr w:type="spellEnd"/>
      <w:r>
        <w:rPr>
          <w:rFonts w:hint="cs"/>
          <w:rtl/>
        </w:rPr>
        <w:t xml:space="preserve"> אינו מבוסס על מאי חזית. דין </w:t>
      </w:r>
      <w:proofErr w:type="spellStart"/>
      <w:r>
        <w:rPr>
          <w:rFonts w:hint="cs"/>
          <w:rtl/>
        </w:rPr>
        <w:t>פרהסיא</w:t>
      </w:r>
      <w:proofErr w:type="spellEnd"/>
      <w:r>
        <w:rPr>
          <w:rFonts w:hint="cs"/>
          <w:rtl/>
        </w:rPr>
        <w:t xml:space="preserve"> מבוסס על קידוש השם. זו הסיבה שהוא מצריך ייהרג ואל יעבור ללא תלות בשאלת חומרת האיסור בו מדובר. ממילא, טוענים תוספות, כי מקום לחלק בין עברה פסיבית או אקטיבית על האיסור, היות שבכל מקרה ישנה פגיעה בשם ה'. </w:t>
      </w:r>
    </w:p>
    <w:p w:rsidR="008108E7" w:rsidRDefault="008108E7" w:rsidP="00486647">
      <w:pPr>
        <w:spacing w:afterLines="80" w:after="192"/>
        <w:ind w:firstLine="566"/>
        <w:rPr>
          <w:rFonts w:hint="cs"/>
          <w:rtl/>
        </w:rPr>
      </w:pPr>
      <w:r>
        <w:rPr>
          <w:rFonts w:hint="cs"/>
          <w:rtl/>
        </w:rPr>
        <w:t xml:space="preserve">אך </w:t>
      </w:r>
      <w:proofErr w:type="spellStart"/>
      <w:r>
        <w:rPr>
          <w:rFonts w:hint="cs"/>
          <w:rtl/>
        </w:rPr>
        <w:t>אביי</w:t>
      </w:r>
      <w:proofErr w:type="spellEnd"/>
      <w:r>
        <w:rPr>
          <w:rFonts w:hint="cs"/>
          <w:rtl/>
        </w:rPr>
        <w:t xml:space="preserve"> סבור כי גם </w:t>
      </w:r>
      <w:proofErr w:type="spellStart"/>
      <w:r>
        <w:rPr>
          <w:rFonts w:hint="cs"/>
          <w:rtl/>
        </w:rPr>
        <w:t>בפרהסיא</w:t>
      </w:r>
      <w:proofErr w:type="spellEnd"/>
      <w:r>
        <w:rPr>
          <w:rFonts w:hint="cs"/>
          <w:rtl/>
        </w:rPr>
        <w:t xml:space="preserve"> יכול להיות פטור של קרקע עולם. פטור זה אינו נובע מהרחבת דין קרקע עולם מעריות במקרה רגיל, אלא בטיעון חדש. נראה כי </w:t>
      </w:r>
      <w:proofErr w:type="spellStart"/>
      <w:r>
        <w:rPr>
          <w:rFonts w:hint="cs"/>
          <w:rtl/>
        </w:rPr>
        <w:t>אביי</w:t>
      </w:r>
      <w:proofErr w:type="spellEnd"/>
      <w:r>
        <w:rPr>
          <w:rFonts w:hint="cs"/>
          <w:rtl/>
        </w:rPr>
        <w:t xml:space="preserve"> סבור כי ישנו פחות חילול ה' כאשר האיסור נעשה בצורה פסיבית. הרי אין מדובר כאן במצב בו אדם בוחר לחיות במקום לקיים את דבר ה', אלא באדם המאפשר לאיסור לקרות על מנת להציל את חייו, ועל כן אין חומרת מקרה זה גדולה כל כך. אני חושב כי הסיבה לחילוק זה היא העובדה כי חילול ה' תלוי באופן בו נתפס המעשה (וזו הסיבה שעשרה נוכחים מגבירים את החילול ה'). מעשה אקטיבי הוא אקט יותר </w:t>
      </w:r>
      <w:proofErr w:type="spellStart"/>
      <w:r>
        <w:rPr>
          <w:rFonts w:hint="cs"/>
          <w:rtl/>
        </w:rPr>
        <w:t>דרמאטי</w:t>
      </w:r>
      <w:proofErr w:type="spellEnd"/>
      <w:r>
        <w:rPr>
          <w:rFonts w:hint="cs"/>
          <w:rtl/>
        </w:rPr>
        <w:t xml:space="preserve"> ומרשים מאשר עברה על האיסור באופן פסיבי, למרות שהאיסור הוא אותו איסור בשני המקרים. </w:t>
      </w:r>
    </w:p>
    <w:p w:rsidR="008108E7" w:rsidRDefault="008108E7" w:rsidP="00486647">
      <w:pPr>
        <w:spacing w:afterLines="80" w:after="192"/>
        <w:ind w:firstLine="566"/>
        <w:rPr>
          <w:rFonts w:hint="cs"/>
          <w:rtl/>
        </w:rPr>
      </w:pPr>
      <w:r>
        <w:rPr>
          <w:rFonts w:hint="cs"/>
          <w:rtl/>
        </w:rPr>
        <w:t xml:space="preserve">מלבד ההסבר המעניין של תוספות לקרקע עולם, אנו יכולים ללמוד מדבריהם שתי סיבות לדין ייהרג ואל יעבור: </w:t>
      </w:r>
    </w:p>
    <w:p w:rsidR="008108E7" w:rsidRDefault="008108E7" w:rsidP="00486647">
      <w:pPr>
        <w:numPr>
          <w:ilvl w:val="0"/>
          <w:numId w:val="12"/>
        </w:numPr>
        <w:autoSpaceDE/>
        <w:autoSpaceDN/>
        <w:spacing w:afterLines="80" w:after="192"/>
        <w:ind w:right="0"/>
        <w:rPr>
          <w:rFonts w:hint="cs"/>
          <w:rtl/>
        </w:rPr>
      </w:pPr>
      <w:r>
        <w:rPr>
          <w:rFonts w:hint="cs"/>
          <w:rtl/>
        </w:rPr>
        <w:t xml:space="preserve">חומרת האיסור הן במובן של עצם האיסור שנעשה (עבודה זרה) והן בהיבט של תוצאות האיסור (שפיכות דמים </w:t>
      </w:r>
      <w:r>
        <w:rPr>
          <w:rtl/>
        </w:rPr>
        <w:t>–</w:t>
      </w:r>
      <w:r>
        <w:rPr>
          <w:rFonts w:hint="cs"/>
          <w:rtl/>
        </w:rPr>
        <w:t xml:space="preserve"> אובדן חיים של הקרבן וכן עריות הנלמדות מאיסור זה בהיקש);</w:t>
      </w:r>
    </w:p>
    <w:p w:rsidR="008108E7" w:rsidRDefault="008108E7" w:rsidP="00486647">
      <w:pPr>
        <w:numPr>
          <w:ilvl w:val="0"/>
          <w:numId w:val="12"/>
        </w:numPr>
        <w:autoSpaceDE/>
        <w:autoSpaceDN/>
        <w:spacing w:afterLines="80" w:after="192"/>
        <w:ind w:right="0"/>
        <w:rPr>
          <w:rFonts w:hint="cs"/>
        </w:rPr>
      </w:pPr>
      <w:r>
        <w:rPr>
          <w:rFonts w:hint="cs"/>
          <w:rtl/>
        </w:rPr>
        <w:t xml:space="preserve">קידוש השם, הנוצר הן בשעת השמד או </w:t>
      </w:r>
      <w:proofErr w:type="spellStart"/>
      <w:r>
        <w:rPr>
          <w:rFonts w:hint="cs"/>
          <w:rtl/>
        </w:rPr>
        <w:t>בפרהסיא</w:t>
      </w:r>
      <w:proofErr w:type="spellEnd"/>
      <w:r>
        <w:rPr>
          <w:rFonts w:hint="cs"/>
          <w:rtl/>
        </w:rPr>
        <w:t xml:space="preserve">. במקרה זה, אם מדובר בהנאת עצמן, יש </w:t>
      </w:r>
      <w:proofErr w:type="spellStart"/>
      <w:r>
        <w:rPr>
          <w:rFonts w:hint="cs"/>
          <w:rtl/>
        </w:rPr>
        <w:t>ניטרול</w:t>
      </w:r>
      <w:proofErr w:type="spellEnd"/>
      <w:r>
        <w:rPr>
          <w:rFonts w:hint="cs"/>
          <w:rtl/>
        </w:rPr>
        <w:t xml:space="preserve"> האלמנט של קידוש ה'. </w:t>
      </w:r>
    </w:p>
    <w:p w:rsidR="008108E7" w:rsidRDefault="008108E7" w:rsidP="00486647">
      <w:pPr>
        <w:spacing w:afterLines="80" w:after="192"/>
        <w:ind w:firstLine="566"/>
        <w:rPr>
          <w:rFonts w:hint="cs"/>
          <w:rtl/>
        </w:rPr>
      </w:pPr>
      <w:r>
        <w:rPr>
          <w:rFonts w:hint="cs"/>
          <w:rtl/>
        </w:rPr>
        <w:t xml:space="preserve">היות שהסברה בדין להנאת עצמן קשורה  לתוצאות הקידוש ה' </w:t>
      </w:r>
      <w:r>
        <w:rPr>
          <w:rtl/>
        </w:rPr>
        <w:t>–</w:t>
      </w:r>
      <w:r>
        <w:rPr>
          <w:rFonts w:hint="cs"/>
          <w:rtl/>
        </w:rPr>
        <w:t xml:space="preserve"> הסיטואציה של קידוש ה' נוצרת רק אם כוונתו של הגוי לבחון את נאמנותך להלכה, ולא כאשר הוא עושה את המעשה לצרכיו האישיים </w:t>
      </w:r>
      <w:r>
        <w:rPr>
          <w:rtl/>
        </w:rPr>
        <w:t>–</w:t>
      </w:r>
      <w:r>
        <w:rPr>
          <w:rFonts w:hint="cs"/>
          <w:rtl/>
        </w:rPr>
        <w:t xml:space="preserve"> תוספות יקבלו את הפטור של הנאת עצמן בעברות חמורות שאינן קשורות לקידוש ה'. </w:t>
      </w:r>
    </w:p>
    <w:p w:rsidR="008108E7" w:rsidRDefault="008108E7" w:rsidP="00486647">
      <w:pPr>
        <w:pStyle w:val="ListParagraph"/>
        <w:numPr>
          <w:ilvl w:val="0"/>
          <w:numId w:val="13"/>
        </w:numPr>
        <w:autoSpaceDE/>
        <w:autoSpaceDN/>
        <w:spacing w:afterLines="80" w:after="192"/>
        <w:rPr>
          <w:rFonts w:hint="cs"/>
          <w:rtl/>
        </w:rPr>
      </w:pPr>
      <w:r>
        <w:rPr>
          <w:rFonts w:hint="cs"/>
          <w:rtl/>
        </w:rPr>
        <w:t>הרמב"ם</w:t>
      </w:r>
    </w:p>
    <w:p w:rsidR="008108E7" w:rsidRDefault="008108E7" w:rsidP="00486647">
      <w:pPr>
        <w:pStyle w:val="BodyTextIndent"/>
        <w:spacing w:afterLines="80" w:after="192"/>
        <w:rPr>
          <w:rFonts w:hint="cs"/>
          <w:sz w:val="24"/>
          <w:szCs w:val="24"/>
          <w:rtl/>
        </w:rPr>
      </w:pPr>
      <w:r>
        <w:rPr>
          <w:rFonts w:hint="cs"/>
          <w:sz w:val="24"/>
          <w:szCs w:val="24"/>
          <w:rtl/>
        </w:rPr>
        <w:t xml:space="preserve">כל דיני ייהרג ואל יעבור מובאים ברמב"ם בהלכות יסודי התורה פרק ה'. הרמב"ם פותח פרק זה במילים "כל בית ישראל מצווים על קידוש השם הגדול הזה שנאמר </w:t>
      </w:r>
      <w:proofErr w:type="spellStart"/>
      <w:r>
        <w:rPr>
          <w:rFonts w:hint="cs"/>
          <w:sz w:val="24"/>
          <w:szCs w:val="24"/>
          <w:rtl/>
        </w:rPr>
        <w:t>ונקדשתי</w:t>
      </w:r>
      <w:proofErr w:type="spellEnd"/>
      <w:r>
        <w:rPr>
          <w:rFonts w:hint="cs"/>
          <w:sz w:val="24"/>
          <w:szCs w:val="24"/>
          <w:rtl/>
        </w:rPr>
        <w:t xml:space="preserve"> בתוך בני ישראל" (ה, א). אחר כך מפרט הרמב"ם את כל ההלכות שהבאנו לעיל, כפי שהוגדרו בסוגיה בסנהדרין. מדברי הרמב"ם עולה כי בניגוד לתוספות הוא סבור כי ישנה רק קטגוריה אחת המחייבת ייהרג ואל יעבור. שלושת העברות החמורות מצריכות מסירה למיתה משום שאפילו שלא </w:t>
      </w:r>
      <w:proofErr w:type="spellStart"/>
      <w:r>
        <w:rPr>
          <w:rFonts w:hint="cs"/>
          <w:sz w:val="24"/>
          <w:szCs w:val="24"/>
          <w:rtl/>
        </w:rPr>
        <w:t>בפרהסיא</w:t>
      </w:r>
      <w:proofErr w:type="spellEnd"/>
      <w:r>
        <w:rPr>
          <w:rFonts w:hint="cs"/>
          <w:sz w:val="24"/>
          <w:szCs w:val="24"/>
          <w:rtl/>
        </w:rPr>
        <w:t xml:space="preserve"> יש בעברות אלו משום חילול ה' עצום שחובה על יהודי </w:t>
      </w:r>
      <w:proofErr w:type="spellStart"/>
      <w:r>
        <w:rPr>
          <w:rFonts w:hint="cs"/>
          <w:sz w:val="24"/>
          <w:szCs w:val="24"/>
          <w:rtl/>
        </w:rPr>
        <w:t>למונעו</w:t>
      </w:r>
      <w:proofErr w:type="spellEnd"/>
      <w:r>
        <w:rPr>
          <w:rFonts w:hint="cs"/>
          <w:sz w:val="24"/>
          <w:szCs w:val="24"/>
          <w:rtl/>
        </w:rPr>
        <w:t xml:space="preserve">. חומרת האיסור אינה מה שמכריע את פטור פיקוח נפש, אלא חומרת האיסור היא הממחישה את גודל חילול ה' שיש בדבר. בסיכומו של דבר השיקול היחיד המגדיר את הצורך </w:t>
      </w:r>
      <w:proofErr w:type="spellStart"/>
      <w:r>
        <w:rPr>
          <w:rFonts w:hint="cs"/>
          <w:sz w:val="24"/>
          <w:szCs w:val="24"/>
          <w:rtl/>
        </w:rPr>
        <w:t>בייהרג</w:t>
      </w:r>
      <w:proofErr w:type="spellEnd"/>
      <w:r>
        <w:rPr>
          <w:rFonts w:hint="cs"/>
          <w:sz w:val="24"/>
          <w:szCs w:val="24"/>
          <w:rtl/>
        </w:rPr>
        <w:t xml:space="preserve"> ואל יעבור הוא חילול ה'  וקידוש ה'. </w:t>
      </w:r>
    </w:p>
    <w:p w:rsidR="008108E7" w:rsidRDefault="008108E7" w:rsidP="00486647">
      <w:pPr>
        <w:spacing w:afterLines="80" w:after="192"/>
        <w:ind w:firstLine="566"/>
        <w:rPr>
          <w:rFonts w:hint="cs"/>
          <w:rtl/>
        </w:rPr>
      </w:pPr>
      <w:r>
        <w:rPr>
          <w:rFonts w:hint="cs"/>
          <w:rtl/>
        </w:rPr>
        <w:t xml:space="preserve">הרמב"ם מבהיר זאת היטב בהלכה ד : "... וכל מי שנאמר בו ייהרג ואל יעבור ועבר ולא נהרג הרי זה מחלל את השם... ואף על פי כן מפני שעבר באונס אין מלקין אותו ואין צריך לומר שאין </w:t>
      </w:r>
      <w:proofErr w:type="spellStart"/>
      <w:r>
        <w:rPr>
          <w:rFonts w:hint="cs"/>
          <w:rtl/>
        </w:rPr>
        <w:t>ממיתין</w:t>
      </w:r>
      <w:proofErr w:type="spellEnd"/>
      <w:r>
        <w:rPr>
          <w:rFonts w:hint="cs"/>
          <w:rtl/>
        </w:rPr>
        <w:t xml:space="preserve"> אותו בית דין אפילו הרג באונס..." . מעשה הרצח או העבודה זרה נחשב כאונס ועל כן אין נענשים עליו, גם אם אסור היה לבצעו. האיסור היה איסור חילול ה' ולא איסור רצח. רצח כשלעצמו אינו מבטל את דין פיקוח נפש; ביטול פיקוח נפש מצריך חיבור של חילול ה' למעשה הרצח. </w:t>
      </w:r>
    </w:p>
    <w:p w:rsidR="008108E7" w:rsidRDefault="008108E7" w:rsidP="00486647">
      <w:pPr>
        <w:numPr>
          <w:ilvl w:val="0"/>
          <w:numId w:val="13"/>
        </w:numPr>
        <w:autoSpaceDE/>
        <w:autoSpaceDN/>
        <w:spacing w:afterLines="80" w:after="192"/>
        <w:rPr>
          <w:rFonts w:hint="cs"/>
          <w:rtl/>
        </w:rPr>
      </w:pPr>
      <w:r>
        <w:rPr>
          <w:rFonts w:hint="cs"/>
          <w:rtl/>
        </w:rPr>
        <w:t>בעל המאור</w:t>
      </w:r>
    </w:p>
    <w:p w:rsidR="008108E7" w:rsidRDefault="008108E7" w:rsidP="00486647">
      <w:pPr>
        <w:pStyle w:val="BodyTextIndent"/>
        <w:spacing w:afterLines="80" w:after="192"/>
        <w:rPr>
          <w:rFonts w:hint="cs"/>
          <w:sz w:val="24"/>
          <w:szCs w:val="24"/>
          <w:rtl/>
        </w:rPr>
      </w:pPr>
      <w:r>
        <w:rPr>
          <w:rFonts w:hint="cs"/>
          <w:sz w:val="24"/>
          <w:szCs w:val="24"/>
          <w:rtl/>
        </w:rPr>
        <w:t xml:space="preserve">בעל המאור (סנהדרין על אתר) פוסק כי הנאת עצמן מתירה לאדם לעבור אפילו על עריות ועל עבודה זרה. ברור שהנאת עצמן הוא מקרה המבטל את חילול ה' שבסיטואציה, ועל כן נראה כי בעל המאור מסכים עם הרמב"ם שאיסורן של עריות ועבודה זרה הוא בשל חילול ה' שבהן. (בעל המאור מודה כי במקרה של רצח אין להחיל  את פטור הנאת עצמן, משום שבמקרה זה שייכת סברת "מאי חזית"). </w:t>
      </w:r>
    </w:p>
    <w:p w:rsidR="008108E7" w:rsidRDefault="008108E7" w:rsidP="00486647">
      <w:pPr>
        <w:spacing w:afterLines="80" w:after="192"/>
        <w:ind w:firstLine="566"/>
        <w:rPr>
          <w:rFonts w:hint="cs"/>
          <w:rtl/>
        </w:rPr>
      </w:pPr>
      <w:r>
        <w:rPr>
          <w:rFonts w:hint="cs"/>
          <w:rtl/>
        </w:rPr>
        <w:t xml:space="preserve">אך הרמב"ם אינו מסכים עם בעל המאור (יסודי התורה ה, ב). מהו החילוק בשיטת הרמב"ם בין שאר איסורים </w:t>
      </w:r>
      <w:proofErr w:type="spellStart"/>
      <w:r>
        <w:rPr>
          <w:rFonts w:hint="cs"/>
          <w:rtl/>
        </w:rPr>
        <w:t>בפרהסיא</w:t>
      </w:r>
      <w:proofErr w:type="spellEnd"/>
      <w:r>
        <w:rPr>
          <w:rFonts w:hint="cs"/>
          <w:rtl/>
        </w:rPr>
        <w:t xml:space="preserve"> המותרים אם נעשים להנאת עצמן ובין שלושת האיסורים החמורים הנעשים להנאת עצמן של הגויים? </w:t>
      </w:r>
    </w:p>
    <w:p w:rsidR="008108E7" w:rsidRDefault="008108E7" w:rsidP="00486647">
      <w:pPr>
        <w:spacing w:afterLines="80" w:after="192"/>
        <w:ind w:firstLine="566"/>
        <w:rPr>
          <w:rFonts w:hint="cs"/>
          <w:rtl/>
        </w:rPr>
      </w:pPr>
      <w:r>
        <w:rPr>
          <w:rFonts w:hint="cs"/>
          <w:rtl/>
        </w:rPr>
        <w:t xml:space="preserve">התשובה פשוטה. מרכיב החילול ה' </w:t>
      </w:r>
      <w:proofErr w:type="spellStart"/>
      <w:r>
        <w:rPr>
          <w:rFonts w:hint="cs"/>
          <w:rtl/>
        </w:rPr>
        <w:t>שבפרהסיא</w:t>
      </w:r>
      <w:proofErr w:type="spellEnd"/>
      <w:r>
        <w:rPr>
          <w:rFonts w:hint="cs"/>
          <w:rtl/>
        </w:rPr>
        <w:t xml:space="preserve"> נוצר בשל אופיו הציבורי של המעשה. במילים אחרות, חילול ה' במקרה זה נובע מהצורה בה נתפס </w:t>
      </w:r>
      <w:r>
        <w:rPr>
          <w:rFonts w:hint="cs"/>
          <w:u w:val="single"/>
          <w:rtl/>
        </w:rPr>
        <w:t>האיסור</w:t>
      </w:r>
      <w:r>
        <w:rPr>
          <w:rFonts w:hint="cs"/>
          <w:rtl/>
        </w:rPr>
        <w:t xml:space="preserve"> , כפי שכבר הסברתי לעיל. הנסיבות הגלויות משפיעות על האופן בו אנו תופסים את משמעות המעשה. ממילא, המניע של הגוי הוא גורם משמעותי שעשוי לשנות את ההקשר בו נעשה האיסור. מכיוון שחילול ה' תלוי באופן בו מתפרש המעשה, הנאת עצמן מסלקת את בעיית החילול ה'. אולם במקרה של ג' החמורות למרות שהסיבה </w:t>
      </w:r>
      <w:proofErr w:type="spellStart"/>
      <w:r>
        <w:rPr>
          <w:rFonts w:hint="cs"/>
          <w:rtl/>
        </w:rPr>
        <w:t>לייהרג</w:t>
      </w:r>
      <w:proofErr w:type="spellEnd"/>
      <w:r>
        <w:rPr>
          <w:rFonts w:hint="cs"/>
          <w:rtl/>
        </w:rPr>
        <w:t xml:space="preserve"> ואל יעבור היא חילול ה', כאן אין מדובר בחילול ה' הנובע מן הצורה בה ייתפס המעשה (שממילא נעשה בפרטיות) אלא בחילול ה' הנובע מעצם המעשה ומחומרתו. הנאת עצמן אינה מבטלת את חילול ה' מצד עצמו, אלא רק חילול ה' התלוי בצורה בה מתפרש המעשה. אך במקרים של ג' החמורות, מדובר בחילול ה' אינהרנטי למעשה. </w:t>
      </w:r>
    </w:p>
    <w:p w:rsidR="008108E7" w:rsidRDefault="008108E7" w:rsidP="00486647">
      <w:pPr>
        <w:spacing w:afterLines="80" w:after="192"/>
        <w:ind w:firstLine="566"/>
        <w:rPr>
          <w:rFonts w:hint="cs"/>
          <w:rtl/>
        </w:rPr>
      </w:pPr>
      <w:r>
        <w:rPr>
          <w:rFonts w:hint="cs"/>
          <w:rtl/>
        </w:rPr>
        <w:t xml:space="preserve">בעל המאור סבור כי היעדר כוונה של הגוי לגרום ליהודי לנטוש את אמונתו מסלק את עניין קידוש וחילול ה' מן הדיון. על אף שקיים הבדל בין ג' החמורות ובין יתר האיסורים, בשני המקרים ניתן לדבר על חילול ה' רק אם הכפייה באה לבדוק את מידת המחויבות לא-ל. במובן זה, הנאת עצמן היא גורם מתאים לסתירתה של  אפשרות זו, ובהמשך לכך, לביטול דין ייהרג ואל יעבור. </w:t>
      </w:r>
    </w:p>
    <w:p w:rsidR="008108E7" w:rsidRDefault="008108E7" w:rsidP="00486647">
      <w:pPr>
        <w:numPr>
          <w:ilvl w:val="0"/>
          <w:numId w:val="13"/>
        </w:numPr>
        <w:autoSpaceDE/>
        <w:autoSpaceDN/>
        <w:spacing w:afterLines="80" w:after="192"/>
        <w:rPr>
          <w:rFonts w:hint="cs"/>
          <w:rtl/>
        </w:rPr>
      </w:pPr>
      <w:r>
        <w:rPr>
          <w:rFonts w:hint="cs"/>
          <w:rtl/>
        </w:rPr>
        <w:t>הרמב"ן</w:t>
      </w:r>
    </w:p>
    <w:p w:rsidR="008108E7" w:rsidRDefault="008108E7" w:rsidP="00486647">
      <w:pPr>
        <w:spacing w:afterLines="80" w:after="192"/>
        <w:ind w:firstLine="566"/>
        <w:rPr>
          <w:rFonts w:hint="cs"/>
          <w:rtl/>
        </w:rPr>
      </w:pPr>
      <w:r>
        <w:rPr>
          <w:rFonts w:hint="cs"/>
          <w:rtl/>
        </w:rPr>
        <w:t xml:space="preserve">הרמב"ן (מלחמות על אתר, הובא ברבנו דוד בסוגיה בפסחים) חולק על בעל המאור. הוא מסביר בפירוט את סיבת התנגדותו </w:t>
      </w:r>
      <w:r>
        <w:rPr>
          <w:rtl/>
        </w:rPr>
        <w:t>–</w:t>
      </w:r>
      <w:r>
        <w:rPr>
          <w:rFonts w:hint="cs"/>
          <w:rtl/>
        </w:rPr>
        <w:t xml:space="preserve"> הנאת עצמן הוא פטור השייך רק </w:t>
      </w:r>
      <w:proofErr w:type="spellStart"/>
      <w:r>
        <w:rPr>
          <w:rFonts w:hint="cs"/>
          <w:rtl/>
        </w:rPr>
        <w:t>בייהרג</w:t>
      </w:r>
      <w:proofErr w:type="spellEnd"/>
      <w:r>
        <w:rPr>
          <w:rFonts w:hint="cs"/>
          <w:rtl/>
        </w:rPr>
        <w:t xml:space="preserve"> ואל יעבור הנובע מחילול ה'; הסיבה לחיוב ייהרג ואל יעבור בג' החמורות הוא משום חומרת המעשה ללא תלות בשאלת חילול ה'. ראינו כבר לעיל, כי זו עמדתם של התוספות. הרמב"ן מציין כי המקרים אותם מצטט בעל המאור בעצמו עומדים בניגוד לשיטתו. ישנם שני מקרים של ייהרג ואל יעבור בענייני רפואה. אחד מופיע בגמרא בסנהדרין לגבי אדם שהיה מאוהב עד מוות באישה האסורה לו. אדם זה היה מת אלמלא היה מקיים יחסי אישות עם אותה אישה. הדין הוא כי אסור לו להתרפא בעריות. המקרה השני מופיע בסוגיה שלנו בפסחים לגבי מתרפא באשרה (האסורה בהנאה כשאר עבודה זרה). הרמב"ן טוען כי מקרים אלו הם למעשה מקרים של הנאת עצמן. בחילוק שבין הנאת עצמן ובין הרצון שיהודי יעבור איסור, הרצון שיהודי יעבור איסור הוא הגורם המשפיע. רק במקרה כזה, יש נסיבות המאפשרות קידוש ה'. </w:t>
      </w:r>
      <w:r>
        <w:rPr>
          <w:rFonts w:hint="cs"/>
          <w:u w:val="single"/>
          <w:rtl/>
        </w:rPr>
        <w:t>בכל מקרה</w:t>
      </w:r>
      <w:r>
        <w:rPr>
          <w:rFonts w:hint="cs"/>
          <w:rtl/>
        </w:rPr>
        <w:t xml:space="preserve"> אחר בו נסיבות חיצוניות אלו לא קיימות לא שייך קידוש ה'. במקרה של איום מצד גוי, אם אין קידוש  ה' אז מדובר בהנאת עצמן. במקרה של מחלה, אין כל איום אישי על האדם, ועל כן אין כאן נסיבות של קידוש ה'. הנקודה המרכזית כאן היא שהאיסור אינו מסמל דחייה של התורה. לכן, לדעת בעל המאור, מתבקש היה להתיר שימוש בעבודה זרה או בעריות לצורכי רפואה. </w:t>
      </w:r>
    </w:p>
    <w:p w:rsidR="008108E7" w:rsidRDefault="008108E7" w:rsidP="00486647">
      <w:pPr>
        <w:spacing w:afterLines="80" w:after="192"/>
        <w:ind w:firstLine="566"/>
        <w:rPr>
          <w:rFonts w:hint="cs"/>
          <w:rtl/>
        </w:rPr>
      </w:pPr>
      <w:r>
        <w:rPr>
          <w:rFonts w:hint="cs"/>
          <w:rtl/>
        </w:rPr>
        <w:t xml:space="preserve">היות שבעל המאור מביא מקרים אלו בעצמו, ברור כי הוא מגדיר אחרת את הנאת עצמן. נראה כי הוא סבור כי עצם הכוונה של הגוי להשתמש במעשה זה לשם תועלתו האישית היא הגורם המקל (ופוטר מחיוב ייהרג ואל יעבור. כוונתו של העובר על האיסור היא להנאת עצמו (כפי שאכן קורה במקרה של מחלה) עדיין מחשיבה את המקרה למקרה של קידוש ה'. עדיין יש מקום לשאול מדוע מקרה של הנאת עצמו ייחשב במקרה של חילול ה' אם מכל מקום הוא אינו מתכוון לעבור על דברי הקב"ה </w:t>
      </w:r>
      <w:r>
        <w:rPr>
          <w:rtl/>
        </w:rPr>
        <w:t>–</w:t>
      </w:r>
      <w:r>
        <w:rPr>
          <w:rFonts w:hint="cs"/>
          <w:rtl/>
        </w:rPr>
        <w:t xml:space="preserve"> בדיוק כפי שיהודי עושה איסור לטובת הגוי, שגם שם אין חילול ה' בהנאת עצמו? על שאלה זו ננסה לענות בשיעור הבא. </w:t>
      </w:r>
    </w:p>
    <w:p w:rsidR="008108E7" w:rsidRDefault="008108E7" w:rsidP="00486647">
      <w:pPr>
        <w:spacing w:afterLines="80" w:after="192"/>
        <w:ind w:firstLine="566"/>
        <w:rPr>
          <w:rFonts w:hint="cs"/>
          <w:rtl/>
        </w:rPr>
      </w:pPr>
      <w:r>
        <w:rPr>
          <w:rFonts w:hint="cs"/>
          <w:rtl/>
        </w:rPr>
        <w:t xml:space="preserve">נקודה אחרונה לגבי מתרפא בעבודה זרה. האיסור ליהנות מאשרה אינו איסור עבודה זרה מצד עצמו. אדם האוכל פרי שצמח על אשרה אינו חייב מיתה כמי שעבד עבודה זרה. מדובר באיסור לאו, כמו שאר איסורי הנאה. בעל המאור מסביר, ורבים מן הראשונים מסכימים עמו, כי מדובר </w:t>
      </w:r>
      <w:proofErr w:type="spellStart"/>
      <w:r>
        <w:rPr>
          <w:rFonts w:hint="cs"/>
          <w:rtl/>
        </w:rPr>
        <w:t>באביזרייהו</w:t>
      </w:r>
      <w:proofErr w:type="spellEnd"/>
      <w:r>
        <w:rPr>
          <w:rFonts w:hint="cs"/>
          <w:rtl/>
        </w:rPr>
        <w:t xml:space="preserve">. כל איסור הקשור לאיסור עבודה זרה, ואפילו האיסור הקל ביותר, נכלל בקטגוריה של ייהרג ואל יעבור. מקרה נוסף הוא המקרה של חולה שיכול להתרפות רק אם יעבור על איסור עם אשת איש (על פי עצת רופאיו). ברור כי סיבת האיסור בקונסטלציה הזו של העובדות, אינה חומרת המעשה, אלא הגדרת המעשה </w:t>
      </w:r>
      <w:proofErr w:type="spellStart"/>
      <w:r>
        <w:rPr>
          <w:rFonts w:hint="cs"/>
          <w:rtl/>
        </w:rPr>
        <w:t>כאביזרייהו</w:t>
      </w:r>
      <w:proofErr w:type="spellEnd"/>
      <w:r>
        <w:rPr>
          <w:rFonts w:hint="cs"/>
          <w:rtl/>
        </w:rPr>
        <w:t xml:space="preserve">. </w:t>
      </w:r>
    </w:p>
    <w:p w:rsidR="008108E7" w:rsidRDefault="008108E7" w:rsidP="00486647">
      <w:pPr>
        <w:spacing w:afterLines="80" w:after="192"/>
        <w:ind w:firstLine="566"/>
        <w:rPr>
          <w:rFonts w:hint="cs"/>
          <w:rtl/>
        </w:rPr>
      </w:pPr>
      <w:r>
        <w:rPr>
          <w:rFonts w:hint="cs"/>
          <w:rtl/>
        </w:rPr>
        <w:t xml:space="preserve">במקרה האחרון, אין ויכוח לגבי נקודה זו. אך הדברים אינם כה ברורים במקרה של אשרה. דיבור אל אישה נשואה (בהקשר מיני) היא צורה מינורית של קיום יחסי אישות. אך הנאה מאכילת פרות של אשרה אינה מוגדרת כצורה מינורית יותר של עבודה זרה. פרות האשרה אסורים משום שפעם מישהו אחר עבד אותה. הנאה מאשרה כרגע כמוה כהנאה מבשר בחלב או מחמץ. האם גם מקרה זה מוגדר </w:t>
      </w:r>
      <w:proofErr w:type="spellStart"/>
      <w:r>
        <w:rPr>
          <w:rFonts w:hint="cs"/>
          <w:rtl/>
        </w:rPr>
        <w:t>כאביזרייהו</w:t>
      </w:r>
      <w:proofErr w:type="spellEnd"/>
      <w:r>
        <w:rPr>
          <w:rFonts w:hint="cs"/>
          <w:rtl/>
        </w:rPr>
        <w:t xml:space="preserve">? </w:t>
      </w:r>
    </w:p>
    <w:p w:rsidR="008108E7" w:rsidRDefault="008108E7" w:rsidP="00486647">
      <w:pPr>
        <w:spacing w:afterLines="80" w:after="192"/>
        <w:ind w:firstLine="566"/>
        <w:rPr>
          <w:rFonts w:hint="cs"/>
          <w:rtl/>
        </w:rPr>
      </w:pPr>
      <w:r>
        <w:rPr>
          <w:rFonts w:hint="cs"/>
          <w:rtl/>
        </w:rPr>
        <w:t xml:space="preserve">בעל המאור טוען כי אכן כך. הוא מגדיר </w:t>
      </w:r>
      <w:proofErr w:type="spellStart"/>
      <w:r>
        <w:rPr>
          <w:rFonts w:hint="cs"/>
          <w:rtl/>
        </w:rPr>
        <w:t>כאביזרייהו</w:t>
      </w:r>
      <w:proofErr w:type="spellEnd"/>
      <w:r>
        <w:rPr>
          <w:rFonts w:hint="cs"/>
          <w:rtl/>
        </w:rPr>
        <w:t xml:space="preserve"> כל דבר שיש לו קשר עם עבודה זרה או עריות. תוספות (פסחים כה. ד"ה "חוץ") טוען כי המקרה של אשרה עוסק במצב בו הרופא אומר לחולה כי ריפויו תלוי בעובדה שהעץ הוא אכן אשרה </w:t>
      </w:r>
      <w:r>
        <w:rPr>
          <w:rtl/>
        </w:rPr>
        <w:t>–</w:t>
      </w:r>
      <w:r>
        <w:rPr>
          <w:rFonts w:hint="cs"/>
          <w:rtl/>
        </w:rPr>
        <w:t xml:space="preserve"> עץ אחר מאותו המין לא ישיג את אותה התוצאה. אפשר כי המניע לדברי תוספות הוא הרצון כי איסור אשרה לא יהא בשל משהו שנעשה בה בעבר, אלא בשל האיסור ליהנות </w:t>
      </w:r>
      <w:r>
        <w:rPr>
          <w:rFonts w:hint="cs"/>
          <w:u w:val="single"/>
          <w:rtl/>
        </w:rPr>
        <w:t>כעת</w:t>
      </w:r>
      <w:r>
        <w:rPr>
          <w:rFonts w:hint="cs"/>
          <w:rtl/>
        </w:rPr>
        <w:t xml:space="preserve"> מעבודה זרה. מצב זה מחזק את הקשר שבין אשרה ובין עבודה זרה ומקל על היכולת להגדיר את האשרה </w:t>
      </w:r>
      <w:proofErr w:type="spellStart"/>
      <w:r>
        <w:rPr>
          <w:rFonts w:hint="cs"/>
          <w:rtl/>
        </w:rPr>
        <w:t>כאביזרייהו</w:t>
      </w:r>
      <w:proofErr w:type="spellEnd"/>
      <w:r>
        <w:rPr>
          <w:rFonts w:hint="cs"/>
          <w:rtl/>
        </w:rPr>
        <w:t xml:space="preserve">. </w:t>
      </w:r>
    </w:p>
    <w:p w:rsidR="008108E7" w:rsidRDefault="008108E7" w:rsidP="00486647">
      <w:pPr>
        <w:spacing w:afterLines="80" w:after="192"/>
        <w:ind w:firstLine="566"/>
        <w:rPr>
          <w:rFonts w:hint="cs"/>
          <w:rtl/>
        </w:rPr>
      </w:pPr>
      <w:r>
        <w:rPr>
          <w:rFonts w:hint="cs"/>
          <w:rtl/>
        </w:rPr>
        <w:t xml:space="preserve">ישנן שתי פרשנויות למקרה של אשרה; אחת היא כי אמנם העץ מוגדר כאשרה אבל ההנאה ממנו אינה בשל היותו אשרה אלא בשל תכונותיו הרגילות, והשנייה כי ההנאה היא מעצם היותו של העץ אשרה. נקודה זו תקבל משמעות רבה כאשר נבוא לתרץ את קושיות הרמב"ן על בעל המאור, שהובאו לעיל. שים לב לנקודה זו כאשר תקרא את </w:t>
      </w:r>
      <w:proofErr w:type="spellStart"/>
      <w:r>
        <w:rPr>
          <w:rFonts w:hint="cs"/>
          <w:rtl/>
        </w:rPr>
        <w:t>הר"ן</w:t>
      </w:r>
      <w:proofErr w:type="spellEnd"/>
      <w:r>
        <w:rPr>
          <w:rFonts w:hint="cs"/>
          <w:rtl/>
        </w:rPr>
        <w:t xml:space="preserve"> על הסוגיה שלנו בפסחים. </w:t>
      </w:r>
    </w:p>
    <w:p w:rsidR="008108E7" w:rsidRDefault="008108E7" w:rsidP="00486647">
      <w:pPr>
        <w:spacing w:afterLines="80" w:after="192"/>
        <w:rPr>
          <w:rFonts w:hint="cs"/>
          <w:rtl/>
        </w:rPr>
      </w:pPr>
    </w:p>
    <w:p w:rsidR="008108E7" w:rsidRDefault="00486647" w:rsidP="00486647">
      <w:pPr>
        <w:spacing w:afterLines="80" w:after="192"/>
        <w:rPr>
          <w:rFonts w:hint="cs"/>
          <w:rtl/>
        </w:rPr>
      </w:pPr>
      <w:r>
        <w:rPr>
          <w:rFonts w:hint="cs"/>
          <w:rtl/>
        </w:rPr>
        <w:t>מקורות ל</w:t>
      </w:r>
      <w:r w:rsidR="008108E7">
        <w:rPr>
          <w:rFonts w:hint="cs"/>
          <w:rtl/>
        </w:rPr>
        <w:t>שבוע הבא:</w:t>
      </w:r>
    </w:p>
    <w:p w:rsidR="008108E7" w:rsidRDefault="008108E7" w:rsidP="00486647">
      <w:pPr>
        <w:spacing w:afterLines="80" w:after="192"/>
        <w:rPr>
          <w:rFonts w:hint="cs"/>
          <w:rtl/>
        </w:rPr>
      </w:pPr>
      <w:r>
        <w:rPr>
          <w:rFonts w:hint="cs"/>
          <w:rtl/>
        </w:rPr>
        <w:t>נדון בעיקר בשימוש באיסורים על מנת להתרפא (הן איסורים חמורים והן איסורים רגיל</w:t>
      </w:r>
      <w:bookmarkStart w:id="0" w:name="_GoBack"/>
      <w:bookmarkEnd w:id="0"/>
      <w:r>
        <w:rPr>
          <w:rFonts w:hint="cs"/>
          <w:rtl/>
        </w:rPr>
        <w:t xml:space="preserve">ים). יש ללמוד את הגמרא עד כה: "איתמר". בהתחלה, נדון </w:t>
      </w:r>
      <w:proofErr w:type="spellStart"/>
      <w:r>
        <w:rPr>
          <w:rFonts w:hint="cs"/>
          <w:rtl/>
        </w:rPr>
        <w:t>בייהרג</w:t>
      </w:r>
      <w:proofErr w:type="spellEnd"/>
      <w:r>
        <w:rPr>
          <w:rFonts w:hint="cs"/>
          <w:rtl/>
        </w:rPr>
        <w:t xml:space="preserve"> ואל יעבור ברפואה (בו כבר התחלנו לעסוק היום), ואז  נדון באיסורים אחרים ברפואה במצב שאינו פיקוח נפש (זהו למעשה המשך הדיון של השבוע שעבר לגבי שלא כדרך הנאתו). </w:t>
      </w:r>
    </w:p>
    <w:p w:rsidR="008108E7" w:rsidRDefault="008108E7" w:rsidP="00486647">
      <w:pPr>
        <w:spacing w:afterLines="80" w:after="192"/>
        <w:rPr>
          <w:rFonts w:hint="cs"/>
          <w:rtl/>
        </w:rPr>
      </w:pPr>
      <w:r>
        <w:rPr>
          <w:rFonts w:hint="cs"/>
          <w:rtl/>
        </w:rPr>
        <w:t>עיין:</w:t>
      </w:r>
    </w:p>
    <w:p w:rsidR="008108E7" w:rsidRDefault="008108E7" w:rsidP="00486647">
      <w:pPr>
        <w:spacing w:afterLines="80" w:after="192"/>
        <w:rPr>
          <w:rFonts w:hint="cs"/>
          <w:rtl/>
        </w:rPr>
      </w:pPr>
      <w:r>
        <w:rPr>
          <w:rFonts w:hint="cs"/>
          <w:rtl/>
        </w:rPr>
        <w:t xml:space="preserve">רמב"ם הלכות יסודי התורה פרק ה: ד, ו </w:t>
      </w:r>
    </w:p>
    <w:p w:rsidR="008108E7" w:rsidRDefault="008108E7" w:rsidP="00486647">
      <w:pPr>
        <w:spacing w:afterLines="80" w:after="192"/>
        <w:rPr>
          <w:rFonts w:hint="cs"/>
          <w:rtl/>
        </w:rPr>
      </w:pPr>
      <w:proofErr w:type="spellStart"/>
      <w:r>
        <w:rPr>
          <w:rFonts w:hint="cs"/>
          <w:rtl/>
        </w:rPr>
        <w:t>ר"ן</w:t>
      </w:r>
      <w:proofErr w:type="spellEnd"/>
      <w:r>
        <w:rPr>
          <w:rFonts w:hint="cs"/>
          <w:rtl/>
        </w:rPr>
        <w:t xml:space="preserve"> פסחים (על </w:t>
      </w:r>
      <w:proofErr w:type="spellStart"/>
      <w:r>
        <w:rPr>
          <w:rFonts w:hint="cs"/>
          <w:rtl/>
        </w:rPr>
        <w:t>הרי"ף</w:t>
      </w:r>
      <w:proofErr w:type="spellEnd"/>
      <w:r>
        <w:rPr>
          <w:rFonts w:hint="cs"/>
          <w:rtl/>
        </w:rPr>
        <w:t xml:space="preserve"> ו.) ד"ה "וקשה", מהמילים "ואלו הקושיות"</w:t>
      </w:r>
    </w:p>
    <w:p w:rsidR="008108E7" w:rsidRDefault="008108E7" w:rsidP="00486647">
      <w:pPr>
        <w:spacing w:afterLines="80" w:after="192"/>
        <w:rPr>
          <w:rFonts w:hint="cs"/>
          <w:rtl/>
        </w:rPr>
      </w:pPr>
      <w:r>
        <w:rPr>
          <w:rFonts w:hint="cs"/>
          <w:rtl/>
        </w:rPr>
        <w:t>רבנו דוד ד"ה "בכל"</w:t>
      </w:r>
    </w:p>
    <w:p w:rsidR="008108E7" w:rsidRDefault="008108E7" w:rsidP="00486647">
      <w:pPr>
        <w:spacing w:afterLines="80" w:after="192"/>
        <w:rPr>
          <w:rFonts w:hint="cs"/>
          <w:rtl/>
        </w:rPr>
      </w:pPr>
      <w:r>
        <w:rPr>
          <w:rFonts w:hint="cs"/>
          <w:rtl/>
        </w:rPr>
        <w:t>[לסיכום רוב הנקודות שעלו בסוגיה בסנהדרין, כולל אלו שנידונו בשיעור זה, עיין ברבנו דוד כאן.]</w:t>
      </w:r>
    </w:p>
    <w:p w:rsidR="008108E7" w:rsidRDefault="008108E7" w:rsidP="00486647">
      <w:pPr>
        <w:spacing w:afterLines="80" w:after="192"/>
        <w:rPr>
          <w:rFonts w:hint="cs"/>
          <w:rtl/>
        </w:rPr>
      </w:pPr>
      <w:r>
        <w:rPr>
          <w:rFonts w:hint="cs"/>
          <w:rtl/>
        </w:rPr>
        <w:t>רמב"ם יסודי התורה ה, ח (השווה להלכות מאכלות אסורות יד, י- יא)</w:t>
      </w:r>
    </w:p>
    <w:p w:rsidR="008108E7" w:rsidRDefault="008108E7" w:rsidP="00486647">
      <w:pPr>
        <w:spacing w:afterLines="80" w:after="192"/>
      </w:pPr>
      <w:r>
        <w:rPr>
          <w:rFonts w:hint="cs"/>
          <w:rtl/>
        </w:rPr>
        <w:t>רבנו דוד ד"ה "מידי"</w:t>
      </w:r>
    </w:p>
    <w:p w:rsidR="00B95060" w:rsidRPr="008108E7" w:rsidRDefault="00B95060" w:rsidP="00486647">
      <w:pPr>
        <w:spacing w:afterLines="80" w:after="192"/>
        <w:rPr>
          <w:sz w:val="28"/>
          <w:szCs w:val="28"/>
        </w:rPr>
      </w:pPr>
    </w:p>
    <w:sectPr w:rsidR="00B95060" w:rsidRPr="008108E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8A9" w:rsidRDefault="00A258A9">
      <w:r>
        <w:separator/>
      </w:r>
    </w:p>
  </w:endnote>
  <w:endnote w:type="continuationSeparator" w:id="0">
    <w:p w:rsidR="00A258A9" w:rsidRDefault="00A2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8A9" w:rsidRDefault="00A258A9">
      <w:r>
        <w:separator/>
      </w:r>
    </w:p>
  </w:footnote>
  <w:footnote w:type="continuationSeparator" w:id="0">
    <w:p w:rsidR="00A258A9" w:rsidRDefault="00A25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8A9" w:rsidRDefault="00A258A9">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9B0F91">
      <w:rPr>
        <w:b/>
        <w:bCs/>
        <w:noProof/>
        <w:sz w:val="21"/>
        <w:rtl/>
      </w:rPr>
      <w:t>2</w:t>
    </w:r>
    <w:r>
      <w:rPr>
        <w:b/>
        <w:bCs/>
        <w:sz w:val="21"/>
        <w:rtl/>
      </w:rPr>
      <w:fldChar w:fldCharType="end"/>
    </w:r>
    <w:r>
      <w:rPr>
        <w:b/>
        <w:bCs/>
        <w:sz w:val="21"/>
        <w:rtl/>
      </w:rPr>
      <w:t xml:space="preserve"> -</w:t>
    </w:r>
  </w:p>
  <w:p w:rsidR="00A258A9" w:rsidRDefault="00A258A9"/>
  <w:p w:rsidR="00A258A9" w:rsidRDefault="00A25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A258A9">
      <w:tc>
        <w:tcPr>
          <w:tcW w:w="4927" w:type="dxa"/>
          <w:tcBorders>
            <w:top w:val="nil"/>
            <w:left w:val="nil"/>
            <w:bottom w:val="double" w:sz="4" w:space="0" w:color="auto"/>
            <w:right w:val="nil"/>
          </w:tcBorders>
        </w:tcPr>
        <w:p w:rsidR="00A258A9" w:rsidRDefault="00A258A9">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rsidR="00A258A9" w:rsidRDefault="00A258A9" w:rsidP="00A33E2E">
          <w:pPr>
            <w:pStyle w:val="Header"/>
            <w:tabs>
              <w:tab w:val="clear" w:pos="4153"/>
              <w:tab w:val="clear" w:pos="8306"/>
              <w:tab w:val="center" w:pos="4818"/>
              <w:tab w:val="right" w:pos="8220"/>
            </w:tabs>
            <w:spacing w:after="0"/>
            <w:rPr>
              <w:sz w:val="21"/>
            </w:rPr>
          </w:pPr>
          <w:r>
            <w:rPr>
              <w:sz w:val="21"/>
              <w:rtl/>
            </w:rPr>
            <w:t xml:space="preserve">שיעורים בעיון במסכת </w:t>
          </w:r>
          <w:r>
            <w:rPr>
              <w:rFonts w:hint="cs"/>
              <w:sz w:val="21"/>
              <w:rtl/>
            </w:rPr>
            <w:t>פסחים</w:t>
          </w:r>
          <w:r>
            <w:rPr>
              <w:sz w:val="21"/>
              <w:rtl/>
            </w:rPr>
            <w:t xml:space="preserve"> מאת רבני הישיבה</w:t>
          </w:r>
        </w:p>
      </w:tc>
      <w:tc>
        <w:tcPr>
          <w:tcW w:w="4927" w:type="dxa"/>
          <w:tcBorders>
            <w:top w:val="nil"/>
            <w:left w:val="nil"/>
            <w:bottom w:val="double" w:sz="4" w:space="0" w:color="auto"/>
            <w:right w:val="nil"/>
          </w:tcBorders>
          <w:vAlign w:val="center"/>
        </w:tcPr>
        <w:p w:rsidR="00A258A9" w:rsidRDefault="00A258A9" w:rsidP="000A6E46">
          <w:pPr>
            <w:pStyle w:val="Header"/>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A258A9" w:rsidRDefault="00A258A9">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360E"/>
    <w:multiLevelType w:val="multilevel"/>
    <w:tmpl w:val="EAB6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2082D"/>
    <w:multiLevelType w:val="hybridMultilevel"/>
    <w:tmpl w:val="C6AEB14C"/>
    <w:lvl w:ilvl="0" w:tplc="FFFFFFFF">
      <w:start w:val="1"/>
      <w:numFmt w:val="decimal"/>
      <w:lvlText w:val="%1."/>
      <w:lvlJc w:val="left"/>
      <w:pPr>
        <w:tabs>
          <w:tab w:val="num" w:pos="720"/>
        </w:tabs>
        <w:ind w:left="720" w:right="720" w:hanging="360"/>
      </w:p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2">
    <w:nsid w:val="129F17FA"/>
    <w:multiLevelType w:val="hybridMultilevel"/>
    <w:tmpl w:val="70AAB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44BDF"/>
    <w:multiLevelType w:val="hybridMultilevel"/>
    <w:tmpl w:val="542A6410"/>
    <w:lvl w:ilvl="0" w:tplc="AC20EA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9043F"/>
    <w:multiLevelType w:val="hybridMultilevel"/>
    <w:tmpl w:val="521C4BE8"/>
    <w:lvl w:ilvl="0" w:tplc="FFFFFFFF">
      <w:start w:val="1"/>
      <w:numFmt w:val="koreanLeg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5">
    <w:nsid w:val="1FF120B4"/>
    <w:multiLevelType w:val="hybridMultilevel"/>
    <w:tmpl w:val="BF14DE88"/>
    <w:lvl w:ilvl="0" w:tplc="FFFFFFFF">
      <w:start w:val="1"/>
      <w:numFmt w:val="koreanLegal"/>
      <w:lvlText w:val="%1."/>
      <w:lvlJc w:val="left"/>
      <w:pPr>
        <w:tabs>
          <w:tab w:val="num" w:pos="720"/>
        </w:tabs>
        <w:ind w:left="720" w:right="720" w:hanging="360"/>
      </w:pPr>
      <w:rPr>
        <w:rFonts w:hint="cs"/>
      </w:rPr>
    </w:lvl>
    <w:lvl w:ilvl="1" w:tplc="FFFFFFFF">
      <w:start w:val="1"/>
      <w:numFmt w:val="decimal"/>
      <w:lvlText w:val="%2."/>
      <w:lvlJc w:val="left"/>
      <w:pPr>
        <w:tabs>
          <w:tab w:val="num" w:pos="1440"/>
        </w:tabs>
        <w:ind w:left="1440" w:right="1440" w:hanging="360"/>
      </w:pPr>
      <w:rPr>
        <w:rFonts w:hint="cs"/>
      </w:r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6">
    <w:nsid w:val="29167998"/>
    <w:multiLevelType w:val="hybridMultilevel"/>
    <w:tmpl w:val="F35EE712"/>
    <w:lvl w:ilvl="0" w:tplc="A294A8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D93200"/>
    <w:multiLevelType w:val="hybridMultilevel"/>
    <w:tmpl w:val="E962F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D94E3C"/>
    <w:multiLevelType w:val="hybridMultilevel"/>
    <w:tmpl w:val="47B0A016"/>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nsid w:val="3FE873CA"/>
    <w:multiLevelType w:val="hybridMultilevel"/>
    <w:tmpl w:val="9A9A8BBC"/>
    <w:lvl w:ilvl="0" w:tplc="11C88BF4">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0">
    <w:nsid w:val="45410DC6"/>
    <w:multiLevelType w:val="multilevel"/>
    <w:tmpl w:val="0C38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6035CE"/>
    <w:multiLevelType w:val="hybridMultilevel"/>
    <w:tmpl w:val="E1A07810"/>
    <w:lvl w:ilvl="0" w:tplc="FFFFFFFF">
      <w:start w:val="1"/>
      <w:numFmt w:val="decimal"/>
      <w:lvlText w:val="%1."/>
      <w:lvlJc w:val="left"/>
      <w:pPr>
        <w:tabs>
          <w:tab w:val="num" w:pos="720"/>
        </w:tabs>
        <w:ind w:left="720" w:right="720" w:hanging="360"/>
      </w:pPr>
      <w:rPr>
        <w:rFonts w:hint="cs"/>
      </w:rPr>
    </w:lvl>
    <w:lvl w:ilvl="1" w:tplc="FFFFFFFF">
      <w:start w:val="1"/>
      <w:numFmt w:val="decimal"/>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12">
    <w:nsid w:val="6B6D0FC0"/>
    <w:multiLevelType w:val="hybridMultilevel"/>
    <w:tmpl w:val="BBA67A30"/>
    <w:lvl w:ilvl="0" w:tplc="E4CCF4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3950CF"/>
    <w:multiLevelType w:val="multilevel"/>
    <w:tmpl w:val="DA36DB7E"/>
    <w:lvl w:ilvl="0">
      <w:start w:val="1"/>
      <w:numFmt w:val="koreanLegal"/>
      <w:lvlText w:val="%1."/>
      <w:lvlJc w:val="center"/>
      <w:pPr>
        <w:tabs>
          <w:tab w:val="num" w:pos="720"/>
        </w:tabs>
        <w:ind w:left="720" w:hanging="360"/>
      </w:pPr>
    </w:lvl>
    <w:lvl w:ilvl="1">
      <w:start w:val="1"/>
      <w:numFmt w:val="decimal"/>
      <w:lvlText w:val="%2."/>
      <w:lvlJc w:val="left"/>
      <w:pPr>
        <w:tabs>
          <w:tab w:val="num" w:pos="397"/>
        </w:tabs>
        <w:ind w:left="397" w:hanging="397"/>
      </w:pPr>
      <w:rPr>
        <w:rFonts w:hint="cs"/>
      </w:rPr>
    </w:lvl>
    <w:lvl w:ilvl="2">
      <w:start w:val="1"/>
      <w:numFmt w:val="hebrew2"/>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hebrew2"/>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hebrew2"/>
      <w:lvlText w:val="%9."/>
      <w:lvlJc w:val="right"/>
      <w:pPr>
        <w:tabs>
          <w:tab w:val="num" w:pos="6480"/>
        </w:tabs>
        <w:ind w:left="6480" w:hanging="180"/>
      </w:pPr>
    </w:lvl>
  </w:abstractNum>
  <w:num w:numId="1">
    <w:abstractNumId w:val="9"/>
  </w:num>
  <w:num w:numId="2">
    <w:abstractNumId w:val="0"/>
  </w:num>
  <w:num w:numId="3">
    <w:abstractNumId w:val="10"/>
  </w:num>
  <w:num w:numId="4">
    <w:abstractNumId w:val="13"/>
  </w:num>
  <w:num w:numId="5">
    <w:abstractNumId w:val="8"/>
  </w:num>
  <w:num w:numId="6">
    <w:abstractNumId w:val="1"/>
  </w:num>
  <w:num w:numId="7">
    <w:abstractNumId w:val="7"/>
  </w:num>
  <w:num w:numId="8">
    <w:abstractNumId w:val="2"/>
  </w:num>
  <w:num w:numId="9">
    <w:abstractNumId w:val="6"/>
  </w:num>
  <w:num w:numId="10">
    <w:abstractNumId w:val="5"/>
  </w:num>
  <w:num w:numId="11">
    <w:abstractNumId w:val="4"/>
  </w:num>
  <w:num w:numId="12">
    <w:abstractNumId w:val="11"/>
  </w:num>
  <w:num w:numId="13">
    <w:abstractNumId w:val="3"/>
  </w:num>
  <w:num w:numId="1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D6"/>
    <w:rsid w:val="00006F48"/>
    <w:rsid w:val="00020D8A"/>
    <w:rsid w:val="00021AD6"/>
    <w:rsid w:val="00033D21"/>
    <w:rsid w:val="000407D3"/>
    <w:rsid w:val="0005121A"/>
    <w:rsid w:val="00061F9D"/>
    <w:rsid w:val="00065200"/>
    <w:rsid w:val="00080635"/>
    <w:rsid w:val="00090B74"/>
    <w:rsid w:val="0009220A"/>
    <w:rsid w:val="000A6E46"/>
    <w:rsid w:val="000A7A9B"/>
    <w:rsid w:val="000B2015"/>
    <w:rsid w:val="000B5981"/>
    <w:rsid w:val="000B6138"/>
    <w:rsid w:val="000C3095"/>
    <w:rsid w:val="000E6912"/>
    <w:rsid w:val="000F0293"/>
    <w:rsid w:val="00105126"/>
    <w:rsid w:val="001225F6"/>
    <w:rsid w:val="001231AC"/>
    <w:rsid w:val="0012482F"/>
    <w:rsid w:val="00133D8A"/>
    <w:rsid w:val="00141826"/>
    <w:rsid w:val="001472B1"/>
    <w:rsid w:val="00147F88"/>
    <w:rsid w:val="001568DB"/>
    <w:rsid w:val="001570A0"/>
    <w:rsid w:val="0016009A"/>
    <w:rsid w:val="00167BBD"/>
    <w:rsid w:val="00184BF6"/>
    <w:rsid w:val="00195031"/>
    <w:rsid w:val="00196895"/>
    <w:rsid w:val="001A7A33"/>
    <w:rsid w:val="001B75A8"/>
    <w:rsid w:val="001C043B"/>
    <w:rsid w:val="001C1C7E"/>
    <w:rsid w:val="001C5BB8"/>
    <w:rsid w:val="001C6A76"/>
    <w:rsid w:val="001C727F"/>
    <w:rsid w:val="001C744D"/>
    <w:rsid w:val="001D7FBF"/>
    <w:rsid w:val="001F6A81"/>
    <w:rsid w:val="0020679D"/>
    <w:rsid w:val="00207380"/>
    <w:rsid w:val="00212325"/>
    <w:rsid w:val="00213DF1"/>
    <w:rsid w:val="00223193"/>
    <w:rsid w:val="002232F7"/>
    <w:rsid w:val="002237D8"/>
    <w:rsid w:val="00233098"/>
    <w:rsid w:val="00234630"/>
    <w:rsid w:val="002427C8"/>
    <w:rsid w:val="00242FDB"/>
    <w:rsid w:val="002523B4"/>
    <w:rsid w:val="002564F5"/>
    <w:rsid w:val="00256B1A"/>
    <w:rsid w:val="002804B3"/>
    <w:rsid w:val="002A15EE"/>
    <w:rsid w:val="002B3F3B"/>
    <w:rsid w:val="002B6FFE"/>
    <w:rsid w:val="002C089F"/>
    <w:rsid w:val="002D5136"/>
    <w:rsid w:val="002E5538"/>
    <w:rsid w:val="002E7501"/>
    <w:rsid w:val="002F33B1"/>
    <w:rsid w:val="003162C5"/>
    <w:rsid w:val="003237F5"/>
    <w:rsid w:val="0032598B"/>
    <w:rsid w:val="00330853"/>
    <w:rsid w:val="00332489"/>
    <w:rsid w:val="003324BD"/>
    <w:rsid w:val="00333FAC"/>
    <w:rsid w:val="003412D1"/>
    <w:rsid w:val="0035650D"/>
    <w:rsid w:val="00360C62"/>
    <w:rsid w:val="00361BED"/>
    <w:rsid w:val="003907DB"/>
    <w:rsid w:val="00390837"/>
    <w:rsid w:val="00396005"/>
    <w:rsid w:val="003A5E55"/>
    <w:rsid w:val="003B4C5E"/>
    <w:rsid w:val="003C25AA"/>
    <w:rsid w:val="003D3E71"/>
    <w:rsid w:val="003E203D"/>
    <w:rsid w:val="00406E33"/>
    <w:rsid w:val="00413328"/>
    <w:rsid w:val="004149AB"/>
    <w:rsid w:val="00422DBE"/>
    <w:rsid w:val="00425CC9"/>
    <w:rsid w:val="00431CC8"/>
    <w:rsid w:val="00436D76"/>
    <w:rsid w:val="004425DD"/>
    <w:rsid w:val="00445940"/>
    <w:rsid w:val="00462593"/>
    <w:rsid w:val="00463CBE"/>
    <w:rsid w:val="00476C67"/>
    <w:rsid w:val="004808FA"/>
    <w:rsid w:val="00480B7F"/>
    <w:rsid w:val="00486647"/>
    <w:rsid w:val="004A0F71"/>
    <w:rsid w:val="004A4CF1"/>
    <w:rsid w:val="004C627F"/>
    <w:rsid w:val="004D1E6C"/>
    <w:rsid w:val="004E731F"/>
    <w:rsid w:val="0051404B"/>
    <w:rsid w:val="00515146"/>
    <w:rsid w:val="0051518D"/>
    <w:rsid w:val="0051555A"/>
    <w:rsid w:val="00522EEC"/>
    <w:rsid w:val="005250B3"/>
    <w:rsid w:val="00532685"/>
    <w:rsid w:val="005441B6"/>
    <w:rsid w:val="0054460C"/>
    <w:rsid w:val="0054622A"/>
    <w:rsid w:val="00551E15"/>
    <w:rsid w:val="00570D01"/>
    <w:rsid w:val="005741B7"/>
    <w:rsid w:val="00582524"/>
    <w:rsid w:val="00584F1F"/>
    <w:rsid w:val="005A46F8"/>
    <w:rsid w:val="005A507F"/>
    <w:rsid w:val="005A798E"/>
    <w:rsid w:val="005B3283"/>
    <w:rsid w:val="005D0112"/>
    <w:rsid w:val="005D7A3C"/>
    <w:rsid w:val="005E7C9D"/>
    <w:rsid w:val="005F175D"/>
    <w:rsid w:val="005F31C0"/>
    <w:rsid w:val="005F433D"/>
    <w:rsid w:val="00601F39"/>
    <w:rsid w:val="00616A25"/>
    <w:rsid w:val="00622BE0"/>
    <w:rsid w:val="0062361A"/>
    <w:rsid w:val="00630648"/>
    <w:rsid w:val="006309ED"/>
    <w:rsid w:val="00632129"/>
    <w:rsid w:val="006336F8"/>
    <w:rsid w:val="0064200B"/>
    <w:rsid w:val="006533B2"/>
    <w:rsid w:val="00661F82"/>
    <w:rsid w:val="00667D01"/>
    <w:rsid w:val="00694A9A"/>
    <w:rsid w:val="0069679D"/>
    <w:rsid w:val="006A2D30"/>
    <w:rsid w:val="006B43F4"/>
    <w:rsid w:val="006B684E"/>
    <w:rsid w:val="006B6EEA"/>
    <w:rsid w:val="006C0E20"/>
    <w:rsid w:val="006C774A"/>
    <w:rsid w:val="006D56AD"/>
    <w:rsid w:val="006D5C52"/>
    <w:rsid w:val="006E3229"/>
    <w:rsid w:val="006F121B"/>
    <w:rsid w:val="006F38D9"/>
    <w:rsid w:val="006F4884"/>
    <w:rsid w:val="006F6533"/>
    <w:rsid w:val="006F6A8D"/>
    <w:rsid w:val="00705898"/>
    <w:rsid w:val="007070EC"/>
    <w:rsid w:val="007157E1"/>
    <w:rsid w:val="00725459"/>
    <w:rsid w:val="00741FA3"/>
    <w:rsid w:val="007455A8"/>
    <w:rsid w:val="007539E1"/>
    <w:rsid w:val="0076358B"/>
    <w:rsid w:val="00763CDF"/>
    <w:rsid w:val="00765B5E"/>
    <w:rsid w:val="007675FA"/>
    <w:rsid w:val="00771C4B"/>
    <w:rsid w:val="00774798"/>
    <w:rsid w:val="00783F30"/>
    <w:rsid w:val="00785B62"/>
    <w:rsid w:val="007908D0"/>
    <w:rsid w:val="0079480D"/>
    <w:rsid w:val="007B242A"/>
    <w:rsid w:val="007C1577"/>
    <w:rsid w:val="007E3FB0"/>
    <w:rsid w:val="007E5688"/>
    <w:rsid w:val="007F249F"/>
    <w:rsid w:val="007F381C"/>
    <w:rsid w:val="008108E7"/>
    <w:rsid w:val="00812F14"/>
    <w:rsid w:val="00814AFB"/>
    <w:rsid w:val="00815737"/>
    <w:rsid w:val="00845BBD"/>
    <w:rsid w:val="00856223"/>
    <w:rsid w:val="00857848"/>
    <w:rsid w:val="0087775C"/>
    <w:rsid w:val="008816E7"/>
    <w:rsid w:val="00883332"/>
    <w:rsid w:val="008A6B36"/>
    <w:rsid w:val="008A7114"/>
    <w:rsid w:val="008B2946"/>
    <w:rsid w:val="008C4A9D"/>
    <w:rsid w:val="008C6D8D"/>
    <w:rsid w:val="008E0111"/>
    <w:rsid w:val="008E0AF3"/>
    <w:rsid w:val="008F0AF6"/>
    <w:rsid w:val="008F18B8"/>
    <w:rsid w:val="008F3595"/>
    <w:rsid w:val="008F57D8"/>
    <w:rsid w:val="008F6C19"/>
    <w:rsid w:val="0090318D"/>
    <w:rsid w:val="00904AD0"/>
    <w:rsid w:val="00916B5B"/>
    <w:rsid w:val="00925B52"/>
    <w:rsid w:val="0093078F"/>
    <w:rsid w:val="00933869"/>
    <w:rsid w:val="00934F72"/>
    <w:rsid w:val="00946061"/>
    <w:rsid w:val="00950094"/>
    <w:rsid w:val="00952FAF"/>
    <w:rsid w:val="0097110F"/>
    <w:rsid w:val="00976B14"/>
    <w:rsid w:val="00977FFC"/>
    <w:rsid w:val="009831CD"/>
    <w:rsid w:val="0098591D"/>
    <w:rsid w:val="00986677"/>
    <w:rsid w:val="009919F0"/>
    <w:rsid w:val="009A12D6"/>
    <w:rsid w:val="009A2A00"/>
    <w:rsid w:val="009A3B55"/>
    <w:rsid w:val="009A6999"/>
    <w:rsid w:val="009B0F91"/>
    <w:rsid w:val="009B12A5"/>
    <w:rsid w:val="009B1ED1"/>
    <w:rsid w:val="009B1F8D"/>
    <w:rsid w:val="009B3191"/>
    <w:rsid w:val="009C682B"/>
    <w:rsid w:val="009C7457"/>
    <w:rsid w:val="009C7CEC"/>
    <w:rsid w:val="009E219E"/>
    <w:rsid w:val="009E5C6D"/>
    <w:rsid w:val="009F5229"/>
    <w:rsid w:val="009F799E"/>
    <w:rsid w:val="00A01250"/>
    <w:rsid w:val="00A06458"/>
    <w:rsid w:val="00A10BCC"/>
    <w:rsid w:val="00A258A9"/>
    <w:rsid w:val="00A31881"/>
    <w:rsid w:val="00A33E2E"/>
    <w:rsid w:val="00A3496A"/>
    <w:rsid w:val="00A36B61"/>
    <w:rsid w:val="00A730A5"/>
    <w:rsid w:val="00A73EFE"/>
    <w:rsid w:val="00A8182D"/>
    <w:rsid w:val="00A86A01"/>
    <w:rsid w:val="00AA036F"/>
    <w:rsid w:val="00AA5848"/>
    <w:rsid w:val="00AB483F"/>
    <w:rsid w:val="00AB6BE2"/>
    <w:rsid w:val="00AB6CB7"/>
    <w:rsid w:val="00AC0122"/>
    <w:rsid w:val="00AC4198"/>
    <w:rsid w:val="00AC5F48"/>
    <w:rsid w:val="00AC6175"/>
    <w:rsid w:val="00AF0DDB"/>
    <w:rsid w:val="00AF63E2"/>
    <w:rsid w:val="00B05085"/>
    <w:rsid w:val="00B10EEA"/>
    <w:rsid w:val="00B144C7"/>
    <w:rsid w:val="00B27C2F"/>
    <w:rsid w:val="00B3602E"/>
    <w:rsid w:val="00B646AE"/>
    <w:rsid w:val="00B64FA3"/>
    <w:rsid w:val="00B85DE6"/>
    <w:rsid w:val="00B9082F"/>
    <w:rsid w:val="00B95060"/>
    <w:rsid w:val="00BA67E7"/>
    <w:rsid w:val="00BB497B"/>
    <w:rsid w:val="00BC3090"/>
    <w:rsid w:val="00BC3E32"/>
    <w:rsid w:val="00BC4C83"/>
    <w:rsid w:val="00BC5A42"/>
    <w:rsid w:val="00BC74DC"/>
    <w:rsid w:val="00BD13E6"/>
    <w:rsid w:val="00BD38E6"/>
    <w:rsid w:val="00BE1E43"/>
    <w:rsid w:val="00BF2212"/>
    <w:rsid w:val="00BF4FF3"/>
    <w:rsid w:val="00C05E39"/>
    <w:rsid w:val="00C40DFC"/>
    <w:rsid w:val="00C4736F"/>
    <w:rsid w:val="00C605D2"/>
    <w:rsid w:val="00C655DB"/>
    <w:rsid w:val="00C74290"/>
    <w:rsid w:val="00C74E38"/>
    <w:rsid w:val="00C86970"/>
    <w:rsid w:val="00CA0B8B"/>
    <w:rsid w:val="00CA13F6"/>
    <w:rsid w:val="00CA310A"/>
    <w:rsid w:val="00CA4E9E"/>
    <w:rsid w:val="00CC79CC"/>
    <w:rsid w:val="00CD401D"/>
    <w:rsid w:val="00CD4792"/>
    <w:rsid w:val="00CD4FF3"/>
    <w:rsid w:val="00CD6F1D"/>
    <w:rsid w:val="00CE49D1"/>
    <w:rsid w:val="00D060B5"/>
    <w:rsid w:val="00D11D96"/>
    <w:rsid w:val="00D21CA3"/>
    <w:rsid w:val="00D22ECF"/>
    <w:rsid w:val="00D246FA"/>
    <w:rsid w:val="00D57A54"/>
    <w:rsid w:val="00D57AAA"/>
    <w:rsid w:val="00D60991"/>
    <w:rsid w:val="00D6226F"/>
    <w:rsid w:val="00D66BA4"/>
    <w:rsid w:val="00D71AEE"/>
    <w:rsid w:val="00D75494"/>
    <w:rsid w:val="00D83951"/>
    <w:rsid w:val="00D846AD"/>
    <w:rsid w:val="00D93529"/>
    <w:rsid w:val="00D941C6"/>
    <w:rsid w:val="00DB01B9"/>
    <w:rsid w:val="00DB0D53"/>
    <w:rsid w:val="00DB1B98"/>
    <w:rsid w:val="00DB4619"/>
    <w:rsid w:val="00DB4F1E"/>
    <w:rsid w:val="00DC27E5"/>
    <w:rsid w:val="00DC6475"/>
    <w:rsid w:val="00DD628F"/>
    <w:rsid w:val="00DD779C"/>
    <w:rsid w:val="00DF08EE"/>
    <w:rsid w:val="00DF39FE"/>
    <w:rsid w:val="00DF497F"/>
    <w:rsid w:val="00E00BAC"/>
    <w:rsid w:val="00E35070"/>
    <w:rsid w:val="00E37312"/>
    <w:rsid w:val="00E44AC6"/>
    <w:rsid w:val="00E5253C"/>
    <w:rsid w:val="00E7637B"/>
    <w:rsid w:val="00E8498E"/>
    <w:rsid w:val="00E85E1C"/>
    <w:rsid w:val="00E90E75"/>
    <w:rsid w:val="00EA021D"/>
    <w:rsid w:val="00EA13B9"/>
    <w:rsid w:val="00EB2165"/>
    <w:rsid w:val="00EB301D"/>
    <w:rsid w:val="00EC1B20"/>
    <w:rsid w:val="00EC2D70"/>
    <w:rsid w:val="00EC3EA1"/>
    <w:rsid w:val="00ED26CB"/>
    <w:rsid w:val="00ED3C6A"/>
    <w:rsid w:val="00ED4507"/>
    <w:rsid w:val="00EE0405"/>
    <w:rsid w:val="00EE3381"/>
    <w:rsid w:val="00EE4964"/>
    <w:rsid w:val="00EF0DDD"/>
    <w:rsid w:val="00EF5691"/>
    <w:rsid w:val="00F00600"/>
    <w:rsid w:val="00F03672"/>
    <w:rsid w:val="00F03A38"/>
    <w:rsid w:val="00F13307"/>
    <w:rsid w:val="00F366CE"/>
    <w:rsid w:val="00F36C01"/>
    <w:rsid w:val="00F44AFE"/>
    <w:rsid w:val="00F45E12"/>
    <w:rsid w:val="00F47A5A"/>
    <w:rsid w:val="00F61A71"/>
    <w:rsid w:val="00F66DD4"/>
    <w:rsid w:val="00F70934"/>
    <w:rsid w:val="00F734D6"/>
    <w:rsid w:val="00F739CE"/>
    <w:rsid w:val="00F91E5E"/>
    <w:rsid w:val="00F92675"/>
    <w:rsid w:val="00FA2F32"/>
    <w:rsid w:val="00FE4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locked/>
    <w:rPr>
      <w:rFonts w:cs="Narkisim"/>
      <w:sz w:val="20"/>
      <w:szCs w:val="20"/>
      <w:lang w:bidi="he-IL"/>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lang w:bidi="he-IL"/>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1">
    <w:name w:val="ציטוט1"/>
    <w:basedOn w:val="Normal"/>
    <w:uiPriority w:val="99"/>
    <w:rsid w:val="00CA4E9E"/>
    <w:pPr>
      <w:tabs>
        <w:tab w:val="right" w:pos="4620"/>
      </w:tabs>
      <w:ind w:left="567"/>
    </w:pPr>
  </w:style>
  <w:style w:type="paragraph" w:customStyle="1" w:styleId="a0">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0"/>
    <w:uiPriority w:val="99"/>
    <w:pPr>
      <w:spacing w:after="60"/>
    </w:pPr>
    <w:rPr>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lang w:bidi="he-IL"/>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locked/>
    <w:rPr>
      <w:rFonts w:cs="Narkisim"/>
      <w:sz w:val="20"/>
      <w:lang w:bidi="he-IL"/>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locked/>
    <w:rPr>
      <w:rFonts w:cs="Narkisim"/>
      <w:sz w:val="20"/>
      <w:lang w:bidi="he-IL"/>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locked/>
    <w:rPr>
      <w:rFonts w:cs="Narkisim"/>
      <w:sz w:val="16"/>
      <w:szCs w:val="16"/>
      <w:lang w:bidi="he-IL"/>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Narkisim"/>
      <w:sz w:val="20"/>
      <w:lang w:bidi="he-IL"/>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0">
    <w:name w:val="סגנון1"/>
    <w:basedOn w:val="1"/>
    <w:uiPriority w:val="99"/>
  </w:style>
  <w:style w:type="paragraph" w:customStyle="1" w:styleId="20">
    <w:name w:val="סגנון2"/>
    <w:basedOn w:val="1"/>
    <w:uiPriority w:val="99"/>
  </w:style>
  <w:style w:type="paragraph" w:customStyle="1" w:styleId="30">
    <w:name w:val="סגנון3"/>
    <w:basedOn w:val="Normal"/>
    <w:uiPriority w:val="99"/>
    <w:rPr>
      <w:sz w:val="21"/>
    </w:rPr>
  </w:style>
  <w:style w:type="paragraph" w:customStyle="1" w:styleId="a2">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quotation">
    <w:name w:val="quotation"/>
    <w:basedOn w:val="Normal"/>
    <w:uiPriority w:val="99"/>
    <w:rsid w:val="008C6D8D"/>
    <w:pPr>
      <w:spacing w:after="0" w:line="240" w:lineRule="auto"/>
      <w:ind w:left="851" w:right="851"/>
    </w:pPr>
    <w:rPr>
      <w:rFonts w:ascii="Courier New" w:hAnsi="Courier New" w:cs="Miriam"/>
      <w:sz w:val="24"/>
    </w:rPr>
  </w:style>
  <w:style w:type="paragraph" w:styleId="EndnoteText">
    <w:name w:val="endnote text"/>
    <w:basedOn w:val="Normal"/>
    <w:link w:val="EndnoteTextChar"/>
    <w:uiPriority w:val="99"/>
    <w:semiHidden/>
    <w:rsid w:val="00A01250"/>
    <w:rPr>
      <w:szCs w:val="20"/>
    </w:rPr>
  </w:style>
  <w:style w:type="character" w:customStyle="1" w:styleId="EndnoteTextChar">
    <w:name w:val="Endnote Text Char"/>
    <w:basedOn w:val="DefaultParagraphFont"/>
    <w:link w:val="EndnoteText"/>
    <w:uiPriority w:val="99"/>
    <w:semiHidden/>
    <w:locked/>
    <w:rPr>
      <w:rFonts w:cs="Narkisim"/>
      <w:sz w:val="20"/>
      <w:szCs w:val="20"/>
      <w:lang w:bidi="he-IL"/>
    </w:rPr>
  </w:style>
  <w:style w:type="character" w:styleId="EndnoteReference">
    <w:name w:val="endnote reference"/>
    <w:basedOn w:val="DefaultParagraphFont"/>
    <w:uiPriority w:val="99"/>
    <w:semiHidden/>
    <w:rsid w:val="00A01250"/>
    <w:rPr>
      <w:rFonts w:cs="Times New Roman"/>
      <w:vertAlign w:val="superscript"/>
    </w:rPr>
  </w:style>
  <w:style w:type="paragraph" w:styleId="BodyTextIndent">
    <w:name w:val="Body Text Indent"/>
    <w:basedOn w:val="Normal"/>
    <w:link w:val="BodyTextIndentChar"/>
    <w:uiPriority w:val="99"/>
    <w:semiHidden/>
    <w:unhideWhenUsed/>
    <w:rsid w:val="00A33E2E"/>
    <w:pPr>
      <w:spacing w:after="120"/>
      <w:ind w:left="283"/>
    </w:pPr>
  </w:style>
  <w:style w:type="character" w:customStyle="1" w:styleId="BodyTextIndentChar">
    <w:name w:val="Body Text Indent Char"/>
    <w:basedOn w:val="DefaultParagraphFont"/>
    <w:link w:val="BodyTextIndent"/>
    <w:uiPriority w:val="99"/>
    <w:semiHidden/>
    <w:rsid w:val="00A33E2E"/>
    <w:rPr>
      <w:rFonts w:cs="Narkisim"/>
      <w:sz w:val="20"/>
    </w:rPr>
  </w:style>
  <w:style w:type="paragraph" w:styleId="BodyTextIndent3">
    <w:name w:val="Body Text Indent 3"/>
    <w:basedOn w:val="Normal"/>
    <w:link w:val="BodyTextIndent3Char"/>
    <w:uiPriority w:val="99"/>
    <w:semiHidden/>
    <w:unhideWhenUsed/>
    <w:rsid w:val="00A33E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33E2E"/>
    <w:rPr>
      <w:rFonts w:cs="Narkisim"/>
      <w:sz w:val="16"/>
      <w:szCs w:val="16"/>
    </w:rPr>
  </w:style>
  <w:style w:type="paragraph" w:customStyle="1" w:styleId="Normal1">
    <w:name w:val="Normal1"/>
    <w:basedOn w:val="Normal"/>
    <w:rsid w:val="00D21CA3"/>
    <w:pPr>
      <w:autoSpaceDE/>
      <w:autoSpaceDN/>
      <w:bidi w:val="0"/>
      <w:spacing w:before="100" w:beforeAutospacing="1" w:after="100" w:afterAutospacing="1" w:line="240" w:lineRule="auto"/>
      <w:jc w:val="left"/>
    </w:pPr>
    <w:rPr>
      <w:rFonts w:cs="Times New Roman"/>
      <w:sz w:val="24"/>
      <w:szCs w:val="24"/>
    </w:rPr>
  </w:style>
  <w:style w:type="paragraph" w:styleId="ListParagraph">
    <w:name w:val="List Paragraph"/>
    <w:basedOn w:val="Normal"/>
    <w:uiPriority w:val="34"/>
    <w:qFormat/>
    <w:rsid w:val="00C655DB"/>
    <w:pPr>
      <w:ind w:left="720"/>
      <w:contextualSpacing/>
    </w:pPr>
  </w:style>
  <w:style w:type="paragraph" w:styleId="CommentText">
    <w:name w:val="annotation text"/>
    <w:basedOn w:val="Normal"/>
    <w:link w:val="CommentTextChar"/>
    <w:semiHidden/>
    <w:rsid w:val="00725459"/>
    <w:pPr>
      <w:tabs>
        <w:tab w:val="left" w:pos="187"/>
      </w:tabs>
      <w:overflowPunct w:val="0"/>
      <w:adjustRightInd w:val="0"/>
      <w:spacing w:after="120" w:line="220" w:lineRule="exact"/>
      <w:ind w:right="187" w:hanging="187"/>
      <w:jc w:val="left"/>
      <w:textAlignment w:val="baseline"/>
    </w:pPr>
    <w:rPr>
      <w:rFonts w:cs="Times New Roman"/>
      <w:szCs w:val="18"/>
    </w:rPr>
  </w:style>
  <w:style w:type="character" w:customStyle="1" w:styleId="CommentTextChar">
    <w:name w:val="Comment Text Char"/>
    <w:basedOn w:val="DefaultParagraphFont"/>
    <w:link w:val="CommentText"/>
    <w:semiHidden/>
    <w:rsid w:val="00725459"/>
    <w:rPr>
      <w:sz w:val="20"/>
      <w:szCs w:val="18"/>
    </w:rPr>
  </w:style>
  <w:style w:type="paragraph" w:customStyle="1" w:styleId="CC">
    <w:name w:val="CC"/>
    <w:basedOn w:val="BodyText"/>
    <w:rsid w:val="00725459"/>
    <w:pPr>
      <w:keepLines/>
      <w:overflowPunct w:val="0"/>
      <w:adjustRightInd w:val="0"/>
      <w:spacing w:after="160" w:line="240" w:lineRule="auto"/>
      <w:ind w:right="360" w:hanging="360"/>
      <w:jc w:val="left"/>
      <w:textAlignment w:val="baseline"/>
    </w:pPr>
    <w:rPr>
      <w:rFonts w:cs="Times New Roman"/>
      <w:sz w:val="20"/>
      <w:szCs w:val="20"/>
    </w:rPr>
  </w:style>
  <w:style w:type="character" w:styleId="CommentReference">
    <w:name w:val="annotation reference"/>
    <w:semiHidden/>
    <w:rsid w:val="00725459"/>
    <w:rPr>
      <w:sz w:val="16"/>
      <w:szCs w:val="16"/>
    </w:rPr>
  </w:style>
  <w:style w:type="paragraph" w:styleId="BalloonText">
    <w:name w:val="Balloon Text"/>
    <w:basedOn w:val="Normal"/>
    <w:link w:val="BalloonTextChar"/>
    <w:uiPriority w:val="99"/>
    <w:semiHidden/>
    <w:unhideWhenUsed/>
    <w:rsid w:val="00725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4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locked/>
    <w:rPr>
      <w:rFonts w:cs="Narkisim"/>
      <w:sz w:val="20"/>
      <w:szCs w:val="20"/>
      <w:lang w:bidi="he-IL"/>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lang w:bidi="he-IL"/>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1">
    <w:name w:val="ציטוט1"/>
    <w:basedOn w:val="Normal"/>
    <w:uiPriority w:val="99"/>
    <w:rsid w:val="00CA4E9E"/>
    <w:pPr>
      <w:tabs>
        <w:tab w:val="right" w:pos="4620"/>
      </w:tabs>
      <w:ind w:left="567"/>
    </w:pPr>
  </w:style>
  <w:style w:type="paragraph" w:customStyle="1" w:styleId="a0">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0"/>
    <w:uiPriority w:val="99"/>
    <w:pPr>
      <w:spacing w:after="60"/>
    </w:pPr>
    <w:rPr>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lang w:bidi="he-IL"/>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locked/>
    <w:rPr>
      <w:rFonts w:cs="Narkisim"/>
      <w:sz w:val="20"/>
      <w:lang w:bidi="he-IL"/>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locked/>
    <w:rPr>
      <w:rFonts w:cs="Narkisim"/>
      <w:sz w:val="20"/>
      <w:lang w:bidi="he-IL"/>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locked/>
    <w:rPr>
      <w:rFonts w:cs="Narkisim"/>
      <w:sz w:val="16"/>
      <w:szCs w:val="16"/>
      <w:lang w:bidi="he-IL"/>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Narkisim"/>
      <w:sz w:val="20"/>
      <w:lang w:bidi="he-IL"/>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0">
    <w:name w:val="סגנון1"/>
    <w:basedOn w:val="1"/>
    <w:uiPriority w:val="99"/>
  </w:style>
  <w:style w:type="paragraph" w:customStyle="1" w:styleId="20">
    <w:name w:val="סגנון2"/>
    <w:basedOn w:val="1"/>
    <w:uiPriority w:val="99"/>
  </w:style>
  <w:style w:type="paragraph" w:customStyle="1" w:styleId="30">
    <w:name w:val="סגנון3"/>
    <w:basedOn w:val="Normal"/>
    <w:uiPriority w:val="99"/>
    <w:rPr>
      <w:sz w:val="21"/>
    </w:rPr>
  </w:style>
  <w:style w:type="paragraph" w:customStyle="1" w:styleId="a2">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quotation">
    <w:name w:val="quotation"/>
    <w:basedOn w:val="Normal"/>
    <w:uiPriority w:val="99"/>
    <w:rsid w:val="008C6D8D"/>
    <w:pPr>
      <w:spacing w:after="0" w:line="240" w:lineRule="auto"/>
      <w:ind w:left="851" w:right="851"/>
    </w:pPr>
    <w:rPr>
      <w:rFonts w:ascii="Courier New" w:hAnsi="Courier New" w:cs="Miriam"/>
      <w:sz w:val="24"/>
    </w:rPr>
  </w:style>
  <w:style w:type="paragraph" w:styleId="EndnoteText">
    <w:name w:val="endnote text"/>
    <w:basedOn w:val="Normal"/>
    <w:link w:val="EndnoteTextChar"/>
    <w:uiPriority w:val="99"/>
    <w:semiHidden/>
    <w:rsid w:val="00A01250"/>
    <w:rPr>
      <w:szCs w:val="20"/>
    </w:rPr>
  </w:style>
  <w:style w:type="character" w:customStyle="1" w:styleId="EndnoteTextChar">
    <w:name w:val="Endnote Text Char"/>
    <w:basedOn w:val="DefaultParagraphFont"/>
    <w:link w:val="EndnoteText"/>
    <w:uiPriority w:val="99"/>
    <w:semiHidden/>
    <w:locked/>
    <w:rPr>
      <w:rFonts w:cs="Narkisim"/>
      <w:sz w:val="20"/>
      <w:szCs w:val="20"/>
      <w:lang w:bidi="he-IL"/>
    </w:rPr>
  </w:style>
  <w:style w:type="character" w:styleId="EndnoteReference">
    <w:name w:val="endnote reference"/>
    <w:basedOn w:val="DefaultParagraphFont"/>
    <w:uiPriority w:val="99"/>
    <w:semiHidden/>
    <w:rsid w:val="00A01250"/>
    <w:rPr>
      <w:rFonts w:cs="Times New Roman"/>
      <w:vertAlign w:val="superscript"/>
    </w:rPr>
  </w:style>
  <w:style w:type="paragraph" w:styleId="BodyTextIndent">
    <w:name w:val="Body Text Indent"/>
    <w:basedOn w:val="Normal"/>
    <w:link w:val="BodyTextIndentChar"/>
    <w:uiPriority w:val="99"/>
    <w:semiHidden/>
    <w:unhideWhenUsed/>
    <w:rsid w:val="00A33E2E"/>
    <w:pPr>
      <w:spacing w:after="120"/>
      <w:ind w:left="283"/>
    </w:pPr>
  </w:style>
  <w:style w:type="character" w:customStyle="1" w:styleId="BodyTextIndentChar">
    <w:name w:val="Body Text Indent Char"/>
    <w:basedOn w:val="DefaultParagraphFont"/>
    <w:link w:val="BodyTextIndent"/>
    <w:uiPriority w:val="99"/>
    <w:semiHidden/>
    <w:rsid w:val="00A33E2E"/>
    <w:rPr>
      <w:rFonts w:cs="Narkisim"/>
      <w:sz w:val="20"/>
    </w:rPr>
  </w:style>
  <w:style w:type="paragraph" w:styleId="BodyTextIndent3">
    <w:name w:val="Body Text Indent 3"/>
    <w:basedOn w:val="Normal"/>
    <w:link w:val="BodyTextIndent3Char"/>
    <w:uiPriority w:val="99"/>
    <w:semiHidden/>
    <w:unhideWhenUsed/>
    <w:rsid w:val="00A33E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33E2E"/>
    <w:rPr>
      <w:rFonts w:cs="Narkisim"/>
      <w:sz w:val="16"/>
      <w:szCs w:val="16"/>
    </w:rPr>
  </w:style>
  <w:style w:type="paragraph" w:customStyle="1" w:styleId="Normal1">
    <w:name w:val="Normal1"/>
    <w:basedOn w:val="Normal"/>
    <w:rsid w:val="00D21CA3"/>
    <w:pPr>
      <w:autoSpaceDE/>
      <w:autoSpaceDN/>
      <w:bidi w:val="0"/>
      <w:spacing w:before="100" w:beforeAutospacing="1" w:after="100" w:afterAutospacing="1" w:line="240" w:lineRule="auto"/>
      <w:jc w:val="left"/>
    </w:pPr>
    <w:rPr>
      <w:rFonts w:cs="Times New Roman"/>
      <w:sz w:val="24"/>
      <w:szCs w:val="24"/>
    </w:rPr>
  </w:style>
  <w:style w:type="paragraph" w:styleId="ListParagraph">
    <w:name w:val="List Paragraph"/>
    <w:basedOn w:val="Normal"/>
    <w:uiPriority w:val="34"/>
    <w:qFormat/>
    <w:rsid w:val="00C655DB"/>
    <w:pPr>
      <w:ind w:left="720"/>
      <w:contextualSpacing/>
    </w:pPr>
  </w:style>
  <w:style w:type="paragraph" w:styleId="CommentText">
    <w:name w:val="annotation text"/>
    <w:basedOn w:val="Normal"/>
    <w:link w:val="CommentTextChar"/>
    <w:semiHidden/>
    <w:rsid w:val="00725459"/>
    <w:pPr>
      <w:tabs>
        <w:tab w:val="left" w:pos="187"/>
      </w:tabs>
      <w:overflowPunct w:val="0"/>
      <w:adjustRightInd w:val="0"/>
      <w:spacing w:after="120" w:line="220" w:lineRule="exact"/>
      <w:ind w:right="187" w:hanging="187"/>
      <w:jc w:val="left"/>
      <w:textAlignment w:val="baseline"/>
    </w:pPr>
    <w:rPr>
      <w:rFonts w:cs="Times New Roman"/>
      <w:szCs w:val="18"/>
    </w:rPr>
  </w:style>
  <w:style w:type="character" w:customStyle="1" w:styleId="CommentTextChar">
    <w:name w:val="Comment Text Char"/>
    <w:basedOn w:val="DefaultParagraphFont"/>
    <w:link w:val="CommentText"/>
    <w:semiHidden/>
    <w:rsid w:val="00725459"/>
    <w:rPr>
      <w:sz w:val="20"/>
      <w:szCs w:val="18"/>
    </w:rPr>
  </w:style>
  <w:style w:type="paragraph" w:customStyle="1" w:styleId="CC">
    <w:name w:val="CC"/>
    <w:basedOn w:val="BodyText"/>
    <w:rsid w:val="00725459"/>
    <w:pPr>
      <w:keepLines/>
      <w:overflowPunct w:val="0"/>
      <w:adjustRightInd w:val="0"/>
      <w:spacing w:after="160" w:line="240" w:lineRule="auto"/>
      <w:ind w:right="360" w:hanging="360"/>
      <w:jc w:val="left"/>
      <w:textAlignment w:val="baseline"/>
    </w:pPr>
    <w:rPr>
      <w:rFonts w:cs="Times New Roman"/>
      <w:sz w:val="20"/>
      <w:szCs w:val="20"/>
    </w:rPr>
  </w:style>
  <w:style w:type="character" w:styleId="CommentReference">
    <w:name w:val="annotation reference"/>
    <w:semiHidden/>
    <w:rsid w:val="00725459"/>
    <w:rPr>
      <w:sz w:val="16"/>
      <w:szCs w:val="16"/>
    </w:rPr>
  </w:style>
  <w:style w:type="paragraph" w:styleId="BalloonText">
    <w:name w:val="Balloon Text"/>
    <w:basedOn w:val="Normal"/>
    <w:link w:val="BalloonTextChar"/>
    <w:uiPriority w:val="99"/>
    <w:semiHidden/>
    <w:unhideWhenUsed/>
    <w:rsid w:val="00725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21448">
      <w:bodyDiv w:val="1"/>
      <w:marLeft w:val="0"/>
      <w:marRight w:val="0"/>
      <w:marTop w:val="0"/>
      <w:marBottom w:val="0"/>
      <w:divBdr>
        <w:top w:val="none" w:sz="0" w:space="0" w:color="auto"/>
        <w:left w:val="none" w:sz="0" w:space="0" w:color="auto"/>
        <w:bottom w:val="none" w:sz="0" w:space="0" w:color="auto"/>
        <w:right w:val="none" w:sz="0" w:space="0" w:color="auto"/>
      </w:divBdr>
      <w:divsChild>
        <w:div w:id="429668452">
          <w:marLeft w:val="0"/>
          <w:marRight w:val="0"/>
          <w:marTop w:val="0"/>
          <w:marBottom w:val="0"/>
          <w:divBdr>
            <w:top w:val="none" w:sz="0" w:space="0" w:color="auto"/>
            <w:left w:val="none" w:sz="0" w:space="0" w:color="auto"/>
            <w:bottom w:val="none" w:sz="0" w:space="0" w:color="auto"/>
            <w:right w:val="none" w:sz="0" w:space="0" w:color="auto"/>
          </w:divBdr>
        </w:div>
        <w:div w:id="1814521073">
          <w:marLeft w:val="0"/>
          <w:marRight w:val="0"/>
          <w:marTop w:val="0"/>
          <w:marBottom w:val="0"/>
          <w:divBdr>
            <w:top w:val="none" w:sz="0" w:space="0" w:color="auto"/>
            <w:left w:val="none" w:sz="0" w:space="0" w:color="auto"/>
            <w:bottom w:val="none" w:sz="0" w:space="0" w:color="auto"/>
            <w:right w:val="none" w:sz="0" w:space="0" w:color="auto"/>
          </w:divBdr>
        </w:div>
      </w:divsChild>
    </w:div>
    <w:div w:id="347492513">
      <w:bodyDiv w:val="1"/>
      <w:marLeft w:val="0"/>
      <w:marRight w:val="0"/>
      <w:marTop w:val="0"/>
      <w:marBottom w:val="0"/>
      <w:divBdr>
        <w:top w:val="none" w:sz="0" w:space="0" w:color="auto"/>
        <w:left w:val="none" w:sz="0" w:space="0" w:color="auto"/>
        <w:bottom w:val="none" w:sz="0" w:space="0" w:color="auto"/>
        <w:right w:val="none" w:sz="0" w:space="0" w:color="auto"/>
      </w:divBdr>
      <w:divsChild>
        <w:div w:id="281619726">
          <w:marLeft w:val="0"/>
          <w:marRight w:val="0"/>
          <w:marTop w:val="0"/>
          <w:marBottom w:val="24"/>
          <w:divBdr>
            <w:top w:val="none" w:sz="0" w:space="0" w:color="auto"/>
            <w:left w:val="none" w:sz="0" w:space="0" w:color="auto"/>
            <w:bottom w:val="none" w:sz="0" w:space="0" w:color="auto"/>
            <w:right w:val="none" w:sz="0" w:space="0" w:color="auto"/>
          </w:divBdr>
        </w:div>
      </w:divsChild>
    </w:div>
    <w:div w:id="20040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2342</Words>
  <Characters>9992</Characters>
  <Application>Microsoft Office Word</Application>
  <DocSecurity>0</DocSecurity>
  <Lines>83</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5</cp:revision>
  <cp:lastPrinted>2019-07-21T08:36:00Z</cp:lastPrinted>
  <dcterms:created xsi:type="dcterms:W3CDTF">2019-08-06T09:07:00Z</dcterms:created>
  <dcterms:modified xsi:type="dcterms:W3CDTF">2019-08-06T09:38:00Z</dcterms:modified>
</cp:coreProperties>
</file>