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E71" w:rsidRPr="003D3E71" w:rsidRDefault="003D3E71" w:rsidP="00486647">
      <w:pPr>
        <w:pStyle w:val="CC"/>
        <w:keepLines w:val="0"/>
        <w:tabs>
          <w:tab w:val="left" w:pos="0"/>
        </w:tabs>
        <w:spacing w:afterLines="80" w:after="192" w:line="280" w:lineRule="exact"/>
        <w:ind w:right="0" w:firstLine="0"/>
        <w:jc w:val="both"/>
        <w:rPr>
          <w:rFonts w:ascii="Arial" w:hAnsi="Arial" w:cs="Narkisim"/>
          <w:sz w:val="22"/>
          <w:szCs w:val="22"/>
          <w:lang w:val="en-GB"/>
        </w:rPr>
      </w:pPr>
    </w:p>
    <w:p w:rsidR="00725459" w:rsidRPr="006533B2" w:rsidRDefault="00725459" w:rsidP="00B16F4F">
      <w:pPr>
        <w:pStyle w:val="CC"/>
        <w:keepLines w:val="0"/>
        <w:tabs>
          <w:tab w:val="left" w:pos="0"/>
        </w:tabs>
        <w:spacing w:afterLines="80" w:after="192" w:line="280" w:lineRule="exact"/>
        <w:ind w:right="0" w:firstLine="0"/>
        <w:jc w:val="center"/>
        <w:rPr>
          <w:rFonts w:ascii="Arial" w:hAnsi="Arial" w:cs="Narkisim"/>
          <w:b/>
          <w:bCs/>
          <w:sz w:val="28"/>
          <w:szCs w:val="28"/>
          <w:rtl/>
          <w:lang w:val="en-GB"/>
        </w:rPr>
      </w:pPr>
      <w:r w:rsidRPr="006533B2">
        <w:rPr>
          <w:rFonts w:ascii="Arial" w:hAnsi="Arial" w:cs="Narkisim" w:hint="cs"/>
          <w:b/>
          <w:bCs/>
          <w:sz w:val="28"/>
          <w:szCs w:val="28"/>
          <w:rtl/>
          <w:lang w:val="en-GB"/>
        </w:rPr>
        <w:t xml:space="preserve">פרק ב' </w:t>
      </w:r>
      <w:r w:rsidRPr="006533B2">
        <w:rPr>
          <w:rFonts w:ascii="Arial" w:hAnsi="Arial" w:cs="Narkisim"/>
          <w:b/>
          <w:bCs/>
          <w:sz w:val="28"/>
          <w:szCs w:val="28"/>
          <w:rtl/>
          <w:lang w:val="en-GB"/>
        </w:rPr>
        <w:t>–</w:t>
      </w:r>
      <w:r w:rsidRPr="006533B2">
        <w:rPr>
          <w:rFonts w:ascii="Arial" w:hAnsi="Arial" w:cs="Narkisim" w:hint="cs"/>
          <w:b/>
          <w:bCs/>
          <w:sz w:val="28"/>
          <w:szCs w:val="28"/>
          <w:rtl/>
          <w:lang w:val="en-GB"/>
        </w:rPr>
        <w:t xml:space="preserve"> דף כ"</w:t>
      </w:r>
      <w:r w:rsidR="007F077E">
        <w:rPr>
          <w:rFonts w:ascii="Arial" w:hAnsi="Arial" w:cs="Narkisim" w:hint="cs"/>
          <w:b/>
          <w:bCs/>
          <w:sz w:val="28"/>
          <w:szCs w:val="28"/>
          <w:rtl/>
          <w:lang w:val="en-GB"/>
        </w:rPr>
        <w:t>ה</w:t>
      </w:r>
      <w:r w:rsidR="00B16F4F">
        <w:rPr>
          <w:rFonts w:ascii="Arial" w:hAnsi="Arial" w:cs="Narkisim" w:hint="cs"/>
          <w:b/>
          <w:bCs/>
          <w:sz w:val="28"/>
          <w:szCs w:val="28"/>
          <w:rtl/>
          <w:lang w:val="en-GB"/>
        </w:rPr>
        <w:t>:</w:t>
      </w:r>
      <w:r w:rsidR="003D3E71">
        <w:rPr>
          <w:rFonts w:ascii="Arial" w:hAnsi="Arial" w:cs="Narkisim" w:hint="cs"/>
          <w:b/>
          <w:bCs/>
          <w:sz w:val="28"/>
          <w:szCs w:val="28"/>
          <w:rtl/>
          <w:lang w:val="en-GB"/>
        </w:rPr>
        <w:t xml:space="preserve"> </w:t>
      </w:r>
    </w:p>
    <w:p w:rsidR="00B16F4F" w:rsidRPr="00B16F4F" w:rsidRDefault="005E4EF0" w:rsidP="00B16F4F">
      <w:pPr>
        <w:spacing w:line="360" w:lineRule="auto"/>
        <w:jc w:val="center"/>
        <w:rPr>
          <w:b/>
          <w:bCs/>
          <w:sz w:val="28"/>
          <w:szCs w:val="28"/>
          <w:rtl/>
        </w:rPr>
      </w:pPr>
      <w:r>
        <w:rPr>
          <w:rFonts w:hint="cs"/>
          <w:b/>
          <w:bCs/>
          <w:sz w:val="28"/>
          <w:szCs w:val="28"/>
          <w:rtl/>
        </w:rPr>
        <w:t xml:space="preserve">הנאה הבאה לאדם בעל כורחו </w:t>
      </w:r>
      <w:bookmarkStart w:id="0" w:name="_GoBack"/>
      <w:bookmarkEnd w:id="0"/>
      <w:r>
        <w:rPr>
          <w:rFonts w:hint="cs"/>
          <w:b/>
          <w:bCs/>
          <w:sz w:val="28"/>
          <w:szCs w:val="28"/>
          <w:rtl/>
        </w:rPr>
        <w:t>-</w:t>
      </w:r>
      <w:r w:rsidR="00B16F4F" w:rsidRPr="00B16F4F">
        <w:rPr>
          <w:b/>
          <w:bCs/>
          <w:sz w:val="28"/>
          <w:szCs w:val="28"/>
        </w:rPr>
        <w:t xml:space="preserve"> </w:t>
      </w:r>
      <w:r w:rsidR="00B16F4F" w:rsidRPr="00B16F4F">
        <w:rPr>
          <w:rFonts w:hint="cs"/>
          <w:b/>
          <w:bCs/>
          <w:sz w:val="28"/>
          <w:szCs w:val="28"/>
          <w:rtl/>
        </w:rPr>
        <w:t>חלק א'</w:t>
      </w:r>
    </w:p>
    <w:p w:rsidR="0067381A" w:rsidRPr="00B16F4F" w:rsidRDefault="0067381A" w:rsidP="0067381A">
      <w:pPr>
        <w:spacing w:line="360" w:lineRule="auto"/>
        <w:jc w:val="center"/>
        <w:rPr>
          <w:b/>
          <w:bCs/>
          <w:sz w:val="28"/>
          <w:szCs w:val="28"/>
          <w:rtl/>
        </w:rPr>
      </w:pPr>
      <w:r w:rsidRPr="00B16F4F">
        <w:rPr>
          <w:rFonts w:hint="cs"/>
          <w:b/>
          <w:bCs/>
          <w:sz w:val="28"/>
          <w:szCs w:val="28"/>
          <w:rtl/>
        </w:rPr>
        <w:t>הרב עזרא ביק</w:t>
      </w:r>
    </w:p>
    <w:p w:rsidR="00B16F4F" w:rsidRDefault="00B16F4F" w:rsidP="00B16F4F">
      <w:pPr>
        <w:spacing w:line="360" w:lineRule="auto"/>
        <w:rPr>
          <w:sz w:val="22"/>
          <w:rtl/>
        </w:rPr>
      </w:pPr>
    </w:p>
    <w:p w:rsidR="00E50D27" w:rsidRPr="00E50D27" w:rsidRDefault="00E50D27" w:rsidP="00E50D27">
      <w:pPr>
        <w:spacing w:line="360" w:lineRule="auto"/>
        <w:rPr>
          <w:sz w:val="22"/>
          <w:rtl/>
        </w:rPr>
      </w:pPr>
      <w:r w:rsidRPr="00E50D27">
        <w:rPr>
          <w:rFonts w:hint="cs"/>
          <w:sz w:val="22"/>
          <w:rtl/>
        </w:rPr>
        <w:t>מקורות:</w:t>
      </w:r>
    </w:p>
    <w:p w:rsidR="00E50D27" w:rsidRDefault="00E50D27" w:rsidP="00E50D27">
      <w:pPr>
        <w:spacing w:line="360" w:lineRule="auto"/>
        <w:rPr>
          <w:sz w:val="22"/>
          <w:rtl/>
        </w:rPr>
      </w:pPr>
      <w:r>
        <w:rPr>
          <w:rFonts w:hint="cs"/>
          <w:sz w:val="22"/>
          <w:rtl/>
        </w:rPr>
        <w:t xml:space="preserve">גמרא כה:, "איתמר"  עד השורה השלישית בכו. "... לכולא לא". </w:t>
      </w:r>
    </w:p>
    <w:p w:rsidR="00E50D27" w:rsidRDefault="00E50D27" w:rsidP="00E50D27">
      <w:pPr>
        <w:spacing w:line="360" w:lineRule="auto"/>
        <w:rPr>
          <w:sz w:val="22"/>
          <w:rtl/>
        </w:rPr>
      </w:pPr>
      <w:r>
        <w:rPr>
          <w:rFonts w:hint="cs"/>
          <w:sz w:val="22"/>
          <w:rtl/>
        </w:rPr>
        <w:t>סוגיה זו ידועה במורכבותה. לפני שנגיע למחלוקת הראשונים, הגמרא עצמה מכילה שתי לשונות עבור שני אמוראים (</w:t>
      </w:r>
      <w:proofErr w:type="spellStart"/>
      <w:r>
        <w:rPr>
          <w:rFonts w:hint="cs"/>
          <w:sz w:val="22"/>
          <w:rtl/>
        </w:rPr>
        <w:t>אביי</w:t>
      </w:r>
      <w:proofErr w:type="spellEnd"/>
      <w:r>
        <w:rPr>
          <w:rFonts w:hint="cs"/>
          <w:sz w:val="22"/>
          <w:rtl/>
        </w:rPr>
        <w:t xml:space="preserve"> ורבא) בעניין מחלוקת בין שני תנאים (רבי שמעון ורבי יהודה). </w:t>
      </w:r>
    </w:p>
    <w:p w:rsidR="00E50D27" w:rsidRDefault="00E50D27" w:rsidP="00E50D27">
      <w:pPr>
        <w:spacing w:line="360" w:lineRule="auto"/>
        <w:rPr>
          <w:sz w:val="22"/>
          <w:rtl/>
        </w:rPr>
      </w:pPr>
      <w:r>
        <w:rPr>
          <w:rFonts w:hint="cs"/>
          <w:sz w:val="22"/>
          <w:rtl/>
        </w:rPr>
        <w:t>אין צורך לומר, כי קיימת מחלוקת גם בראשונים.</w:t>
      </w:r>
      <w:r w:rsidR="008A5EED">
        <w:rPr>
          <w:sz w:val="22"/>
        </w:rPr>
        <w:t xml:space="preserve"> </w:t>
      </w:r>
      <w:r>
        <w:rPr>
          <w:rFonts w:hint="cs"/>
          <w:sz w:val="22"/>
          <w:rtl/>
        </w:rPr>
        <w:t xml:space="preserve">אני מציע להשתמש בדך ובעפרון (זוכר? מהימים שלפני ה- </w:t>
      </w:r>
      <w:r>
        <w:rPr>
          <w:rFonts w:hint="cs"/>
          <w:sz w:val="22"/>
        </w:rPr>
        <w:t>PC</w:t>
      </w:r>
      <w:r>
        <w:rPr>
          <w:rFonts w:hint="cs"/>
          <w:sz w:val="22"/>
          <w:rtl/>
        </w:rPr>
        <w:t xml:space="preserve"> ) על מנת להעלות על הכתב את האפשרויות השונות שעשויות לצוץ. </w:t>
      </w:r>
    </w:p>
    <w:p w:rsidR="00E50D27" w:rsidRDefault="00E50D27" w:rsidP="00E50D27">
      <w:pPr>
        <w:spacing w:line="360" w:lineRule="auto"/>
        <w:rPr>
          <w:sz w:val="22"/>
          <w:rtl/>
        </w:rPr>
      </w:pPr>
      <w:r>
        <w:rPr>
          <w:rFonts w:hint="cs"/>
          <w:sz w:val="22"/>
          <w:rtl/>
        </w:rPr>
        <w:t xml:space="preserve">שבת </w:t>
      </w:r>
      <w:proofErr w:type="spellStart"/>
      <w:r>
        <w:rPr>
          <w:rFonts w:hint="cs"/>
          <w:sz w:val="22"/>
          <w:rtl/>
        </w:rPr>
        <w:t>כט</w:t>
      </w:r>
      <w:proofErr w:type="spellEnd"/>
      <w:r>
        <w:rPr>
          <w:rFonts w:hint="cs"/>
          <w:sz w:val="22"/>
          <w:rtl/>
        </w:rPr>
        <w:t xml:space="preserve">: "ריש כנישתא </w:t>
      </w:r>
      <w:proofErr w:type="spellStart"/>
      <w:r>
        <w:rPr>
          <w:rFonts w:hint="cs"/>
          <w:sz w:val="22"/>
          <w:rtl/>
        </w:rPr>
        <w:t>דבצרא</w:t>
      </w:r>
      <w:proofErr w:type="spellEnd"/>
      <w:r>
        <w:rPr>
          <w:rFonts w:hint="cs"/>
          <w:sz w:val="22"/>
          <w:rtl/>
        </w:rPr>
        <w:t>"</w:t>
      </w:r>
    </w:p>
    <w:p w:rsidR="00E50D27" w:rsidRDefault="00E50D27" w:rsidP="00E50D27">
      <w:pPr>
        <w:spacing w:line="360" w:lineRule="auto"/>
        <w:rPr>
          <w:sz w:val="22"/>
          <w:rtl/>
        </w:rPr>
      </w:pPr>
      <w:r>
        <w:rPr>
          <w:rFonts w:hint="cs"/>
          <w:sz w:val="22"/>
          <w:rtl/>
        </w:rPr>
        <w:t>תוספות</w:t>
      </w:r>
    </w:p>
    <w:p w:rsidR="00E50D27" w:rsidRDefault="00E50D27" w:rsidP="00E50D27">
      <w:pPr>
        <w:spacing w:line="360" w:lineRule="auto"/>
        <w:rPr>
          <w:sz w:val="22"/>
        </w:rPr>
      </w:pPr>
      <w:r>
        <w:rPr>
          <w:rFonts w:hint="cs"/>
          <w:sz w:val="22"/>
          <w:rtl/>
        </w:rPr>
        <w:t xml:space="preserve">רבנו דוד, על כל הסוגיה. </w:t>
      </w:r>
    </w:p>
    <w:p w:rsidR="00E50D27" w:rsidRPr="00E50D27" w:rsidRDefault="00E50D27" w:rsidP="00B16F4F">
      <w:pPr>
        <w:spacing w:line="360" w:lineRule="auto"/>
        <w:rPr>
          <w:sz w:val="22"/>
          <w:rtl/>
        </w:rPr>
      </w:pPr>
      <w:r>
        <w:rPr>
          <w:rFonts w:hint="cs"/>
          <w:sz w:val="22"/>
          <w:rtl/>
        </w:rPr>
        <w:t>**************</w:t>
      </w:r>
    </w:p>
    <w:p w:rsidR="00E50D27" w:rsidRDefault="00E50D27" w:rsidP="00B16F4F">
      <w:pPr>
        <w:spacing w:line="360" w:lineRule="auto"/>
        <w:rPr>
          <w:sz w:val="22"/>
          <w:rtl/>
        </w:rPr>
      </w:pPr>
    </w:p>
    <w:p w:rsidR="0067381A" w:rsidRDefault="0067381A" w:rsidP="00B16F4F">
      <w:pPr>
        <w:spacing w:line="360" w:lineRule="auto"/>
        <w:ind w:firstLine="566"/>
        <w:rPr>
          <w:sz w:val="22"/>
          <w:rtl/>
        </w:rPr>
      </w:pPr>
      <w:r>
        <w:rPr>
          <w:rFonts w:hint="cs"/>
          <w:sz w:val="22"/>
          <w:rtl/>
        </w:rPr>
        <w:t xml:space="preserve">הגמרא מציגה בפנינו נושא חדש </w:t>
      </w:r>
      <w:r>
        <w:rPr>
          <w:sz w:val="22"/>
          <w:rtl/>
        </w:rPr>
        <w:t>–</w:t>
      </w:r>
      <w:r>
        <w:rPr>
          <w:rFonts w:hint="cs"/>
          <w:sz w:val="22"/>
          <w:rtl/>
        </w:rPr>
        <w:t xml:space="preserve"> הנאה באה לאדם בעל כורחו. מובן כי המונח בעל כורחו אינו מתייחס למצב של אונס גמור, שכן אילו בכך מדובר, אין כל מקום לדיון. אם אדם נאנס ליהנות בעל כורחו, אז מה שהיה </w:t>
      </w:r>
      <w:r>
        <w:rPr>
          <w:sz w:val="22"/>
          <w:rtl/>
        </w:rPr>
        <w:t>–</w:t>
      </w:r>
      <w:r>
        <w:rPr>
          <w:rFonts w:hint="cs"/>
          <w:sz w:val="22"/>
          <w:rtl/>
        </w:rPr>
        <w:t xml:space="preserve"> היה, ובכל מקרה "אנוס רחמנא פטריה". הגמרא מחלקת את הדיון ל- 4 מקרים:</w:t>
      </w:r>
    </w:p>
    <w:p w:rsidR="0067381A" w:rsidRDefault="0067381A" w:rsidP="00B16F4F">
      <w:pPr>
        <w:numPr>
          <w:ilvl w:val="0"/>
          <w:numId w:val="18"/>
        </w:numPr>
        <w:autoSpaceDE/>
        <w:autoSpaceDN/>
        <w:spacing w:after="0" w:line="360" w:lineRule="auto"/>
        <w:ind w:right="0"/>
        <w:rPr>
          <w:sz w:val="22"/>
          <w:rtl/>
        </w:rPr>
      </w:pPr>
      <w:r>
        <w:rPr>
          <w:rFonts w:hint="cs"/>
          <w:sz w:val="22"/>
          <w:rtl/>
        </w:rPr>
        <w:t>אפשר מכוון (</w:t>
      </w:r>
      <w:proofErr w:type="spellStart"/>
      <w:r>
        <w:rPr>
          <w:rFonts w:hint="cs"/>
          <w:sz w:val="22"/>
          <w:rtl/>
        </w:rPr>
        <w:t>א"מ</w:t>
      </w:r>
      <w:proofErr w:type="spellEnd"/>
      <w:r>
        <w:rPr>
          <w:rFonts w:hint="cs"/>
          <w:sz w:val="22"/>
          <w:rtl/>
        </w:rPr>
        <w:t xml:space="preserve">); </w:t>
      </w:r>
    </w:p>
    <w:p w:rsidR="0067381A" w:rsidRDefault="0067381A" w:rsidP="00B16F4F">
      <w:pPr>
        <w:numPr>
          <w:ilvl w:val="0"/>
          <w:numId w:val="18"/>
        </w:numPr>
        <w:autoSpaceDE/>
        <w:autoSpaceDN/>
        <w:spacing w:after="0" w:line="360" w:lineRule="auto"/>
        <w:ind w:right="0"/>
        <w:rPr>
          <w:sz w:val="22"/>
        </w:rPr>
      </w:pPr>
      <w:r>
        <w:rPr>
          <w:rFonts w:hint="cs"/>
          <w:sz w:val="22"/>
          <w:rtl/>
        </w:rPr>
        <w:t>לא אפשר מכוון (</w:t>
      </w:r>
      <w:proofErr w:type="spellStart"/>
      <w:r>
        <w:rPr>
          <w:rFonts w:hint="cs"/>
          <w:sz w:val="22"/>
          <w:rtl/>
        </w:rPr>
        <w:t>לא"מ</w:t>
      </w:r>
      <w:proofErr w:type="spellEnd"/>
      <w:r>
        <w:rPr>
          <w:rFonts w:hint="cs"/>
          <w:sz w:val="22"/>
          <w:rtl/>
        </w:rPr>
        <w:t>);</w:t>
      </w:r>
    </w:p>
    <w:p w:rsidR="0067381A" w:rsidRDefault="0067381A" w:rsidP="00B16F4F">
      <w:pPr>
        <w:numPr>
          <w:ilvl w:val="0"/>
          <w:numId w:val="18"/>
        </w:numPr>
        <w:autoSpaceDE/>
        <w:autoSpaceDN/>
        <w:spacing w:after="0" w:line="360" w:lineRule="auto"/>
        <w:ind w:right="0"/>
        <w:rPr>
          <w:sz w:val="22"/>
        </w:rPr>
      </w:pPr>
      <w:r>
        <w:rPr>
          <w:rFonts w:hint="cs"/>
          <w:sz w:val="22"/>
          <w:rtl/>
        </w:rPr>
        <w:t xml:space="preserve">אפשר </w:t>
      </w:r>
      <w:r>
        <w:rPr>
          <w:sz w:val="22"/>
          <w:rtl/>
        </w:rPr>
        <w:t>–</w:t>
      </w:r>
      <w:r>
        <w:rPr>
          <w:rFonts w:hint="cs"/>
          <w:sz w:val="22"/>
          <w:rtl/>
        </w:rPr>
        <w:t xml:space="preserve"> לא מכוון (אל"מ);</w:t>
      </w:r>
    </w:p>
    <w:p w:rsidR="0067381A" w:rsidRDefault="0067381A" w:rsidP="00B16F4F">
      <w:pPr>
        <w:numPr>
          <w:ilvl w:val="0"/>
          <w:numId w:val="18"/>
        </w:numPr>
        <w:autoSpaceDE/>
        <w:autoSpaceDN/>
        <w:spacing w:after="0" w:line="360" w:lineRule="auto"/>
        <w:ind w:right="0"/>
        <w:rPr>
          <w:sz w:val="22"/>
        </w:rPr>
      </w:pPr>
      <w:r>
        <w:rPr>
          <w:rFonts w:hint="cs"/>
          <w:sz w:val="22"/>
          <w:rtl/>
        </w:rPr>
        <w:t xml:space="preserve">לא אפשר </w:t>
      </w:r>
      <w:r>
        <w:rPr>
          <w:sz w:val="22"/>
          <w:rtl/>
        </w:rPr>
        <w:t>–</w:t>
      </w:r>
      <w:r>
        <w:rPr>
          <w:rFonts w:hint="cs"/>
          <w:sz w:val="22"/>
          <w:rtl/>
        </w:rPr>
        <w:t xml:space="preserve"> לא מכוון (לאל"מ);</w:t>
      </w:r>
    </w:p>
    <w:p w:rsidR="0067381A" w:rsidRDefault="0067381A" w:rsidP="00B16F4F">
      <w:pPr>
        <w:spacing w:line="360" w:lineRule="auto"/>
        <w:rPr>
          <w:sz w:val="22"/>
          <w:rtl/>
        </w:rPr>
      </w:pPr>
      <w:r>
        <w:rPr>
          <w:rFonts w:hint="cs"/>
          <w:sz w:val="22"/>
          <w:rtl/>
        </w:rPr>
        <w:t>(לשם הקיצור, להלן אתייחס למקרים אלו בראשי תיבות.)</w:t>
      </w:r>
    </w:p>
    <w:p w:rsidR="0067381A" w:rsidRDefault="0067381A" w:rsidP="00B16F4F">
      <w:pPr>
        <w:spacing w:line="360" w:lineRule="auto"/>
        <w:ind w:firstLine="566"/>
        <w:rPr>
          <w:sz w:val="22"/>
          <w:rtl/>
        </w:rPr>
      </w:pPr>
      <w:r>
        <w:rPr>
          <w:rFonts w:hint="cs"/>
          <w:sz w:val="22"/>
          <w:rtl/>
        </w:rPr>
        <w:t xml:space="preserve">רש"י, שלא פירש דבר על המילים "הנאה הבאה לאדם בעל כורחו", מסביר את חלוקת הגמרא ל- 4 מקרים באמצעות דוגמא: "אפשר </w:t>
      </w:r>
      <w:r>
        <w:rPr>
          <w:sz w:val="22"/>
          <w:rtl/>
        </w:rPr>
        <w:t>–</w:t>
      </w:r>
      <w:r>
        <w:rPr>
          <w:rFonts w:hint="cs"/>
          <w:sz w:val="22"/>
          <w:rtl/>
        </w:rPr>
        <w:t xml:space="preserve"> אפשר לו </w:t>
      </w:r>
      <w:proofErr w:type="spellStart"/>
      <w:r>
        <w:rPr>
          <w:rFonts w:hint="cs"/>
          <w:sz w:val="22"/>
          <w:rtl/>
        </w:rPr>
        <w:t>ליבדל</w:t>
      </w:r>
      <w:proofErr w:type="spellEnd"/>
      <w:r>
        <w:rPr>
          <w:rFonts w:hint="cs"/>
          <w:sz w:val="22"/>
          <w:rtl/>
        </w:rPr>
        <w:t xml:space="preserve"> </w:t>
      </w:r>
      <w:proofErr w:type="spellStart"/>
      <w:r>
        <w:rPr>
          <w:rFonts w:hint="cs"/>
          <w:sz w:val="22"/>
          <w:rtl/>
        </w:rPr>
        <w:t>וקא</w:t>
      </w:r>
      <w:proofErr w:type="spellEnd"/>
      <w:r>
        <w:rPr>
          <w:rFonts w:hint="cs"/>
          <w:sz w:val="22"/>
          <w:rtl/>
        </w:rPr>
        <w:t xml:space="preserve"> </w:t>
      </w:r>
      <w:proofErr w:type="spellStart"/>
      <w:r>
        <w:rPr>
          <w:rFonts w:hint="cs"/>
          <w:sz w:val="22"/>
          <w:rtl/>
        </w:rPr>
        <w:t>מיכוין</w:t>
      </w:r>
      <w:proofErr w:type="spellEnd"/>
      <w:r>
        <w:rPr>
          <w:rFonts w:hint="cs"/>
          <w:sz w:val="22"/>
          <w:rtl/>
        </w:rPr>
        <w:t xml:space="preserve"> להתקרב כדי  ליהנות כגון ריח של ע"ז או אפילו אי אפשר לו </w:t>
      </w:r>
      <w:proofErr w:type="spellStart"/>
      <w:r>
        <w:rPr>
          <w:rFonts w:hint="cs"/>
          <w:sz w:val="22"/>
          <w:rtl/>
        </w:rPr>
        <w:t>ליבדל</w:t>
      </w:r>
      <w:proofErr w:type="spellEnd"/>
      <w:r>
        <w:rPr>
          <w:rFonts w:hint="cs"/>
          <w:sz w:val="22"/>
          <w:rtl/>
        </w:rPr>
        <w:t xml:space="preserve"> ומיהו </w:t>
      </w:r>
      <w:proofErr w:type="spellStart"/>
      <w:r>
        <w:rPr>
          <w:rFonts w:hint="cs"/>
          <w:sz w:val="22"/>
          <w:rtl/>
        </w:rPr>
        <w:t>מתכוין</w:t>
      </w:r>
      <w:proofErr w:type="spellEnd"/>
      <w:r>
        <w:rPr>
          <w:rFonts w:hint="cs"/>
          <w:sz w:val="22"/>
          <w:rtl/>
        </w:rPr>
        <w:t xml:space="preserve"> הוא וחביב הוא לו ליהנות." </w:t>
      </w:r>
      <w:r>
        <w:rPr>
          <w:rFonts w:hint="cs"/>
          <w:sz w:val="22"/>
          <w:rtl/>
        </w:rPr>
        <w:lastRenderedPageBreak/>
        <w:t xml:space="preserve">מהמקרים המובאים בהמשך הגמרא, ברור כי המושג "אפשר" מתייחס למצב בו ישנה אפשרות שלא ליהנות </w:t>
      </w:r>
      <w:r>
        <w:rPr>
          <w:rFonts w:hint="cs"/>
          <w:sz w:val="22"/>
          <w:u w:val="single"/>
          <w:rtl/>
        </w:rPr>
        <w:t>מבלי לפגוע</w:t>
      </w:r>
      <w:r>
        <w:rPr>
          <w:rFonts w:hint="cs"/>
          <w:sz w:val="22"/>
          <w:rtl/>
        </w:rPr>
        <w:t xml:space="preserve"> ביכולת להשיג את המטרה שאותה רוצה האדם להשיג. למשל, אם אדם נוסע מנקודה א' לנקודה ב' (מסיבה כלשהי), ויש מקדש של ע"ז המפיק ריחות נעימים על הדרך</w:t>
      </w:r>
      <w:r>
        <w:rPr>
          <w:sz w:val="22"/>
          <w:rtl/>
        </w:rPr>
        <w:t>–</w:t>
      </w:r>
      <w:r>
        <w:rPr>
          <w:rFonts w:hint="cs"/>
          <w:sz w:val="22"/>
          <w:rtl/>
        </w:rPr>
        <w:t xml:space="preserve"> אם ישנה אפשרות ללכת למקום ב' בדרך  אחרת, אז זהו מצב של "אפשר". אם אין אפשרות אחרת להגיע לאותו המקום, אז זהו מצב של "לא אפשר", אף על פי שעקרונית ניתן היה לומר לאדם שיישאר בבית ולא ייסע לאותו מקום. מכוון / לא מכוון לפי רש"י, נוגע לשאלה האם  לאחר שהאדם בחר ללכת בדרך העוברת ליד מקדש ע"ז בדרך למקום ב' הוא גם רוצה ליהנות מן הריח (או לא סולד ממנו). </w:t>
      </w:r>
    </w:p>
    <w:p w:rsidR="0067381A" w:rsidRDefault="0067381A" w:rsidP="00B16F4F">
      <w:pPr>
        <w:spacing w:line="360" w:lineRule="auto"/>
        <w:ind w:firstLine="566"/>
        <w:rPr>
          <w:sz w:val="22"/>
          <w:rtl/>
        </w:rPr>
      </w:pPr>
      <w:r>
        <w:rPr>
          <w:rFonts w:hint="cs"/>
          <w:sz w:val="22"/>
          <w:rtl/>
        </w:rPr>
        <w:t>רבנו דוד  מסביר את המונח "הנאה הבאה לאדם בעל כורחו" באופן שגם אפשר ומכוון נחשב לבעל כורחו. הבעיה בפניה הוא עומד היא הסתירה בין מכוון ובין בעל כורחו. הוא כותב:</w:t>
      </w:r>
    </w:p>
    <w:p w:rsidR="0067381A" w:rsidRDefault="0067381A" w:rsidP="00B16F4F">
      <w:pPr>
        <w:spacing w:line="360" w:lineRule="auto"/>
        <w:ind w:firstLine="566"/>
        <w:rPr>
          <w:sz w:val="22"/>
          <w:rtl/>
        </w:rPr>
      </w:pPr>
      <w:r>
        <w:rPr>
          <w:rFonts w:hint="cs"/>
          <w:sz w:val="22"/>
          <w:rtl/>
        </w:rPr>
        <w:t>.....</w:t>
      </w:r>
    </w:p>
    <w:p w:rsidR="0067381A" w:rsidRDefault="0067381A" w:rsidP="00B16F4F">
      <w:pPr>
        <w:spacing w:line="360" w:lineRule="auto"/>
        <w:ind w:firstLine="566"/>
        <w:rPr>
          <w:sz w:val="22"/>
          <w:rtl/>
        </w:rPr>
      </w:pPr>
      <w:r>
        <w:rPr>
          <w:rFonts w:hint="cs"/>
          <w:sz w:val="22"/>
          <w:rtl/>
        </w:rPr>
        <w:t>רבנו דוד ממשיך להסביר מה משמעות המושג "מתכוון" בתנאים אלו:</w:t>
      </w:r>
    </w:p>
    <w:p w:rsidR="0067381A" w:rsidRDefault="0067381A" w:rsidP="00B16F4F">
      <w:pPr>
        <w:spacing w:line="360" w:lineRule="auto"/>
        <w:ind w:firstLine="566"/>
        <w:rPr>
          <w:sz w:val="22"/>
          <w:rtl/>
        </w:rPr>
      </w:pPr>
      <w:r>
        <w:rPr>
          <w:rFonts w:hint="cs"/>
          <w:sz w:val="22"/>
          <w:rtl/>
        </w:rPr>
        <w:t>....</w:t>
      </w:r>
    </w:p>
    <w:p w:rsidR="0067381A" w:rsidRDefault="0067381A" w:rsidP="00B16F4F">
      <w:pPr>
        <w:spacing w:line="360" w:lineRule="auto"/>
        <w:ind w:firstLine="566"/>
        <w:rPr>
          <w:sz w:val="22"/>
          <w:rtl/>
        </w:rPr>
      </w:pPr>
      <w:r>
        <w:rPr>
          <w:rFonts w:hint="cs"/>
          <w:sz w:val="22"/>
          <w:rtl/>
        </w:rPr>
        <w:t xml:space="preserve">דבריו ברורים. מצב של מתכוון הוא מצב בו ההנאה לא נגרמה בכוונה על ידי הנהנה. ההנאה באה מעצמה. אולם לאחר קיומה של ההנאה (כלומר ברגע ההנאה </w:t>
      </w:r>
      <w:r>
        <w:rPr>
          <w:sz w:val="22"/>
          <w:rtl/>
        </w:rPr>
        <w:t>–</w:t>
      </w:r>
      <w:r>
        <w:rPr>
          <w:rFonts w:hint="cs"/>
          <w:sz w:val="22"/>
          <w:rtl/>
        </w:rPr>
        <w:t xml:space="preserve"> עכשיו), הוא מרוצה מן ההנאה, היא נעימה לו. המילים "בעל כורחו" מתייחסות לאופן בו נוצרה ההנאה; המונח "מתכוון" מתייחס לגישה של האדם כלפי ההנאה. </w:t>
      </w:r>
    </w:p>
    <w:p w:rsidR="0067381A" w:rsidRDefault="0067381A" w:rsidP="00B16F4F">
      <w:pPr>
        <w:spacing w:line="360" w:lineRule="auto"/>
        <w:ind w:firstLine="566"/>
        <w:rPr>
          <w:sz w:val="22"/>
          <w:rtl/>
        </w:rPr>
      </w:pPr>
      <w:r>
        <w:rPr>
          <w:rFonts w:hint="cs"/>
          <w:sz w:val="22"/>
          <w:rtl/>
        </w:rPr>
        <w:t xml:space="preserve">לפני שנעסוק בבעיה המרכזית הנוגעת לדיון זה, עלינו להגדיר קודם את המחלוקת שבין רבי יהודה ורבי שמעון, שלדעת הגמרא עומדת ביסוד מחלוקתם של רבא </w:t>
      </w:r>
      <w:proofErr w:type="spellStart"/>
      <w:r>
        <w:rPr>
          <w:rFonts w:hint="cs"/>
          <w:sz w:val="22"/>
          <w:rtl/>
        </w:rPr>
        <w:t>ואביי</w:t>
      </w:r>
      <w:proofErr w:type="spellEnd"/>
      <w:r>
        <w:rPr>
          <w:rFonts w:hint="cs"/>
          <w:sz w:val="22"/>
          <w:rtl/>
        </w:rPr>
        <w:t xml:space="preserve">, בצורה זו או אחרת. </w:t>
      </w:r>
    </w:p>
    <w:p w:rsidR="0067381A" w:rsidRDefault="0067381A" w:rsidP="00B16F4F">
      <w:pPr>
        <w:spacing w:line="360" w:lineRule="auto"/>
        <w:ind w:firstLine="566"/>
        <w:rPr>
          <w:sz w:val="22"/>
          <w:rtl/>
        </w:rPr>
      </w:pPr>
      <w:r>
        <w:rPr>
          <w:rFonts w:hint="cs"/>
          <w:sz w:val="22"/>
          <w:rtl/>
        </w:rPr>
        <w:t xml:space="preserve">שני התנאים נחלקו בעניין "דבר שאינו מתכוון". האם מותר לגרור ספסל על עפר תיחוח מצד אחד של החצר אל הצד השני כאשר ברור כי גרירת הספסל תגרום ליצירת חריץ בקרקע בשבת (שאסור בשבת משום חרישה)? רבי שמעון פוסק כי דבר שאינו מתכוון מותר. הסיבה היא שהתוצאה המשנית, יצירת החריץ, אינה תוצאה רצויה של המעשה, ועל כן אין בו משום חילול שבת. רבי יהודה פוסק כי יש לאסור דבר שאינו מתכוון. </w:t>
      </w:r>
    </w:p>
    <w:p w:rsidR="0067381A" w:rsidRDefault="0067381A" w:rsidP="00B16F4F">
      <w:pPr>
        <w:spacing w:line="360" w:lineRule="auto"/>
        <w:ind w:firstLine="566"/>
        <w:rPr>
          <w:sz w:val="22"/>
          <w:rtl/>
        </w:rPr>
      </w:pPr>
      <w:r>
        <w:rPr>
          <w:rFonts w:hint="cs"/>
          <w:sz w:val="22"/>
          <w:rtl/>
        </w:rPr>
        <w:t xml:space="preserve">הבה נבחן את המקרה. במעשה ישנם שני אירועים: 1) גרירת </w:t>
      </w:r>
      <w:proofErr w:type="spellStart"/>
      <w:r>
        <w:rPr>
          <w:rFonts w:hint="cs"/>
          <w:sz w:val="22"/>
          <w:rtl/>
        </w:rPr>
        <w:t>כסא</w:t>
      </w:r>
      <w:proofErr w:type="spellEnd"/>
      <w:r>
        <w:rPr>
          <w:rFonts w:hint="cs"/>
          <w:sz w:val="22"/>
          <w:rtl/>
        </w:rPr>
        <w:t xml:space="preserve"> לאורך החצר; 2) יצירת חריץ בקרקע. שני </w:t>
      </w:r>
      <w:r>
        <w:rPr>
          <w:rFonts w:hint="cs"/>
          <w:sz w:val="22"/>
          <w:rtl/>
        </w:rPr>
        <w:lastRenderedPageBreak/>
        <w:t xml:space="preserve">האירועים הללו הן תוצאה ישירה של המעשה אותו ביצע האדם. ההבדל בין שני האירועים הוא שמעשה האדם (גרירת </w:t>
      </w:r>
      <w:proofErr w:type="spellStart"/>
      <w:r>
        <w:rPr>
          <w:rFonts w:hint="cs"/>
          <w:sz w:val="22"/>
          <w:rtl/>
        </w:rPr>
        <w:t>הכסא</w:t>
      </w:r>
      <w:proofErr w:type="spellEnd"/>
      <w:r>
        <w:rPr>
          <w:rFonts w:hint="cs"/>
          <w:sz w:val="22"/>
          <w:rtl/>
        </w:rPr>
        <w:t xml:space="preserve"> בזרועו) כוונה לאירוע הראשון ולא לשני. השאלה המתעוררת היא האם האירוע השני יכול לשמש לתיאור המעשה (כלומר, להגדיר שנעשה כאן מעשה חרישה)? לדעת רבי שמעון התשובה היא כי האדם אמנם הזיז את הספסל, אך החריץ נוצר כתוצאה של ההזזה. אנו לא אומרים כי האדם </w:t>
      </w:r>
      <w:r>
        <w:rPr>
          <w:rFonts w:hint="cs"/>
          <w:sz w:val="22"/>
          <w:u w:val="single"/>
          <w:rtl/>
        </w:rPr>
        <w:t>חפר</w:t>
      </w:r>
      <w:r>
        <w:rPr>
          <w:rFonts w:hint="cs"/>
          <w:sz w:val="22"/>
          <w:rtl/>
        </w:rPr>
        <w:t xml:space="preserve"> את החריץ. לא כל תוצאה של מעשה האדם הופכת אוטומטית למגדירה של המעשה. במקרה זה, מחלוקת התנאים היא האם תוצאה לא רצויה של המעשה מגדירה אותו. האם האדם גם גרר ספסל וגם יצר חריץ בקרקע, או שמא האדם רק גרר את הספסל, ויצירת החריץ הייתה רק </w:t>
      </w:r>
      <w:r>
        <w:rPr>
          <w:rFonts w:hint="cs"/>
          <w:sz w:val="22"/>
          <w:u w:val="single"/>
          <w:rtl/>
        </w:rPr>
        <w:t>תוצאה</w:t>
      </w:r>
      <w:r>
        <w:rPr>
          <w:rFonts w:hint="cs"/>
          <w:sz w:val="22"/>
          <w:rtl/>
        </w:rPr>
        <w:t xml:space="preserve"> של מעשהו, אך לא היה כאן מעשה חרישה. (מובן כי אני מדבר כאן על הגדרתו ההלכתית של המעשה. לדעת רבי שמעון לא ניתן לייחס אדם תוצאה מסוימת של מעשיו, אם התוצאה הייתה ללא כוונה, או ללא מטרה. דוגמא קיצונית לעניין, היא מקרה בו למשל אני נוהג, ואני פושט את ידי אל מחוץ לחלון על מנת למתוח את המרפק. הרכב הנוסע אחריי, יכול לרוע המזל לחשוב כי המדובר בסימון פנייה שמאלה, למרות שאני כלל לא התכוונתי לפרשנות שכזו למעשיי. סימון הוא סוג של מעשה שלא יכול להתבצע ללא כוונה. אני מציין דוגמא זו כדי להמחיש שלא כל מעשה שניתן לייחס לתנועת זרועו של אדם אכן יכול להיקרא מעשה האדם.)</w:t>
      </w:r>
    </w:p>
    <w:p w:rsidR="0067381A" w:rsidRDefault="0067381A" w:rsidP="00B16F4F">
      <w:pPr>
        <w:spacing w:line="360" w:lineRule="auto"/>
        <w:ind w:firstLine="566"/>
        <w:rPr>
          <w:sz w:val="22"/>
          <w:rtl/>
        </w:rPr>
      </w:pPr>
      <w:r>
        <w:rPr>
          <w:rFonts w:hint="cs"/>
          <w:sz w:val="22"/>
          <w:rtl/>
        </w:rPr>
        <w:t xml:space="preserve">אם נשווה את המקרה של הנאה למלאכות שבת, נוכל להבין את הדיון העולה אצלנו בסוגיה בפסחים. בתחילת הפרק ציינתי, כי ישנה בעייתיות בהבנת מעשה ההנאה, שכן הנאה אינה מעשה אלא מצב (על אף שבעברית הנאה היא פועל שניתן להטותו ככל פועל אחר). רבנו דוד מגדיר כי אם אדם עשה מעשה על מנת להפיק הנאה, המעשה נחשב כמעשה הנאה. כאן, מעשה האדם (הליכה בדרך מסוימת) אינו מכוון בראש ובראשונה להפקת הנאה. ההנאה באה מעצמה כשהוא מהלך בדרך. המעשה הישיר של האדם הוא ההליכה מנקודה א' לב' (בדומה לגרירת הספסל). זו פעולה מותרת. ישנו אירוע נוסף המתרחש באותו זמן, כתוצאה מהמעשה הראשוני. הוא גם נהנה. מכל מקום, אין לאסור הנאה זו אלא אם ניתן להגדיר את המקרה </w:t>
      </w:r>
      <w:r>
        <w:rPr>
          <w:rFonts w:hint="cs"/>
          <w:sz w:val="22"/>
          <w:u w:val="single"/>
          <w:rtl/>
        </w:rPr>
        <w:t>כמעשה</w:t>
      </w:r>
      <w:r>
        <w:rPr>
          <w:rFonts w:hint="cs"/>
          <w:sz w:val="22"/>
          <w:rtl/>
        </w:rPr>
        <w:t xml:space="preserve"> של הנאה, ולא רק כאירוע הנאה שבו הוא מעורב. השאלה היא מהם התנאים הנחוצים להגדרת האירוע המשני כמעשה של הנאה? שאלה זו מקבילה לשאלה שנשאלה בהלכות שבת </w:t>
      </w:r>
      <w:r>
        <w:rPr>
          <w:sz w:val="22"/>
          <w:rtl/>
        </w:rPr>
        <w:t>–</w:t>
      </w:r>
      <w:r>
        <w:rPr>
          <w:rFonts w:hint="cs"/>
          <w:sz w:val="22"/>
          <w:rtl/>
        </w:rPr>
        <w:t xml:space="preserve"> מהם התנאים הנדרשים כדי להגדיר את התוצאה המשנית כחלק ממעשה האדם? ישנם שני תנאים </w:t>
      </w:r>
      <w:r>
        <w:rPr>
          <w:sz w:val="22"/>
          <w:rtl/>
        </w:rPr>
        <w:t>–</w:t>
      </w:r>
      <w:r>
        <w:rPr>
          <w:rFonts w:hint="cs"/>
          <w:sz w:val="22"/>
          <w:rtl/>
        </w:rPr>
        <w:t xml:space="preserve"> כוונה ליהנות תוך כדי ההליכה הופכת </w:t>
      </w:r>
      <w:r>
        <w:rPr>
          <w:rFonts w:hint="cs"/>
          <w:sz w:val="22"/>
          <w:rtl/>
        </w:rPr>
        <w:lastRenderedPageBreak/>
        <w:t xml:space="preserve">את האירוע למעשה (מתכוון), וכמו כן, היכולת לבחור בהליכה בדרך אחרת  הופכת את הבחירה בדרך הספציפית הזו למעשה של הנאה (אפשר). </w:t>
      </w:r>
    </w:p>
    <w:p w:rsidR="0067381A" w:rsidRDefault="0067381A" w:rsidP="00B16F4F">
      <w:pPr>
        <w:spacing w:line="360" w:lineRule="auto"/>
        <w:ind w:firstLine="566"/>
        <w:rPr>
          <w:sz w:val="22"/>
          <w:rtl/>
        </w:rPr>
      </w:pPr>
      <w:r>
        <w:rPr>
          <w:rFonts w:hint="cs"/>
          <w:sz w:val="22"/>
          <w:rtl/>
        </w:rPr>
        <w:t xml:space="preserve">מבנה הסוגיה בגמרא סבוך מאד, עם ריבוי אפשרויות ברמות שונות. נתאר בקצרה את מבנה </w:t>
      </w:r>
      <w:proofErr w:type="spellStart"/>
      <w:r>
        <w:rPr>
          <w:rFonts w:hint="cs"/>
          <w:sz w:val="22"/>
          <w:rtl/>
        </w:rPr>
        <w:t>הסוגייה</w:t>
      </w:r>
      <w:proofErr w:type="spellEnd"/>
      <w:r>
        <w:rPr>
          <w:rFonts w:hint="cs"/>
          <w:sz w:val="22"/>
          <w:rtl/>
        </w:rPr>
        <w:t>:</w:t>
      </w:r>
    </w:p>
    <w:p w:rsidR="0067381A" w:rsidRDefault="0067381A" w:rsidP="00B16F4F">
      <w:pPr>
        <w:numPr>
          <w:ilvl w:val="0"/>
          <w:numId w:val="19"/>
        </w:numPr>
        <w:autoSpaceDE/>
        <w:autoSpaceDN/>
        <w:spacing w:after="0" w:line="360" w:lineRule="auto"/>
        <w:ind w:right="0"/>
        <w:rPr>
          <w:sz w:val="22"/>
          <w:rtl/>
        </w:rPr>
      </w:pPr>
      <w:r>
        <w:rPr>
          <w:rFonts w:hint="cs"/>
          <w:sz w:val="22"/>
          <w:rtl/>
        </w:rPr>
        <w:t>לישנא קמא:</w:t>
      </w:r>
    </w:p>
    <w:p w:rsidR="0067381A" w:rsidRDefault="0067381A" w:rsidP="00B16F4F">
      <w:pPr>
        <w:spacing w:line="360" w:lineRule="auto"/>
        <w:rPr>
          <w:sz w:val="22"/>
          <w:rtl/>
        </w:rPr>
      </w:pPr>
      <w:r>
        <w:rPr>
          <w:rFonts w:hint="cs"/>
          <w:sz w:val="22"/>
          <w:rtl/>
        </w:rPr>
        <w:t xml:space="preserve">אפשר ומתכוון </w:t>
      </w:r>
      <w:r>
        <w:rPr>
          <w:sz w:val="22"/>
          <w:rtl/>
        </w:rPr>
        <w:t>–</w:t>
      </w:r>
      <w:r>
        <w:rPr>
          <w:rFonts w:hint="cs"/>
          <w:sz w:val="22"/>
          <w:rtl/>
        </w:rPr>
        <w:t xml:space="preserve"> אסור;</w:t>
      </w:r>
    </w:p>
    <w:p w:rsidR="0067381A" w:rsidRDefault="0067381A" w:rsidP="00B16F4F">
      <w:pPr>
        <w:spacing w:line="360" w:lineRule="auto"/>
        <w:rPr>
          <w:sz w:val="22"/>
          <w:rtl/>
        </w:rPr>
      </w:pPr>
      <w:r>
        <w:rPr>
          <w:rFonts w:hint="cs"/>
          <w:sz w:val="22"/>
          <w:rtl/>
        </w:rPr>
        <w:t xml:space="preserve">לא אפשר ומתכוון </w:t>
      </w:r>
      <w:r>
        <w:rPr>
          <w:sz w:val="22"/>
          <w:rtl/>
        </w:rPr>
        <w:t>–</w:t>
      </w:r>
      <w:r>
        <w:rPr>
          <w:rFonts w:hint="cs"/>
          <w:sz w:val="22"/>
          <w:rtl/>
        </w:rPr>
        <w:t xml:space="preserve"> אסור;</w:t>
      </w:r>
    </w:p>
    <w:p w:rsidR="0067381A" w:rsidRDefault="0067381A" w:rsidP="00B16F4F">
      <w:pPr>
        <w:spacing w:line="360" w:lineRule="auto"/>
        <w:rPr>
          <w:sz w:val="22"/>
          <w:rtl/>
        </w:rPr>
      </w:pPr>
      <w:r>
        <w:rPr>
          <w:rFonts w:hint="cs"/>
          <w:sz w:val="22"/>
          <w:rtl/>
        </w:rPr>
        <w:t>(במילים אחרות, הכוונה גורמת לייחוס ישיר של המעשה לאדם)</w:t>
      </w:r>
    </w:p>
    <w:p w:rsidR="0067381A" w:rsidRDefault="0067381A" w:rsidP="00B16F4F">
      <w:pPr>
        <w:spacing w:line="360" w:lineRule="auto"/>
        <w:rPr>
          <w:sz w:val="22"/>
          <w:rtl/>
        </w:rPr>
      </w:pPr>
      <w:r>
        <w:rPr>
          <w:rFonts w:hint="cs"/>
          <w:sz w:val="22"/>
          <w:rtl/>
        </w:rPr>
        <w:t xml:space="preserve">לא אפשר ולא מתכוון </w:t>
      </w:r>
      <w:r>
        <w:rPr>
          <w:sz w:val="22"/>
          <w:rtl/>
        </w:rPr>
        <w:t>–</w:t>
      </w:r>
      <w:r>
        <w:rPr>
          <w:rFonts w:hint="cs"/>
          <w:sz w:val="22"/>
          <w:rtl/>
        </w:rPr>
        <w:t xml:space="preserve"> מותר (רבי יהודה יאסור גם במקרה זה, עיין בתוספות);</w:t>
      </w:r>
    </w:p>
    <w:p w:rsidR="0067381A" w:rsidRDefault="0067381A" w:rsidP="00B16F4F">
      <w:pPr>
        <w:spacing w:line="360" w:lineRule="auto"/>
        <w:rPr>
          <w:sz w:val="22"/>
          <w:rtl/>
        </w:rPr>
      </w:pPr>
      <w:r>
        <w:rPr>
          <w:rFonts w:hint="cs"/>
          <w:sz w:val="22"/>
          <w:rtl/>
        </w:rPr>
        <w:t xml:space="preserve">אפשר ולא מתכוון </w:t>
      </w:r>
      <w:r>
        <w:rPr>
          <w:sz w:val="22"/>
          <w:rtl/>
        </w:rPr>
        <w:t>–</w:t>
      </w:r>
      <w:r>
        <w:rPr>
          <w:rFonts w:hint="cs"/>
          <w:sz w:val="22"/>
          <w:rtl/>
        </w:rPr>
        <w:t xml:space="preserve"> לדעת רבי יהודה, אסור;</w:t>
      </w:r>
    </w:p>
    <w:p w:rsidR="0067381A" w:rsidRDefault="0067381A" w:rsidP="00B16F4F">
      <w:pPr>
        <w:spacing w:line="360" w:lineRule="auto"/>
        <w:rPr>
          <w:sz w:val="22"/>
          <w:rtl/>
        </w:rPr>
      </w:pPr>
      <w:r>
        <w:rPr>
          <w:rFonts w:hint="cs"/>
          <w:sz w:val="22"/>
          <w:rtl/>
        </w:rPr>
        <w:t xml:space="preserve">לדעת רבי שמעון </w:t>
      </w:r>
      <w:proofErr w:type="spellStart"/>
      <w:r>
        <w:rPr>
          <w:rFonts w:hint="cs"/>
          <w:sz w:val="22"/>
          <w:rtl/>
        </w:rPr>
        <w:t>אביי</w:t>
      </w:r>
      <w:proofErr w:type="spellEnd"/>
      <w:r>
        <w:rPr>
          <w:rFonts w:hint="cs"/>
          <w:sz w:val="22"/>
          <w:rtl/>
        </w:rPr>
        <w:t xml:space="preserve"> סובר כי מותר; רבא סובר כי "אפשר" מייחס את המעשה לאדם גם ללא כוונה. </w:t>
      </w:r>
    </w:p>
    <w:p w:rsidR="0067381A" w:rsidRDefault="0067381A" w:rsidP="00B16F4F">
      <w:pPr>
        <w:spacing w:line="360" w:lineRule="auto"/>
        <w:ind w:firstLine="566"/>
        <w:rPr>
          <w:sz w:val="22"/>
          <w:rtl/>
        </w:rPr>
      </w:pPr>
      <w:r>
        <w:rPr>
          <w:rFonts w:hint="cs"/>
          <w:sz w:val="22"/>
          <w:rtl/>
        </w:rPr>
        <w:t xml:space="preserve">הנקודה העיקרית בהבנה זו היא כי </w:t>
      </w:r>
      <w:proofErr w:type="spellStart"/>
      <w:r>
        <w:rPr>
          <w:rFonts w:hint="cs"/>
          <w:sz w:val="22"/>
          <w:rtl/>
        </w:rPr>
        <w:t>אביי</w:t>
      </w:r>
      <w:proofErr w:type="spellEnd"/>
      <w:r>
        <w:rPr>
          <w:rFonts w:hint="cs"/>
          <w:sz w:val="22"/>
          <w:rtl/>
        </w:rPr>
        <w:t xml:space="preserve"> ורבא חולקים (בדעת רבי שמעון) האם "אפשר" הוא גורם היוצר ייחוס של המעשה לאדם. מה הסברה בדברי רבא? באופן פשוט </w:t>
      </w:r>
      <w:r>
        <w:rPr>
          <w:sz w:val="22"/>
          <w:rtl/>
        </w:rPr>
        <w:t>–</w:t>
      </w:r>
      <w:r>
        <w:rPr>
          <w:rFonts w:hint="cs"/>
          <w:sz w:val="22"/>
          <w:rtl/>
        </w:rPr>
        <w:t xml:space="preserve"> אם עומדות בפני האדם שתי אופציות שקולות להשגת מטרתו הראשונית (הגעה למקום ב'), הדרך בה ישנו הריח האסור מקבלת הגדרה של "דרך של איסור" ביחס לדרך </w:t>
      </w:r>
      <w:proofErr w:type="spellStart"/>
      <w:r>
        <w:rPr>
          <w:rFonts w:hint="cs"/>
          <w:sz w:val="22"/>
          <w:rtl/>
        </w:rPr>
        <w:t>השניה</w:t>
      </w:r>
      <w:proofErr w:type="spellEnd"/>
      <w:r>
        <w:rPr>
          <w:rFonts w:hint="cs"/>
          <w:sz w:val="22"/>
          <w:rtl/>
        </w:rPr>
        <w:t xml:space="preserve">, כך שבחירה ללכת בדרך עם הריח היא בחירה ליהנות מההנאה הקיימת בדרך זו. הדבר נכון גם אם לא הייתה כוונה ליהנות. מעשה ההליכה בדרך ב' שונה ממעשה ההליכה בדרך א', והגורם לשוני בהגדרת המעשה הוא הריח האסור שבדרך ב'. </w:t>
      </w:r>
    </w:p>
    <w:p w:rsidR="0067381A" w:rsidRDefault="0067381A" w:rsidP="00B16F4F">
      <w:pPr>
        <w:numPr>
          <w:ilvl w:val="0"/>
          <w:numId w:val="19"/>
        </w:numPr>
        <w:autoSpaceDE/>
        <w:autoSpaceDN/>
        <w:spacing w:after="0" w:line="360" w:lineRule="auto"/>
        <w:ind w:right="0"/>
        <w:rPr>
          <w:sz w:val="22"/>
          <w:rtl/>
        </w:rPr>
      </w:pPr>
      <w:r>
        <w:rPr>
          <w:rFonts w:hint="cs"/>
          <w:sz w:val="22"/>
          <w:rtl/>
        </w:rPr>
        <w:t xml:space="preserve">לישנא </w:t>
      </w:r>
      <w:proofErr w:type="spellStart"/>
      <w:r>
        <w:rPr>
          <w:rFonts w:hint="cs"/>
          <w:sz w:val="22"/>
          <w:rtl/>
        </w:rPr>
        <w:t>בתרא</w:t>
      </w:r>
      <w:proofErr w:type="spellEnd"/>
    </w:p>
    <w:p w:rsidR="0067381A" w:rsidRDefault="0067381A" w:rsidP="00B16F4F">
      <w:pPr>
        <w:spacing w:line="360" w:lineRule="auto"/>
        <w:rPr>
          <w:sz w:val="22"/>
          <w:rtl/>
        </w:rPr>
      </w:pPr>
      <w:r>
        <w:rPr>
          <w:rFonts w:hint="cs"/>
          <w:sz w:val="22"/>
          <w:rtl/>
        </w:rPr>
        <w:t xml:space="preserve">אפשר ומתכוון </w:t>
      </w:r>
      <w:r>
        <w:rPr>
          <w:sz w:val="22"/>
          <w:rtl/>
        </w:rPr>
        <w:t>–</w:t>
      </w:r>
      <w:r>
        <w:rPr>
          <w:rFonts w:hint="cs"/>
          <w:sz w:val="22"/>
          <w:rtl/>
        </w:rPr>
        <w:t xml:space="preserve"> אסור;</w:t>
      </w:r>
    </w:p>
    <w:p w:rsidR="0067381A" w:rsidRDefault="0067381A" w:rsidP="00B16F4F">
      <w:pPr>
        <w:spacing w:line="360" w:lineRule="auto"/>
        <w:rPr>
          <w:sz w:val="22"/>
          <w:rtl/>
        </w:rPr>
      </w:pPr>
      <w:r>
        <w:rPr>
          <w:rFonts w:hint="cs"/>
          <w:sz w:val="22"/>
          <w:rtl/>
        </w:rPr>
        <w:t xml:space="preserve">אפשר ולא מתכוון </w:t>
      </w:r>
      <w:r>
        <w:rPr>
          <w:sz w:val="22"/>
          <w:rtl/>
        </w:rPr>
        <w:t>–</w:t>
      </w:r>
      <w:r>
        <w:rPr>
          <w:rFonts w:hint="cs"/>
          <w:sz w:val="22"/>
          <w:rtl/>
        </w:rPr>
        <w:t xml:space="preserve"> רבי שמעון </w:t>
      </w:r>
      <w:r>
        <w:rPr>
          <w:sz w:val="22"/>
          <w:rtl/>
        </w:rPr>
        <w:t>–</w:t>
      </w:r>
      <w:r>
        <w:rPr>
          <w:rFonts w:hint="cs"/>
          <w:sz w:val="22"/>
          <w:rtl/>
        </w:rPr>
        <w:t xml:space="preserve"> מותר, רבי יהודה </w:t>
      </w:r>
      <w:r>
        <w:rPr>
          <w:sz w:val="22"/>
          <w:rtl/>
        </w:rPr>
        <w:t>–</w:t>
      </w:r>
      <w:r>
        <w:rPr>
          <w:rFonts w:hint="cs"/>
          <w:sz w:val="22"/>
          <w:rtl/>
        </w:rPr>
        <w:t xml:space="preserve"> אסור; </w:t>
      </w:r>
    </w:p>
    <w:p w:rsidR="0067381A" w:rsidRDefault="0067381A" w:rsidP="00B16F4F">
      <w:pPr>
        <w:spacing w:line="360" w:lineRule="auto"/>
        <w:rPr>
          <w:sz w:val="22"/>
          <w:rtl/>
        </w:rPr>
      </w:pPr>
      <w:r>
        <w:rPr>
          <w:rFonts w:hint="cs"/>
          <w:sz w:val="22"/>
          <w:rtl/>
        </w:rPr>
        <w:t xml:space="preserve">לא אפשר ולא מתכוון </w:t>
      </w:r>
      <w:r>
        <w:rPr>
          <w:sz w:val="22"/>
          <w:rtl/>
        </w:rPr>
        <w:t>–</w:t>
      </w:r>
      <w:r>
        <w:rPr>
          <w:rFonts w:hint="cs"/>
          <w:sz w:val="22"/>
          <w:rtl/>
        </w:rPr>
        <w:t xml:space="preserve"> מותר (גם לדעת רבי יהודה);</w:t>
      </w:r>
    </w:p>
    <w:p w:rsidR="0067381A" w:rsidRDefault="0067381A" w:rsidP="00B16F4F">
      <w:pPr>
        <w:spacing w:line="360" w:lineRule="auto"/>
        <w:rPr>
          <w:sz w:val="22"/>
          <w:rtl/>
        </w:rPr>
      </w:pPr>
      <w:r>
        <w:rPr>
          <w:rFonts w:hint="cs"/>
          <w:sz w:val="22"/>
          <w:rtl/>
        </w:rPr>
        <w:t xml:space="preserve">לא אפשר ומתכוון </w:t>
      </w:r>
      <w:r>
        <w:rPr>
          <w:sz w:val="22"/>
          <w:rtl/>
        </w:rPr>
        <w:t>–</w:t>
      </w:r>
      <w:r>
        <w:rPr>
          <w:rFonts w:hint="cs"/>
          <w:sz w:val="22"/>
          <w:rtl/>
        </w:rPr>
        <w:t xml:space="preserve"> רבי שמעון </w:t>
      </w:r>
      <w:r>
        <w:rPr>
          <w:sz w:val="22"/>
          <w:rtl/>
        </w:rPr>
        <w:t>–</w:t>
      </w:r>
      <w:r>
        <w:rPr>
          <w:rFonts w:hint="cs"/>
          <w:sz w:val="22"/>
          <w:rtl/>
        </w:rPr>
        <w:t xml:space="preserve"> מותר, </w:t>
      </w:r>
    </w:p>
    <w:p w:rsidR="0067381A" w:rsidRDefault="0067381A" w:rsidP="00B16F4F">
      <w:pPr>
        <w:spacing w:line="360" w:lineRule="auto"/>
        <w:rPr>
          <w:sz w:val="22"/>
          <w:rtl/>
        </w:rPr>
      </w:pPr>
      <w:r>
        <w:rPr>
          <w:rFonts w:hint="cs"/>
          <w:sz w:val="22"/>
          <w:rtl/>
        </w:rPr>
        <w:t xml:space="preserve">לדעת רבי יהודה רבא סובר כי אסור; </w:t>
      </w:r>
      <w:proofErr w:type="spellStart"/>
      <w:r>
        <w:rPr>
          <w:rFonts w:hint="cs"/>
          <w:sz w:val="22"/>
          <w:rtl/>
        </w:rPr>
        <w:t>אביי</w:t>
      </w:r>
      <w:proofErr w:type="spellEnd"/>
      <w:r>
        <w:rPr>
          <w:rFonts w:hint="cs"/>
          <w:sz w:val="22"/>
          <w:rtl/>
        </w:rPr>
        <w:t xml:space="preserve"> מתיר. </w:t>
      </w:r>
    </w:p>
    <w:p w:rsidR="0067381A" w:rsidRDefault="0067381A" w:rsidP="00B16F4F">
      <w:pPr>
        <w:pStyle w:val="BodyTextIndent"/>
        <w:ind w:left="0"/>
        <w:rPr>
          <w:rtl/>
        </w:rPr>
      </w:pPr>
      <w:r>
        <w:rPr>
          <w:rFonts w:hint="cs"/>
          <w:rtl/>
        </w:rPr>
        <w:t xml:space="preserve">כאן הטיעון עובד "לאחור". אנו יודעים כי רבי יהודה לא מצריך כוונה על מנת לייחס לאדם מעשה. האם זה בגלל שהוא מתחשב בגורם ה - "אפשר" כגורם יחיד לייחוס המעשה (כך </w:t>
      </w:r>
      <w:proofErr w:type="spellStart"/>
      <w:r>
        <w:rPr>
          <w:rFonts w:hint="cs"/>
          <w:rtl/>
        </w:rPr>
        <w:t>שלא"מ</w:t>
      </w:r>
      <w:proofErr w:type="spellEnd"/>
      <w:r>
        <w:rPr>
          <w:rFonts w:hint="cs"/>
          <w:rtl/>
        </w:rPr>
        <w:t xml:space="preserve"> מותר, משום שהכוונה כלל אינה מעלה או מורידה), או שמא כל אחד מן הגורמים מספיק, כך שבין </w:t>
      </w:r>
      <w:proofErr w:type="spellStart"/>
      <w:r>
        <w:rPr>
          <w:rFonts w:hint="cs"/>
          <w:rtl/>
        </w:rPr>
        <w:t>לא"מ</w:t>
      </w:r>
      <w:proofErr w:type="spellEnd"/>
      <w:r>
        <w:rPr>
          <w:rFonts w:hint="cs"/>
          <w:rtl/>
        </w:rPr>
        <w:t xml:space="preserve"> ואל"מ אסורים? </w:t>
      </w:r>
    </w:p>
    <w:p w:rsidR="0067381A" w:rsidRDefault="0067381A" w:rsidP="00B16F4F">
      <w:pPr>
        <w:spacing w:line="360" w:lineRule="auto"/>
        <w:ind w:firstLine="566"/>
        <w:rPr>
          <w:sz w:val="22"/>
          <w:rtl/>
        </w:rPr>
      </w:pPr>
      <w:r>
        <w:rPr>
          <w:rFonts w:hint="cs"/>
          <w:sz w:val="22"/>
          <w:rtl/>
        </w:rPr>
        <w:lastRenderedPageBreak/>
        <w:t xml:space="preserve">משפט קצר בעניין הלכה למעשה. רוב הראשונים פוסקים </w:t>
      </w:r>
      <w:proofErr w:type="spellStart"/>
      <w:r>
        <w:rPr>
          <w:rFonts w:hint="cs"/>
          <w:sz w:val="22"/>
          <w:rtl/>
        </w:rPr>
        <w:t>כלישנא</w:t>
      </w:r>
      <w:proofErr w:type="spellEnd"/>
      <w:r>
        <w:rPr>
          <w:rFonts w:hint="cs"/>
          <w:sz w:val="22"/>
          <w:rtl/>
        </w:rPr>
        <w:t xml:space="preserve"> </w:t>
      </w:r>
      <w:proofErr w:type="spellStart"/>
      <w:r>
        <w:rPr>
          <w:rFonts w:hint="cs"/>
          <w:sz w:val="22"/>
          <w:rtl/>
        </w:rPr>
        <w:t>בתרא</w:t>
      </w:r>
      <w:proofErr w:type="spellEnd"/>
      <w:r>
        <w:rPr>
          <w:rFonts w:hint="cs"/>
          <w:sz w:val="22"/>
          <w:rtl/>
        </w:rPr>
        <w:t xml:space="preserve">, </w:t>
      </w:r>
      <w:proofErr w:type="spellStart"/>
      <w:r>
        <w:rPr>
          <w:rFonts w:hint="cs"/>
          <w:sz w:val="22"/>
          <w:rtl/>
        </w:rPr>
        <w:t>וכרבא</w:t>
      </w:r>
      <w:proofErr w:type="spellEnd"/>
      <w:r>
        <w:rPr>
          <w:rFonts w:hint="cs"/>
          <w:sz w:val="22"/>
          <w:rtl/>
        </w:rPr>
        <w:t xml:space="preserve">, כמובן. בכל מקרה, ההלכה כרבי שמעון. אנו נדון </w:t>
      </w:r>
      <w:proofErr w:type="spellStart"/>
      <w:r>
        <w:rPr>
          <w:rFonts w:hint="cs"/>
          <w:sz w:val="22"/>
          <w:rtl/>
        </w:rPr>
        <w:t>בנפקא</w:t>
      </w:r>
      <w:proofErr w:type="spellEnd"/>
      <w:r>
        <w:rPr>
          <w:rFonts w:hint="cs"/>
          <w:sz w:val="22"/>
          <w:rtl/>
        </w:rPr>
        <w:t xml:space="preserve"> מינות ההלכתיות בשבוע הבא, כאשר נעסוק בהוכחות אותן מביאה  הגמרא </w:t>
      </w:r>
      <w:proofErr w:type="spellStart"/>
      <w:r>
        <w:rPr>
          <w:rFonts w:hint="cs"/>
          <w:sz w:val="22"/>
          <w:rtl/>
        </w:rPr>
        <w:t>לאביי</w:t>
      </w:r>
      <w:proofErr w:type="spellEnd"/>
      <w:r>
        <w:rPr>
          <w:rFonts w:hint="cs"/>
          <w:sz w:val="22"/>
          <w:rtl/>
        </w:rPr>
        <w:t xml:space="preserve"> או </w:t>
      </w:r>
      <w:proofErr w:type="spellStart"/>
      <w:r>
        <w:rPr>
          <w:rFonts w:hint="cs"/>
          <w:sz w:val="22"/>
          <w:rtl/>
        </w:rPr>
        <w:t>לרבא</w:t>
      </w:r>
      <w:proofErr w:type="spellEnd"/>
      <w:r>
        <w:rPr>
          <w:rFonts w:hint="cs"/>
          <w:sz w:val="22"/>
          <w:rtl/>
        </w:rPr>
        <w:t xml:space="preserve">. </w:t>
      </w:r>
    </w:p>
    <w:p w:rsidR="0067381A" w:rsidRDefault="0067381A" w:rsidP="00B16F4F">
      <w:pPr>
        <w:spacing w:line="360" w:lineRule="auto"/>
        <w:ind w:firstLine="566"/>
        <w:rPr>
          <w:sz w:val="22"/>
          <w:rtl/>
        </w:rPr>
      </w:pPr>
      <w:r>
        <w:rPr>
          <w:rFonts w:hint="cs"/>
          <w:sz w:val="22"/>
          <w:rtl/>
        </w:rPr>
        <w:t xml:space="preserve">תוספות (ד"ה "לא") מעלים בעיה קריטית ביחס לזיהוי שעושה הגמרא בין הסוגיה שלנו ובין </w:t>
      </w:r>
      <w:proofErr w:type="spellStart"/>
      <w:r>
        <w:rPr>
          <w:rFonts w:hint="cs"/>
          <w:sz w:val="22"/>
          <w:rtl/>
        </w:rPr>
        <w:t>הסוגייה</w:t>
      </w:r>
      <w:proofErr w:type="spellEnd"/>
      <w:r>
        <w:rPr>
          <w:rFonts w:hint="cs"/>
          <w:sz w:val="22"/>
          <w:rtl/>
        </w:rPr>
        <w:t xml:space="preserve"> בשבת.  הגמרא (שבת </w:t>
      </w:r>
      <w:proofErr w:type="spellStart"/>
      <w:r>
        <w:rPr>
          <w:rFonts w:hint="cs"/>
          <w:sz w:val="22"/>
          <w:rtl/>
        </w:rPr>
        <w:t>עה</w:t>
      </w:r>
      <w:proofErr w:type="spellEnd"/>
      <w:r>
        <w:rPr>
          <w:rFonts w:hint="cs"/>
          <w:sz w:val="22"/>
          <w:rtl/>
        </w:rPr>
        <w:t xml:space="preserve">.) אומרת כי רבי שמעון מודה כי דבר שאינו מתכוון אסור במקרה של "פסיק </w:t>
      </w:r>
      <w:proofErr w:type="spellStart"/>
      <w:r>
        <w:rPr>
          <w:rFonts w:hint="cs"/>
          <w:sz w:val="22"/>
          <w:rtl/>
        </w:rPr>
        <w:t>רישיה</w:t>
      </w:r>
      <w:proofErr w:type="spellEnd"/>
      <w:r>
        <w:rPr>
          <w:rFonts w:hint="cs"/>
          <w:sz w:val="22"/>
          <w:rtl/>
        </w:rPr>
        <w:t xml:space="preserve">". "פסיק </w:t>
      </w:r>
      <w:proofErr w:type="spellStart"/>
      <w:r>
        <w:rPr>
          <w:rFonts w:hint="cs"/>
          <w:sz w:val="22"/>
          <w:rtl/>
        </w:rPr>
        <w:t>רישיה</w:t>
      </w:r>
      <w:proofErr w:type="spellEnd"/>
      <w:r>
        <w:rPr>
          <w:rFonts w:hint="cs"/>
          <w:sz w:val="22"/>
          <w:rtl/>
        </w:rPr>
        <w:t xml:space="preserve">", אם להשתמש  בדוגמא ציורית למדי, הוא מקרה בו אדם מתיז את ראשה של תרנגולת כדי לתת אותו כצעצוע לילד. גם אם החותך עשה מעשה זה ללא כוונה להרוג את התרנגולת, הרי שזה אסור (בשבת) היות שההריגה היא תוצאה </w:t>
      </w:r>
      <w:r>
        <w:rPr>
          <w:rFonts w:hint="cs"/>
          <w:sz w:val="22"/>
          <w:u w:val="single"/>
          <w:rtl/>
        </w:rPr>
        <w:t>מתחייבת</w:t>
      </w:r>
      <w:r>
        <w:rPr>
          <w:rFonts w:hint="cs"/>
          <w:sz w:val="22"/>
          <w:rtl/>
        </w:rPr>
        <w:t xml:space="preserve"> של המעשה. נראה כי מחויבות התוצאה משמשת תחליף לכוונה. על כן תוספות מוכרחים להסיק כי בכל המקרים המופיעים בסוגיה שלנו אין פסיק </w:t>
      </w:r>
      <w:proofErr w:type="spellStart"/>
      <w:r>
        <w:rPr>
          <w:rFonts w:hint="cs"/>
          <w:sz w:val="22"/>
          <w:rtl/>
        </w:rPr>
        <w:t>רישיה</w:t>
      </w:r>
      <w:proofErr w:type="spellEnd"/>
      <w:r>
        <w:rPr>
          <w:rFonts w:hint="cs"/>
          <w:sz w:val="22"/>
          <w:rtl/>
        </w:rPr>
        <w:t xml:space="preserve">. במקרה הראשון, אפשר שהוא </w:t>
      </w:r>
      <w:proofErr w:type="spellStart"/>
      <w:r>
        <w:rPr>
          <w:rFonts w:hint="cs"/>
          <w:sz w:val="22"/>
          <w:rtl/>
        </w:rPr>
        <w:t>יילך</w:t>
      </w:r>
      <w:proofErr w:type="spellEnd"/>
      <w:r>
        <w:rPr>
          <w:rFonts w:hint="cs"/>
          <w:sz w:val="22"/>
          <w:rtl/>
        </w:rPr>
        <w:t xml:space="preserve"> בדרך שבה נמצא המקדש ולא ייהנה ממנו כלל, וצריך לומר כי מצב  מעין זה שייך ביתר המקרים שבסוגיה </w:t>
      </w:r>
      <w:proofErr w:type="spellStart"/>
      <w:r>
        <w:rPr>
          <w:rFonts w:hint="cs"/>
          <w:sz w:val="22"/>
          <w:rtl/>
        </w:rPr>
        <w:t>כו</w:t>
      </w:r>
      <w:proofErr w:type="spellEnd"/>
      <w:r>
        <w:rPr>
          <w:rFonts w:hint="cs"/>
          <w:sz w:val="22"/>
          <w:rtl/>
        </w:rPr>
        <w:t xml:space="preserve">. </w:t>
      </w:r>
      <w:r>
        <w:rPr>
          <w:sz w:val="22"/>
          <w:rtl/>
        </w:rPr>
        <w:t>–</w:t>
      </w:r>
      <w:r>
        <w:rPr>
          <w:rFonts w:hint="cs"/>
          <w:sz w:val="22"/>
          <w:rtl/>
        </w:rPr>
        <w:t xml:space="preserve"> </w:t>
      </w:r>
      <w:proofErr w:type="spellStart"/>
      <w:r>
        <w:rPr>
          <w:rFonts w:hint="cs"/>
          <w:sz w:val="22"/>
          <w:rtl/>
        </w:rPr>
        <w:t>כו</w:t>
      </w:r>
      <w:proofErr w:type="spellEnd"/>
      <w:r>
        <w:rPr>
          <w:rFonts w:hint="cs"/>
          <w:sz w:val="22"/>
          <w:rtl/>
        </w:rPr>
        <w:t xml:space="preserve">:. בחינה של כל המקרים הללו מראה כי קשה מאד להסבירם כמקרים שאין בהם פסיק </w:t>
      </w:r>
      <w:proofErr w:type="spellStart"/>
      <w:r>
        <w:rPr>
          <w:rFonts w:hint="cs"/>
          <w:sz w:val="22"/>
          <w:rtl/>
        </w:rPr>
        <w:t>רישיה</w:t>
      </w:r>
      <w:proofErr w:type="spellEnd"/>
      <w:r>
        <w:rPr>
          <w:rFonts w:hint="cs"/>
          <w:sz w:val="22"/>
          <w:rtl/>
        </w:rPr>
        <w:t xml:space="preserve">. </w:t>
      </w:r>
    </w:p>
    <w:p w:rsidR="0067381A" w:rsidRDefault="0067381A" w:rsidP="00B16F4F">
      <w:pPr>
        <w:spacing w:line="360" w:lineRule="auto"/>
        <w:ind w:firstLine="566"/>
        <w:rPr>
          <w:sz w:val="22"/>
          <w:rtl/>
        </w:rPr>
      </w:pPr>
      <w:r>
        <w:rPr>
          <w:rFonts w:hint="cs"/>
          <w:sz w:val="22"/>
          <w:rtl/>
        </w:rPr>
        <w:t xml:space="preserve">תשובה אפשרית לשאלתם של התוספות, היא דעת הערוך (עיין בתוספות שבת </w:t>
      </w:r>
      <w:proofErr w:type="spellStart"/>
      <w:r>
        <w:rPr>
          <w:rFonts w:hint="cs"/>
          <w:sz w:val="22"/>
          <w:rtl/>
        </w:rPr>
        <w:t>קג</w:t>
      </w:r>
      <w:proofErr w:type="spellEnd"/>
      <w:r>
        <w:rPr>
          <w:rFonts w:hint="cs"/>
          <w:sz w:val="22"/>
          <w:rtl/>
        </w:rPr>
        <w:t xml:space="preserve">. ד"ה "לא"), בה לא נדון, הגורסת כי פסיק </w:t>
      </w:r>
      <w:proofErr w:type="spellStart"/>
      <w:r>
        <w:rPr>
          <w:rFonts w:hint="cs"/>
          <w:sz w:val="22"/>
          <w:rtl/>
        </w:rPr>
        <w:t>רישיה</w:t>
      </w:r>
      <w:proofErr w:type="spellEnd"/>
      <w:r>
        <w:rPr>
          <w:rFonts w:hint="cs"/>
          <w:sz w:val="22"/>
          <w:rtl/>
        </w:rPr>
        <w:t xml:space="preserve"> דלא ניחא ליה (מקרה בו התוצאה מוכרחת אינה לרצונו של האדם ולא רק ללא כוונתו) מותר. תוספות אינם מקבלים את דעת הערוך, וממילא אין הם מזכירים אותה כאן. </w:t>
      </w:r>
    </w:p>
    <w:p w:rsidR="0067381A" w:rsidRDefault="0067381A" w:rsidP="00B16F4F">
      <w:pPr>
        <w:spacing w:line="360" w:lineRule="auto"/>
        <w:ind w:firstLine="566"/>
        <w:rPr>
          <w:sz w:val="22"/>
          <w:rtl/>
        </w:rPr>
      </w:pPr>
      <w:r>
        <w:rPr>
          <w:rFonts w:hint="cs"/>
          <w:sz w:val="22"/>
          <w:rtl/>
        </w:rPr>
        <w:t>רבנו דוד (</w:t>
      </w:r>
      <w:proofErr w:type="spellStart"/>
      <w:r>
        <w:rPr>
          <w:rFonts w:hint="cs"/>
          <w:sz w:val="22"/>
          <w:rtl/>
        </w:rPr>
        <w:t>כו</w:t>
      </w:r>
      <w:proofErr w:type="spellEnd"/>
      <w:r>
        <w:rPr>
          <w:rFonts w:hint="cs"/>
          <w:sz w:val="22"/>
          <w:rtl/>
        </w:rPr>
        <w:t xml:space="preserve">: ד"ה "חצויים") מצטט את הרמב"ן הסבור כי במקרה של הנאה רבי שמעון מתיר פסיק </w:t>
      </w:r>
      <w:proofErr w:type="spellStart"/>
      <w:r>
        <w:rPr>
          <w:rFonts w:hint="cs"/>
          <w:sz w:val="22"/>
          <w:rtl/>
        </w:rPr>
        <w:t>רישיה</w:t>
      </w:r>
      <w:proofErr w:type="spellEnd"/>
      <w:r>
        <w:rPr>
          <w:rFonts w:hint="cs"/>
          <w:sz w:val="22"/>
          <w:rtl/>
        </w:rPr>
        <w:t xml:space="preserve">. במילים אחרות, על אף שהגמרא שלנו מקשרת בין הסוגיה שלנו ובין מחלוקת רבי  יהודה ורבי שמעון, קישור זה אינו כולל את דין פסיק </w:t>
      </w:r>
      <w:proofErr w:type="spellStart"/>
      <w:r>
        <w:rPr>
          <w:rFonts w:hint="cs"/>
          <w:sz w:val="22"/>
          <w:rtl/>
        </w:rPr>
        <w:t>רישיה</w:t>
      </w:r>
      <w:proofErr w:type="spellEnd"/>
      <w:r>
        <w:rPr>
          <w:rFonts w:hint="cs"/>
          <w:sz w:val="22"/>
          <w:rtl/>
        </w:rPr>
        <w:t xml:space="preserve">. לעניין זה, קיים שוני בין הנאה ובין מלאכות שבת. </w:t>
      </w:r>
      <w:proofErr w:type="spellStart"/>
      <w:r>
        <w:rPr>
          <w:rFonts w:hint="cs"/>
          <w:sz w:val="22"/>
          <w:rtl/>
        </w:rPr>
        <w:t>ההגיון</w:t>
      </w:r>
      <w:proofErr w:type="spellEnd"/>
      <w:r>
        <w:rPr>
          <w:rFonts w:hint="cs"/>
          <w:sz w:val="22"/>
          <w:rtl/>
        </w:rPr>
        <w:t xml:space="preserve"> שבחילוק זה אינו מבואר ברבנו דוד (עיין גם </w:t>
      </w:r>
      <w:proofErr w:type="spellStart"/>
      <w:r>
        <w:rPr>
          <w:rFonts w:hint="cs"/>
          <w:sz w:val="22"/>
          <w:rtl/>
        </w:rPr>
        <w:t>בר"ן</w:t>
      </w:r>
      <w:proofErr w:type="spellEnd"/>
      <w:r>
        <w:rPr>
          <w:rFonts w:hint="cs"/>
          <w:sz w:val="22"/>
          <w:rtl/>
        </w:rPr>
        <w:t xml:space="preserve">, חולין פרק ז). </w:t>
      </w:r>
    </w:p>
    <w:p w:rsidR="0067381A" w:rsidRDefault="0067381A" w:rsidP="00B16F4F">
      <w:pPr>
        <w:spacing w:line="360" w:lineRule="auto"/>
        <w:ind w:firstLine="566"/>
        <w:rPr>
          <w:sz w:val="22"/>
          <w:rtl/>
        </w:rPr>
      </w:pPr>
      <w:r>
        <w:rPr>
          <w:rFonts w:hint="cs"/>
          <w:sz w:val="22"/>
          <w:rtl/>
        </w:rPr>
        <w:t xml:space="preserve">לדעתי </w:t>
      </w:r>
      <w:proofErr w:type="spellStart"/>
      <w:r>
        <w:rPr>
          <w:rFonts w:hint="cs"/>
          <w:sz w:val="22"/>
          <w:rtl/>
        </w:rPr>
        <w:t>ההגיון</w:t>
      </w:r>
      <w:proofErr w:type="spellEnd"/>
      <w:r>
        <w:rPr>
          <w:rFonts w:hint="cs"/>
          <w:sz w:val="22"/>
          <w:rtl/>
        </w:rPr>
        <w:t xml:space="preserve"> שבחילוק קשור לבעיה המרכזית שבהנאה </w:t>
      </w:r>
      <w:r>
        <w:rPr>
          <w:sz w:val="22"/>
          <w:rtl/>
        </w:rPr>
        <w:t>–</w:t>
      </w:r>
      <w:r>
        <w:rPr>
          <w:rFonts w:hint="cs"/>
          <w:sz w:val="22"/>
          <w:rtl/>
        </w:rPr>
        <w:t xml:space="preserve"> כל איסור של התורה מצריך פעולה על מנת להתחייב בו. לגבי איסור הנאה, צריך להיות מעשה של "הפקת" הנאה (ולא רק התחושה הפיסיולוגית של הנאה). אם אדם מתכוון, אז המעשה אותו הוא עושה נחשב למעשה הנאה. בשבת, גם ללא כוונה ניתן לייחס תוצאות בלתי נמנעות של מעשה מסוים לעושהו. במקרה של הנאה, לעומת זאת, יש בעיה נוספת. פסיק </w:t>
      </w:r>
      <w:proofErr w:type="spellStart"/>
      <w:r>
        <w:rPr>
          <w:rFonts w:hint="cs"/>
          <w:sz w:val="22"/>
          <w:rtl/>
        </w:rPr>
        <w:t>רישיה</w:t>
      </w:r>
      <w:proofErr w:type="spellEnd"/>
      <w:r>
        <w:rPr>
          <w:rFonts w:hint="cs"/>
          <w:sz w:val="22"/>
          <w:rtl/>
        </w:rPr>
        <w:t xml:space="preserve"> יכול לייחס את </w:t>
      </w:r>
      <w:r>
        <w:rPr>
          <w:rFonts w:hint="cs"/>
          <w:sz w:val="22"/>
          <w:rtl/>
        </w:rPr>
        <w:lastRenderedPageBreak/>
        <w:t xml:space="preserve">המעשה לאדם, אולם השאלה היא האם יש פה בכלל מעשה. למרות שתחושת ההנאה היא תוצאה הכרחית של ההליכה דרך המקדש של ע"ז, ולכן התחושה מיוחסת אליו, עדיין אין ההליכה נחשבת למעשה הנאה משום שהיא לא נעשתה לשם מטרה זו. (למעשה, תחושת ההנאה מיוחסת לאדם גם ללא הפסיק </w:t>
      </w:r>
      <w:proofErr w:type="spellStart"/>
      <w:r>
        <w:rPr>
          <w:rFonts w:hint="cs"/>
          <w:sz w:val="22"/>
          <w:rtl/>
        </w:rPr>
        <w:t>רישיה</w:t>
      </w:r>
      <w:proofErr w:type="spellEnd"/>
      <w:r>
        <w:rPr>
          <w:rFonts w:hint="cs"/>
          <w:sz w:val="22"/>
          <w:rtl/>
        </w:rPr>
        <w:t>, היות שתחושות אינן יכולות להיות נפרדות מגופו של מי שחש אותן.)</w:t>
      </w:r>
    </w:p>
    <w:p w:rsidR="0067381A" w:rsidRDefault="0067381A" w:rsidP="00B16F4F">
      <w:pPr>
        <w:spacing w:line="360" w:lineRule="auto"/>
        <w:ind w:firstLine="566"/>
        <w:rPr>
          <w:sz w:val="22"/>
          <w:rtl/>
        </w:rPr>
      </w:pPr>
      <w:r>
        <w:rPr>
          <w:rFonts w:hint="cs"/>
          <w:sz w:val="22"/>
          <w:rtl/>
        </w:rPr>
        <w:t xml:space="preserve">לפי מה שנאמר עד כה, לדעת רבנו דוד ישנו הבדל משמעותי בין האופן בו כוונה גורמת לאיסור ובין האופן בו פסיק </w:t>
      </w:r>
      <w:proofErr w:type="spellStart"/>
      <w:r>
        <w:rPr>
          <w:rFonts w:hint="cs"/>
          <w:sz w:val="22"/>
          <w:rtl/>
        </w:rPr>
        <w:t>רישיה</w:t>
      </w:r>
      <w:proofErr w:type="spellEnd"/>
      <w:r>
        <w:rPr>
          <w:rFonts w:hint="cs"/>
          <w:sz w:val="22"/>
          <w:rtl/>
        </w:rPr>
        <w:t xml:space="preserve"> גורם לו. כוונה לתוצאה מסוימת הופכת את התוצאה הזו למטרת המעשה; ממילא, המעשה מוגדר על פי התוצאה שלו. לכן, אדם שהלך בדרך מסוימת על מנת ליהנות נחשב כמי שעשה מעשה של "הליכה על מנת ליהנות"; במילים אחרות, מעשה הנאה. פסיק </w:t>
      </w:r>
      <w:proofErr w:type="spellStart"/>
      <w:r>
        <w:rPr>
          <w:rFonts w:hint="cs"/>
          <w:sz w:val="22"/>
          <w:rtl/>
        </w:rPr>
        <w:t>רישיה</w:t>
      </w:r>
      <w:proofErr w:type="spellEnd"/>
      <w:r>
        <w:rPr>
          <w:rFonts w:hint="cs"/>
          <w:sz w:val="22"/>
          <w:rtl/>
        </w:rPr>
        <w:t xml:space="preserve">  מקשר באופן ישיר ביני ובין התוצאה, אך הוא אינו אומר כי התוצאה הכרחית מגדירה את מטרת המעשה. דין פסיק </w:t>
      </w:r>
      <w:proofErr w:type="spellStart"/>
      <w:r>
        <w:rPr>
          <w:rFonts w:hint="cs"/>
          <w:sz w:val="22"/>
          <w:rtl/>
        </w:rPr>
        <w:t>רישיה</w:t>
      </w:r>
      <w:proofErr w:type="spellEnd"/>
      <w:r>
        <w:rPr>
          <w:rFonts w:hint="cs"/>
          <w:sz w:val="22"/>
          <w:rtl/>
        </w:rPr>
        <w:t xml:space="preserve"> קובע כי התוצאה הנוספת אינה משנית לאירוע. היות ובמקרים של שבת הקשר שלי לשני האירועים  הוא קשר של מעשה פיסי </w:t>
      </w:r>
      <w:r>
        <w:rPr>
          <w:sz w:val="22"/>
          <w:rtl/>
        </w:rPr>
        <w:t>–</w:t>
      </w:r>
      <w:r>
        <w:rPr>
          <w:rFonts w:hint="cs"/>
          <w:sz w:val="22"/>
          <w:rtl/>
        </w:rPr>
        <w:t xml:space="preserve"> אני גררתי את </w:t>
      </w:r>
      <w:proofErr w:type="spellStart"/>
      <w:r>
        <w:rPr>
          <w:rFonts w:hint="cs"/>
          <w:sz w:val="22"/>
          <w:rtl/>
        </w:rPr>
        <w:t>הכסא</w:t>
      </w:r>
      <w:proofErr w:type="spellEnd"/>
      <w:r>
        <w:rPr>
          <w:rFonts w:hint="cs"/>
          <w:sz w:val="22"/>
          <w:rtl/>
        </w:rPr>
        <w:t xml:space="preserve"> וחרצתי את החריץ באמצעות שרירי, השאלה היחידה היא הגדרת טיב היחס ביני ובין התוצאה </w:t>
      </w:r>
      <w:r>
        <w:rPr>
          <w:sz w:val="22"/>
          <w:rtl/>
        </w:rPr>
        <w:t>–</w:t>
      </w:r>
      <w:r>
        <w:rPr>
          <w:rFonts w:hint="cs"/>
          <w:sz w:val="22"/>
          <w:rtl/>
        </w:rPr>
        <w:t xml:space="preserve"> ראשוני או שניוני. כוונה יכולה לייחס אליי אפילו תוצאה שניונית; פסיק </w:t>
      </w:r>
      <w:proofErr w:type="spellStart"/>
      <w:r>
        <w:rPr>
          <w:rFonts w:hint="cs"/>
          <w:sz w:val="22"/>
          <w:rtl/>
        </w:rPr>
        <w:t>רישיה</w:t>
      </w:r>
      <w:proofErr w:type="spellEnd"/>
      <w:r>
        <w:rPr>
          <w:rFonts w:hint="cs"/>
          <w:sz w:val="22"/>
          <w:rtl/>
        </w:rPr>
        <w:t xml:space="preserve"> הופך תוצאה שניונית לתוצאה ראשונית. אך במקרה של הנאה תמיד ישנו קשר בין האדם ובין הנאתו. השאלה היא האם הוא ביצע </w:t>
      </w:r>
      <w:r>
        <w:rPr>
          <w:rFonts w:hint="cs"/>
          <w:sz w:val="22"/>
          <w:u w:val="single"/>
          <w:rtl/>
        </w:rPr>
        <w:t>מעשה</w:t>
      </w:r>
      <w:r>
        <w:rPr>
          <w:rFonts w:hint="cs"/>
          <w:sz w:val="22"/>
          <w:rtl/>
        </w:rPr>
        <w:t xml:space="preserve"> לשם הפקת ההנאה. כאן הנאה פועלת בדיוק כפי שהיא פועלת בשבת </w:t>
      </w:r>
      <w:r>
        <w:rPr>
          <w:sz w:val="22"/>
          <w:rtl/>
        </w:rPr>
        <w:t>–</w:t>
      </w:r>
      <w:r>
        <w:rPr>
          <w:rFonts w:hint="cs"/>
          <w:sz w:val="22"/>
          <w:rtl/>
        </w:rPr>
        <w:t xml:space="preserve"> היא הופכת את ההנאה למטרת ההליכה, בדיוק כפי שהיא הייתה יכולה לקשור בין תוצאת החרישה ובין פעולת הגרירה. מנגד, פסיק </w:t>
      </w:r>
      <w:proofErr w:type="spellStart"/>
      <w:r>
        <w:rPr>
          <w:rFonts w:hint="cs"/>
          <w:sz w:val="22"/>
          <w:rtl/>
        </w:rPr>
        <w:t>רישיה</w:t>
      </w:r>
      <w:proofErr w:type="spellEnd"/>
      <w:r>
        <w:rPr>
          <w:rFonts w:hint="cs"/>
          <w:sz w:val="22"/>
          <w:rtl/>
        </w:rPr>
        <w:t xml:space="preserve"> כלל אינו רלוונטי כאן </w:t>
      </w:r>
      <w:r>
        <w:rPr>
          <w:sz w:val="22"/>
          <w:rtl/>
        </w:rPr>
        <w:t>–</w:t>
      </w:r>
      <w:r>
        <w:rPr>
          <w:rFonts w:hint="cs"/>
          <w:sz w:val="22"/>
          <w:rtl/>
        </w:rPr>
        <w:t xml:space="preserve"> למרות שפסיק </w:t>
      </w:r>
      <w:proofErr w:type="spellStart"/>
      <w:r>
        <w:rPr>
          <w:rFonts w:hint="cs"/>
          <w:sz w:val="22"/>
          <w:rtl/>
        </w:rPr>
        <w:t>רישיה</w:t>
      </w:r>
      <w:proofErr w:type="spellEnd"/>
      <w:r>
        <w:rPr>
          <w:rFonts w:hint="cs"/>
          <w:sz w:val="22"/>
          <w:rtl/>
        </w:rPr>
        <w:t xml:space="preserve"> יהפוך את יצירת החריץ לפעולה ישירה של האדם, הוא אינו יכול להפוך את תחושת ההנאה הלא מכוונת למעשה. לכן הגמרא שלנו אינה מזכירה את פסיק </w:t>
      </w:r>
      <w:proofErr w:type="spellStart"/>
      <w:r>
        <w:rPr>
          <w:rFonts w:hint="cs"/>
          <w:sz w:val="22"/>
          <w:rtl/>
        </w:rPr>
        <w:t>רישיה</w:t>
      </w:r>
      <w:proofErr w:type="spellEnd"/>
      <w:r>
        <w:rPr>
          <w:rFonts w:hint="cs"/>
          <w:sz w:val="22"/>
          <w:rtl/>
        </w:rPr>
        <w:t xml:space="preserve"> כלל. </w:t>
      </w:r>
    </w:p>
    <w:p w:rsidR="0067381A" w:rsidRDefault="0067381A" w:rsidP="00B16F4F">
      <w:pPr>
        <w:spacing w:line="360" w:lineRule="auto"/>
        <w:ind w:firstLine="566"/>
        <w:rPr>
          <w:sz w:val="22"/>
          <w:rtl/>
        </w:rPr>
      </w:pPr>
      <w:r>
        <w:rPr>
          <w:rFonts w:hint="cs"/>
          <w:sz w:val="22"/>
          <w:rtl/>
        </w:rPr>
        <w:t xml:space="preserve">נראה כי תוספות הבינו את דין פסיק </w:t>
      </w:r>
      <w:proofErr w:type="spellStart"/>
      <w:r>
        <w:rPr>
          <w:rFonts w:hint="cs"/>
          <w:sz w:val="22"/>
          <w:rtl/>
        </w:rPr>
        <w:t>רישיה</w:t>
      </w:r>
      <w:proofErr w:type="spellEnd"/>
      <w:r>
        <w:rPr>
          <w:rFonts w:hint="cs"/>
          <w:sz w:val="22"/>
          <w:rtl/>
        </w:rPr>
        <w:t xml:space="preserve"> בהלכות שבת כתחליף לכוונה. הטענה היא כי אם משהו הוא תוצאה ישירה של פעולה כלשהי, אין משמעות לאמירה כי הפעולה נעשתה בכוונה, אך התוצאה הייתה ללא כוונה. מבחינה הלכתית נכון לומר כי הייתה כאן כוונה גם לתוצאה המשנית. ממילא, פסיק </w:t>
      </w:r>
      <w:proofErr w:type="spellStart"/>
      <w:r>
        <w:rPr>
          <w:rFonts w:hint="cs"/>
          <w:sz w:val="22"/>
          <w:rtl/>
        </w:rPr>
        <w:t>רישיה</w:t>
      </w:r>
      <w:proofErr w:type="spellEnd"/>
      <w:r>
        <w:rPr>
          <w:rFonts w:hint="cs"/>
          <w:sz w:val="22"/>
          <w:rtl/>
        </w:rPr>
        <w:t xml:space="preserve"> שקול לכוונה. רבנו דוד אינו סובר כי פסיק </w:t>
      </w:r>
      <w:proofErr w:type="spellStart"/>
      <w:r>
        <w:rPr>
          <w:rFonts w:hint="cs"/>
          <w:sz w:val="22"/>
          <w:rtl/>
        </w:rPr>
        <w:t>רישיה</w:t>
      </w:r>
      <w:proofErr w:type="spellEnd"/>
      <w:r>
        <w:rPr>
          <w:rFonts w:hint="cs"/>
          <w:sz w:val="22"/>
          <w:rtl/>
        </w:rPr>
        <w:t xml:space="preserve"> הוא דין שקול לכוונה, אלא הוא רואה בדין זה דרך לעקוף את בעיית הכוונה - פסיק </w:t>
      </w:r>
      <w:proofErr w:type="spellStart"/>
      <w:r>
        <w:rPr>
          <w:rFonts w:hint="cs"/>
          <w:sz w:val="22"/>
          <w:rtl/>
        </w:rPr>
        <w:t>רישיה</w:t>
      </w:r>
      <w:proofErr w:type="spellEnd"/>
      <w:r>
        <w:rPr>
          <w:rFonts w:hint="cs"/>
          <w:sz w:val="22"/>
          <w:rtl/>
        </w:rPr>
        <w:t xml:space="preserve"> מייחס את התוצאה המשנית ישירות לאדם על אף היעדר הכוונה. זה המצב במקרה של שבת בו הבעיה </w:t>
      </w:r>
      <w:r>
        <w:rPr>
          <w:rFonts w:hint="cs"/>
          <w:sz w:val="22"/>
          <w:rtl/>
        </w:rPr>
        <w:lastRenderedPageBreak/>
        <w:t xml:space="preserve">היחידה היא היחס שבין האדם ובין האירוע. בהנאה, לדעת רבנו דוד, המצב שונה, והבעיה היא הגדרת המעשה כמעשה הנאה (מלכתחילה). הגדרה זו נעשית על ידי ייחוס ההנאה למעשה ההליכה על ידי הכוונה, שהיא האמצעי המתאים למטרה זו. פסיק </w:t>
      </w:r>
      <w:proofErr w:type="spellStart"/>
      <w:r>
        <w:rPr>
          <w:rFonts w:hint="cs"/>
          <w:sz w:val="22"/>
          <w:rtl/>
        </w:rPr>
        <w:t>רישיה</w:t>
      </w:r>
      <w:proofErr w:type="spellEnd"/>
      <w:r>
        <w:rPr>
          <w:rFonts w:hint="cs"/>
          <w:sz w:val="22"/>
          <w:rtl/>
        </w:rPr>
        <w:t xml:space="preserve"> שאינו קושר בין פעולה אחת </w:t>
      </w:r>
      <w:proofErr w:type="spellStart"/>
      <w:r>
        <w:rPr>
          <w:rFonts w:hint="cs"/>
          <w:sz w:val="22"/>
          <w:rtl/>
        </w:rPr>
        <w:t>לשניה</w:t>
      </w:r>
      <w:proofErr w:type="spellEnd"/>
      <w:r>
        <w:rPr>
          <w:rFonts w:hint="cs"/>
          <w:sz w:val="22"/>
          <w:rtl/>
        </w:rPr>
        <w:t xml:space="preserve">, אלא בין אדם ובין פעולה, לא יועיל בנסיבות אלו. </w:t>
      </w:r>
    </w:p>
    <w:p w:rsidR="0067381A" w:rsidRDefault="0067381A" w:rsidP="00B16F4F">
      <w:pPr>
        <w:spacing w:line="360" w:lineRule="auto"/>
        <w:ind w:firstLine="566"/>
        <w:rPr>
          <w:sz w:val="22"/>
          <w:rtl/>
        </w:rPr>
      </w:pPr>
      <w:r>
        <w:rPr>
          <w:rFonts w:hint="cs"/>
          <w:sz w:val="22"/>
          <w:rtl/>
        </w:rPr>
        <w:t xml:space="preserve">אני מקווה כי הנושאים שנידונו בשיעור זה יתבהרו יותר בשבוע הבא, כאשר נבחן את הדוגמאות השונות בגמרא המדגימות את יישום הדין. </w:t>
      </w:r>
    </w:p>
    <w:p w:rsidR="0067381A" w:rsidRDefault="0067381A" w:rsidP="00B16F4F">
      <w:pPr>
        <w:spacing w:line="360" w:lineRule="auto"/>
        <w:rPr>
          <w:sz w:val="22"/>
          <w:rtl/>
        </w:rPr>
      </w:pPr>
    </w:p>
    <w:p w:rsidR="0067381A" w:rsidRDefault="0067381A" w:rsidP="00B16F4F">
      <w:pPr>
        <w:spacing w:line="360" w:lineRule="auto"/>
        <w:rPr>
          <w:sz w:val="22"/>
          <w:rtl/>
        </w:rPr>
      </w:pPr>
      <w:r>
        <w:rPr>
          <w:rFonts w:hint="cs"/>
          <w:sz w:val="22"/>
          <w:rtl/>
        </w:rPr>
        <w:t xml:space="preserve">בשבוע הבא: נסה לסיים את כל המקרים הנידונים בגמרא עד לכו: ("... </w:t>
      </w:r>
      <w:proofErr w:type="spellStart"/>
      <w:r>
        <w:rPr>
          <w:rFonts w:hint="cs"/>
          <w:sz w:val="22"/>
          <w:rtl/>
        </w:rPr>
        <w:t>תיובתא</w:t>
      </w:r>
      <w:proofErr w:type="spellEnd"/>
      <w:r>
        <w:rPr>
          <w:rFonts w:hint="cs"/>
          <w:sz w:val="22"/>
          <w:rtl/>
        </w:rPr>
        <w:t xml:space="preserve">"). המקרה האחרון, הנוגע לשעטנז, הוא החשוב ביותר לעניין הלכה למעשה, היות שהוא רלוונטי לשאלה האם מותר לאדם למדוד חליפה בחנות עוד לפני שבדק אותה מאיסור שעטנז. </w:t>
      </w:r>
    </w:p>
    <w:p w:rsidR="0067381A" w:rsidRDefault="0067381A" w:rsidP="00B16F4F">
      <w:pPr>
        <w:spacing w:line="360" w:lineRule="auto"/>
        <w:rPr>
          <w:sz w:val="22"/>
          <w:rtl/>
        </w:rPr>
      </w:pPr>
      <w:r>
        <w:rPr>
          <w:rFonts w:hint="cs"/>
          <w:sz w:val="22"/>
          <w:rtl/>
        </w:rPr>
        <w:t xml:space="preserve">שים לב לרש"י על המקרה הראשון מבין השלושה בכו. עיין גם בתוספות, רבנו דוד </w:t>
      </w:r>
      <w:proofErr w:type="spellStart"/>
      <w:r>
        <w:rPr>
          <w:rFonts w:hint="cs"/>
          <w:sz w:val="22"/>
          <w:rtl/>
        </w:rPr>
        <w:t>כו</w:t>
      </w:r>
      <w:proofErr w:type="spellEnd"/>
      <w:r>
        <w:rPr>
          <w:rFonts w:hint="cs"/>
          <w:sz w:val="22"/>
          <w:rtl/>
        </w:rPr>
        <w:t xml:space="preserve">. ד"ה "והא"; "שאני". </w:t>
      </w:r>
    </w:p>
    <w:p w:rsidR="0067381A" w:rsidRDefault="0067381A" w:rsidP="00B16F4F">
      <w:pPr>
        <w:spacing w:line="360" w:lineRule="auto"/>
        <w:rPr>
          <w:sz w:val="22"/>
          <w:rtl/>
        </w:rPr>
      </w:pPr>
    </w:p>
    <w:sectPr w:rsidR="0067381A">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8A9" w:rsidRDefault="00A258A9">
      <w:r>
        <w:separator/>
      </w:r>
    </w:p>
  </w:endnote>
  <w:endnote w:type="continuationSeparator" w:id="0">
    <w:p w:rsidR="00A258A9" w:rsidRDefault="00A2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8A9" w:rsidRDefault="00A258A9">
      <w:r>
        <w:separator/>
      </w:r>
    </w:p>
  </w:footnote>
  <w:footnote w:type="continuationSeparator" w:id="0">
    <w:p w:rsidR="00A258A9" w:rsidRDefault="00A25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8A9" w:rsidRDefault="00A258A9">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5E4EF0">
      <w:rPr>
        <w:b/>
        <w:bCs/>
        <w:noProof/>
        <w:sz w:val="21"/>
        <w:rtl/>
      </w:rPr>
      <w:t>4</w:t>
    </w:r>
    <w:r>
      <w:rPr>
        <w:b/>
        <w:bCs/>
        <w:sz w:val="21"/>
        <w:rtl/>
      </w:rPr>
      <w:fldChar w:fldCharType="end"/>
    </w:r>
    <w:r>
      <w:rPr>
        <w:b/>
        <w:bCs/>
        <w:sz w:val="21"/>
        <w:rtl/>
      </w:rPr>
      <w:t xml:space="preserve"> -</w:t>
    </w:r>
  </w:p>
  <w:p w:rsidR="00A258A9" w:rsidRDefault="00A258A9"/>
  <w:p w:rsidR="00A258A9" w:rsidRDefault="00A258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A258A9">
      <w:tc>
        <w:tcPr>
          <w:tcW w:w="4927" w:type="dxa"/>
          <w:tcBorders>
            <w:top w:val="nil"/>
            <w:left w:val="nil"/>
            <w:bottom w:val="double" w:sz="4" w:space="0" w:color="auto"/>
            <w:right w:val="nil"/>
          </w:tcBorders>
        </w:tcPr>
        <w:p w:rsidR="00A258A9" w:rsidRDefault="00A258A9">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שליד ישיבת הר עציון</w:t>
          </w:r>
        </w:p>
        <w:p w:rsidR="00A258A9" w:rsidRDefault="00A258A9" w:rsidP="00A33E2E">
          <w:pPr>
            <w:pStyle w:val="Header"/>
            <w:tabs>
              <w:tab w:val="clear" w:pos="4153"/>
              <w:tab w:val="clear" w:pos="8306"/>
              <w:tab w:val="center" w:pos="4818"/>
              <w:tab w:val="right" w:pos="8220"/>
            </w:tabs>
            <w:spacing w:after="0"/>
            <w:rPr>
              <w:sz w:val="21"/>
            </w:rPr>
          </w:pPr>
          <w:r>
            <w:rPr>
              <w:sz w:val="21"/>
              <w:rtl/>
            </w:rPr>
            <w:t xml:space="preserve">שיעורים בעיון במסכת </w:t>
          </w:r>
          <w:r>
            <w:rPr>
              <w:rFonts w:hint="cs"/>
              <w:sz w:val="21"/>
              <w:rtl/>
            </w:rPr>
            <w:t>פסחים</w:t>
          </w:r>
          <w:r>
            <w:rPr>
              <w:sz w:val="21"/>
              <w:rtl/>
            </w:rPr>
            <w:t xml:space="preserve"> מאת רבני הישיבה</w:t>
          </w:r>
        </w:p>
      </w:tc>
      <w:tc>
        <w:tcPr>
          <w:tcW w:w="4927" w:type="dxa"/>
          <w:tcBorders>
            <w:top w:val="nil"/>
            <w:left w:val="nil"/>
            <w:bottom w:val="double" w:sz="4" w:space="0" w:color="auto"/>
            <w:right w:val="nil"/>
          </w:tcBorders>
          <w:vAlign w:val="center"/>
        </w:tcPr>
        <w:p w:rsidR="00A258A9" w:rsidRDefault="00A258A9" w:rsidP="000A6E46">
          <w:pPr>
            <w:pStyle w:val="Header"/>
            <w:tabs>
              <w:tab w:val="clear" w:pos="4153"/>
              <w:tab w:val="clear" w:pos="8306"/>
              <w:tab w:val="right" w:pos="8220"/>
            </w:tabs>
            <w:bidi w:val="0"/>
            <w:spacing w:after="0" w:line="240" w:lineRule="auto"/>
            <w:jc w:val="left"/>
            <w:rPr>
              <w:sz w:val="28"/>
              <w:szCs w:val="24"/>
            </w:rPr>
          </w:pPr>
          <w:r>
            <w:rPr>
              <w:b/>
              <w:bCs/>
              <w:sz w:val="28"/>
              <w:szCs w:val="24"/>
            </w:rPr>
            <w:t>www.etzion.org.il</w:t>
          </w:r>
        </w:p>
      </w:tc>
    </w:tr>
  </w:tbl>
  <w:p w:rsidR="00A258A9" w:rsidRDefault="00A258A9">
    <w:pPr>
      <w:pStyle w:val="Header"/>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7360E"/>
    <w:multiLevelType w:val="multilevel"/>
    <w:tmpl w:val="EAB6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2082D"/>
    <w:multiLevelType w:val="hybridMultilevel"/>
    <w:tmpl w:val="C6AEB14C"/>
    <w:lvl w:ilvl="0" w:tplc="FFFFFFFF">
      <w:start w:val="1"/>
      <w:numFmt w:val="decimal"/>
      <w:lvlText w:val="%1."/>
      <w:lvlJc w:val="left"/>
      <w:pPr>
        <w:tabs>
          <w:tab w:val="num" w:pos="720"/>
        </w:tabs>
        <w:ind w:left="720" w:right="720" w:hanging="360"/>
      </w:p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2">
    <w:nsid w:val="129F17FA"/>
    <w:multiLevelType w:val="hybridMultilevel"/>
    <w:tmpl w:val="70AAB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44BDF"/>
    <w:multiLevelType w:val="hybridMultilevel"/>
    <w:tmpl w:val="542A6410"/>
    <w:lvl w:ilvl="0" w:tplc="AC20EA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9043F"/>
    <w:multiLevelType w:val="hybridMultilevel"/>
    <w:tmpl w:val="521C4BE8"/>
    <w:lvl w:ilvl="0" w:tplc="FFFFFFFF">
      <w:start w:val="1"/>
      <w:numFmt w:val="koreanLegal"/>
      <w:lvlText w:val="%1."/>
      <w:lvlJc w:val="left"/>
      <w:pPr>
        <w:tabs>
          <w:tab w:val="num" w:pos="720"/>
        </w:tabs>
        <w:ind w:left="720" w:right="720" w:hanging="360"/>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5">
    <w:nsid w:val="1FF120B4"/>
    <w:multiLevelType w:val="hybridMultilevel"/>
    <w:tmpl w:val="BF14DE88"/>
    <w:lvl w:ilvl="0" w:tplc="FFFFFFFF">
      <w:start w:val="1"/>
      <w:numFmt w:val="koreanLegal"/>
      <w:lvlText w:val="%1."/>
      <w:lvlJc w:val="left"/>
      <w:pPr>
        <w:tabs>
          <w:tab w:val="num" w:pos="720"/>
        </w:tabs>
        <w:ind w:left="720" w:right="720" w:hanging="360"/>
      </w:pPr>
      <w:rPr>
        <w:rFonts w:hint="cs"/>
      </w:rPr>
    </w:lvl>
    <w:lvl w:ilvl="1" w:tplc="FFFFFFFF">
      <w:start w:val="1"/>
      <w:numFmt w:val="decimal"/>
      <w:lvlText w:val="%2."/>
      <w:lvlJc w:val="left"/>
      <w:pPr>
        <w:tabs>
          <w:tab w:val="num" w:pos="1440"/>
        </w:tabs>
        <w:ind w:left="1440" w:right="1440" w:hanging="360"/>
      </w:pPr>
      <w:rPr>
        <w:rFonts w:hint="cs"/>
      </w:r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6">
    <w:nsid w:val="29167998"/>
    <w:multiLevelType w:val="hybridMultilevel"/>
    <w:tmpl w:val="F35EE712"/>
    <w:lvl w:ilvl="0" w:tplc="A294A8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7D23ED"/>
    <w:multiLevelType w:val="hybridMultilevel"/>
    <w:tmpl w:val="CF86DF70"/>
    <w:lvl w:ilvl="0" w:tplc="FFFFFFFF">
      <w:start w:val="1"/>
      <w:numFmt w:val="decimal"/>
      <w:lvlText w:val="%1."/>
      <w:lvlJc w:val="left"/>
      <w:pPr>
        <w:tabs>
          <w:tab w:val="num" w:pos="720"/>
        </w:tabs>
        <w:ind w:left="720" w:right="720" w:hanging="360"/>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8">
    <w:nsid w:val="34D93200"/>
    <w:multiLevelType w:val="hybridMultilevel"/>
    <w:tmpl w:val="E962F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D94E3C"/>
    <w:multiLevelType w:val="hybridMultilevel"/>
    <w:tmpl w:val="47B0A016"/>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0">
    <w:nsid w:val="3FE873CA"/>
    <w:multiLevelType w:val="hybridMultilevel"/>
    <w:tmpl w:val="9A9A8BBC"/>
    <w:lvl w:ilvl="0" w:tplc="11C88BF4">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1">
    <w:nsid w:val="45410DC6"/>
    <w:multiLevelType w:val="multilevel"/>
    <w:tmpl w:val="0C38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F11809"/>
    <w:multiLevelType w:val="hybridMultilevel"/>
    <w:tmpl w:val="12B62ECE"/>
    <w:lvl w:ilvl="0" w:tplc="8EEA489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6035CE"/>
    <w:multiLevelType w:val="hybridMultilevel"/>
    <w:tmpl w:val="E1A07810"/>
    <w:lvl w:ilvl="0" w:tplc="FFFFFFFF">
      <w:start w:val="1"/>
      <w:numFmt w:val="decimal"/>
      <w:lvlText w:val="%1."/>
      <w:lvlJc w:val="left"/>
      <w:pPr>
        <w:tabs>
          <w:tab w:val="num" w:pos="720"/>
        </w:tabs>
        <w:ind w:left="720" w:right="720" w:hanging="360"/>
      </w:pPr>
      <w:rPr>
        <w:rFonts w:hint="cs"/>
      </w:rPr>
    </w:lvl>
    <w:lvl w:ilvl="1" w:tplc="FFFFFFFF">
      <w:start w:val="1"/>
      <w:numFmt w:val="decimal"/>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14">
    <w:nsid w:val="6AF44F7E"/>
    <w:multiLevelType w:val="hybridMultilevel"/>
    <w:tmpl w:val="AFC00238"/>
    <w:lvl w:ilvl="0" w:tplc="4A5C18C8">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5">
    <w:nsid w:val="6B6D0FC0"/>
    <w:multiLevelType w:val="hybridMultilevel"/>
    <w:tmpl w:val="BBA67A30"/>
    <w:lvl w:ilvl="0" w:tplc="E4CCF4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FC28CF"/>
    <w:multiLevelType w:val="hybridMultilevel"/>
    <w:tmpl w:val="B4161E94"/>
    <w:lvl w:ilvl="0" w:tplc="FFFFFFFF">
      <w:start w:val="1"/>
      <w:numFmt w:val="koreanLegal"/>
      <w:lvlText w:val="%1."/>
      <w:lvlJc w:val="left"/>
      <w:pPr>
        <w:tabs>
          <w:tab w:val="num" w:pos="720"/>
        </w:tabs>
        <w:ind w:left="720" w:right="720" w:hanging="360"/>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17">
    <w:nsid w:val="74AE7672"/>
    <w:multiLevelType w:val="hybridMultilevel"/>
    <w:tmpl w:val="A784E06A"/>
    <w:lvl w:ilvl="0" w:tplc="4A5C18C8">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8">
    <w:nsid w:val="753950CF"/>
    <w:multiLevelType w:val="multilevel"/>
    <w:tmpl w:val="DA36DB7E"/>
    <w:lvl w:ilvl="0">
      <w:start w:val="1"/>
      <w:numFmt w:val="koreanLegal"/>
      <w:lvlText w:val="%1."/>
      <w:lvlJc w:val="center"/>
      <w:pPr>
        <w:tabs>
          <w:tab w:val="num" w:pos="720"/>
        </w:tabs>
        <w:ind w:left="720" w:hanging="360"/>
      </w:pPr>
    </w:lvl>
    <w:lvl w:ilvl="1">
      <w:start w:val="1"/>
      <w:numFmt w:val="decimal"/>
      <w:lvlText w:val="%2."/>
      <w:lvlJc w:val="left"/>
      <w:pPr>
        <w:tabs>
          <w:tab w:val="num" w:pos="397"/>
        </w:tabs>
        <w:ind w:left="397" w:hanging="397"/>
      </w:pPr>
      <w:rPr>
        <w:rFonts w:hint="cs"/>
      </w:rPr>
    </w:lvl>
    <w:lvl w:ilvl="2">
      <w:start w:val="1"/>
      <w:numFmt w:val="hebrew2"/>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hebrew2"/>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hebrew2"/>
      <w:lvlText w:val="%9."/>
      <w:lvlJc w:val="right"/>
      <w:pPr>
        <w:tabs>
          <w:tab w:val="num" w:pos="6480"/>
        </w:tabs>
        <w:ind w:left="6480" w:hanging="180"/>
      </w:pPr>
    </w:lvl>
  </w:abstractNum>
  <w:num w:numId="1">
    <w:abstractNumId w:val="10"/>
  </w:num>
  <w:num w:numId="2">
    <w:abstractNumId w:val="0"/>
  </w:num>
  <w:num w:numId="3">
    <w:abstractNumId w:val="11"/>
  </w:num>
  <w:num w:numId="4">
    <w:abstractNumId w:val="18"/>
  </w:num>
  <w:num w:numId="5">
    <w:abstractNumId w:val="9"/>
  </w:num>
  <w:num w:numId="6">
    <w:abstractNumId w:val="1"/>
  </w:num>
  <w:num w:numId="7">
    <w:abstractNumId w:val="8"/>
  </w:num>
  <w:num w:numId="8">
    <w:abstractNumId w:val="2"/>
  </w:num>
  <w:num w:numId="9">
    <w:abstractNumId w:val="6"/>
  </w:num>
  <w:num w:numId="10">
    <w:abstractNumId w:val="5"/>
  </w:num>
  <w:num w:numId="11">
    <w:abstractNumId w:val="4"/>
  </w:num>
  <w:num w:numId="12">
    <w:abstractNumId w:val="13"/>
  </w:num>
  <w:num w:numId="13">
    <w:abstractNumId w:val="3"/>
  </w:num>
  <w:num w:numId="14">
    <w:abstractNumId w:val="15"/>
  </w:num>
  <w:num w:numId="15">
    <w:abstractNumId w:val="16"/>
  </w:num>
  <w:num w:numId="16">
    <w:abstractNumId w:val="7"/>
  </w:num>
  <w:num w:numId="17">
    <w:abstractNumId w:val="12"/>
  </w:num>
  <w:num w:numId="18">
    <w:abstractNumId w:val="17"/>
  </w:num>
  <w:num w:numId="1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AD6"/>
    <w:rsid w:val="00006F48"/>
    <w:rsid w:val="00020D8A"/>
    <w:rsid w:val="00021AD6"/>
    <w:rsid w:val="00033D21"/>
    <w:rsid w:val="000407D3"/>
    <w:rsid w:val="0005121A"/>
    <w:rsid w:val="00061F9D"/>
    <w:rsid w:val="00065200"/>
    <w:rsid w:val="00080635"/>
    <w:rsid w:val="00090B74"/>
    <w:rsid w:val="0009220A"/>
    <w:rsid w:val="000A6E46"/>
    <w:rsid w:val="000A7A9B"/>
    <w:rsid w:val="000B2015"/>
    <w:rsid w:val="000B5981"/>
    <w:rsid w:val="000B6138"/>
    <w:rsid w:val="000C3095"/>
    <w:rsid w:val="000E6912"/>
    <w:rsid w:val="000F0293"/>
    <w:rsid w:val="00105126"/>
    <w:rsid w:val="001225F6"/>
    <w:rsid w:val="001231AC"/>
    <w:rsid w:val="0012482F"/>
    <w:rsid w:val="00133D8A"/>
    <w:rsid w:val="00141826"/>
    <w:rsid w:val="001472B1"/>
    <w:rsid w:val="00147F88"/>
    <w:rsid w:val="001568DB"/>
    <w:rsid w:val="001570A0"/>
    <w:rsid w:val="0016009A"/>
    <w:rsid w:val="00167BBD"/>
    <w:rsid w:val="00184BF6"/>
    <w:rsid w:val="00195031"/>
    <w:rsid w:val="00196895"/>
    <w:rsid w:val="001A7A33"/>
    <w:rsid w:val="001B75A8"/>
    <w:rsid w:val="001C043B"/>
    <w:rsid w:val="001C1C7E"/>
    <w:rsid w:val="001C5BB8"/>
    <w:rsid w:val="001C6A76"/>
    <w:rsid w:val="001C727F"/>
    <w:rsid w:val="001C744D"/>
    <w:rsid w:val="001D7FBF"/>
    <w:rsid w:val="001F6A81"/>
    <w:rsid w:val="0020679D"/>
    <w:rsid w:val="00207380"/>
    <w:rsid w:val="00212325"/>
    <w:rsid w:val="00213DF1"/>
    <w:rsid w:val="00223193"/>
    <w:rsid w:val="002232F7"/>
    <w:rsid w:val="002237D8"/>
    <w:rsid w:val="00233098"/>
    <w:rsid w:val="00234630"/>
    <w:rsid w:val="002427C8"/>
    <w:rsid w:val="00242FDB"/>
    <w:rsid w:val="002523B4"/>
    <w:rsid w:val="002564F5"/>
    <w:rsid w:val="00256B1A"/>
    <w:rsid w:val="002656AE"/>
    <w:rsid w:val="002804B3"/>
    <w:rsid w:val="002A15EE"/>
    <w:rsid w:val="002A5C8F"/>
    <w:rsid w:val="002B3F3B"/>
    <w:rsid w:val="002B6FFE"/>
    <w:rsid w:val="002C089F"/>
    <w:rsid w:val="002D5136"/>
    <w:rsid w:val="002E5538"/>
    <w:rsid w:val="002E7501"/>
    <w:rsid w:val="002F33B1"/>
    <w:rsid w:val="003162C5"/>
    <w:rsid w:val="003237F5"/>
    <w:rsid w:val="0032598B"/>
    <w:rsid w:val="00330853"/>
    <w:rsid w:val="00332489"/>
    <w:rsid w:val="003324BD"/>
    <w:rsid w:val="00333FAC"/>
    <w:rsid w:val="003412D1"/>
    <w:rsid w:val="0035650D"/>
    <w:rsid w:val="00360C62"/>
    <w:rsid w:val="00361BED"/>
    <w:rsid w:val="003907DB"/>
    <w:rsid w:val="00390837"/>
    <w:rsid w:val="00396005"/>
    <w:rsid w:val="003A5E55"/>
    <w:rsid w:val="003B4C5E"/>
    <w:rsid w:val="003C25AA"/>
    <w:rsid w:val="003D3E71"/>
    <w:rsid w:val="003E203D"/>
    <w:rsid w:val="00406E33"/>
    <w:rsid w:val="00413328"/>
    <w:rsid w:val="004149AB"/>
    <w:rsid w:val="00422DBE"/>
    <w:rsid w:val="00425CC9"/>
    <w:rsid w:val="00431CC8"/>
    <w:rsid w:val="00436D76"/>
    <w:rsid w:val="004425DD"/>
    <w:rsid w:val="00445940"/>
    <w:rsid w:val="00462593"/>
    <w:rsid w:val="00463CBE"/>
    <w:rsid w:val="00476C67"/>
    <w:rsid w:val="004808FA"/>
    <w:rsid w:val="00480B7F"/>
    <w:rsid w:val="00486647"/>
    <w:rsid w:val="004A0F71"/>
    <w:rsid w:val="004A4CF1"/>
    <w:rsid w:val="004C627F"/>
    <w:rsid w:val="004D1E6C"/>
    <w:rsid w:val="004E731F"/>
    <w:rsid w:val="0051404B"/>
    <w:rsid w:val="00515146"/>
    <w:rsid w:val="0051518D"/>
    <w:rsid w:val="0051555A"/>
    <w:rsid w:val="00522EEC"/>
    <w:rsid w:val="005250B3"/>
    <w:rsid w:val="00532685"/>
    <w:rsid w:val="005441B6"/>
    <w:rsid w:val="0054460C"/>
    <w:rsid w:val="0054622A"/>
    <w:rsid w:val="00551E15"/>
    <w:rsid w:val="00570D01"/>
    <w:rsid w:val="005741B7"/>
    <w:rsid w:val="00582524"/>
    <w:rsid w:val="00584F1F"/>
    <w:rsid w:val="005A46F8"/>
    <w:rsid w:val="005A507F"/>
    <w:rsid w:val="005A798E"/>
    <w:rsid w:val="005B3283"/>
    <w:rsid w:val="005D0112"/>
    <w:rsid w:val="005D7A3C"/>
    <w:rsid w:val="005E4EF0"/>
    <w:rsid w:val="005E7C9D"/>
    <w:rsid w:val="005F175D"/>
    <w:rsid w:val="005F31C0"/>
    <w:rsid w:val="005F433D"/>
    <w:rsid w:val="00601F39"/>
    <w:rsid w:val="00616A25"/>
    <w:rsid w:val="00622BE0"/>
    <w:rsid w:val="0062361A"/>
    <w:rsid w:val="00630648"/>
    <w:rsid w:val="006309ED"/>
    <w:rsid w:val="00632129"/>
    <w:rsid w:val="006336F8"/>
    <w:rsid w:val="0064200B"/>
    <w:rsid w:val="006533B2"/>
    <w:rsid w:val="00661F82"/>
    <w:rsid w:val="00667D01"/>
    <w:rsid w:val="0067381A"/>
    <w:rsid w:val="00694A9A"/>
    <w:rsid w:val="0069679D"/>
    <w:rsid w:val="006A2D30"/>
    <w:rsid w:val="006B43F4"/>
    <w:rsid w:val="006B684E"/>
    <w:rsid w:val="006B6EEA"/>
    <w:rsid w:val="006C0E20"/>
    <w:rsid w:val="006C774A"/>
    <w:rsid w:val="006D56AD"/>
    <w:rsid w:val="006D5C52"/>
    <w:rsid w:val="006E3229"/>
    <w:rsid w:val="006F121B"/>
    <w:rsid w:val="006F38D9"/>
    <w:rsid w:val="006F4884"/>
    <w:rsid w:val="006F6533"/>
    <w:rsid w:val="006F6A8D"/>
    <w:rsid w:val="00705898"/>
    <w:rsid w:val="007070EC"/>
    <w:rsid w:val="007157E1"/>
    <w:rsid w:val="00725459"/>
    <w:rsid w:val="00741FA3"/>
    <w:rsid w:val="007455A8"/>
    <w:rsid w:val="007539E1"/>
    <w:rsid w:val="0076358B"/>
    <w:rsid w:val="00763CDF"/>
    <w:rsid w:val="00765B5E"/>
    <w:rsid w:val="007675FA"/>
    <w:rsid w:val="00771C4B"/>
    <w:rsid w:val="00774798"/>
    <w:rsid w:val="00783F30"/>
    <w:rsid w:val="00785B62"/>
    <w:rsid w:val="007908D0"/>
    <w:rsid w:val="0079480D"/>
    <w:rsid w:val="007B242A"/>
    <w:rsid w:val="007C1577"/>
    <w:rsid w:val="007E3FB0"/>
    <w:rsid w:val="007E5688"/>
    <w:rsid w:val="007F077E"/>
    <w:rsid w:val="007F249F"/>
    <w:rsid w:val="007F381C"/>
    <w:rsid w:val="008108E7"/>
    <w:rsid w:val="00812F14"/>
    <w:rsid w:val="00814AFB"/>
    <w:rsid w:val="00815737"/>
    <w:rsid w:val="00845BBD"/>
    <w:rsid w:val="00856223"/>
    <w:rsid w:val="00857848"/>
    <w:rsid w:val="0087775C"/>
    <w:rsid w:val="008816E7"/>
    <w:rsid w:val="00883332"/>
    <w:rsid w:val="008A5EED"/>
    <w:rsid w:val="008A6B36"/>
    <w:rsid w:val="008A7114"/>
    <w:rsid w:val="008B2946"/>
    <w:rsid w:val="008C4A9D"/>
    <w:rsid w:val="008C6D8D"/>
    <w:rsid w:val="008E0111"/>
    <w:rsid w:val="008E0AF3"/>
    <w:rsid w:val="008F0AF6"/>
    <w:rsid w:val="008F18B8"/>
    <w:rsid w:val="008F3595"/>
    <w:rsid w:val="008F57D8"/>
    <w:rsid w:val="008F6C19"/>
    <w:rsid w:val="0090318D"/>
    <w:rsid w:val="00904AD0"/>
    <w:rsid w:val="00916B5B"/>
    <w:rsid w:val="00925B52"/>
    <w:rsid w:val="0093078F"/>
    <w:rsid w:val="00933869"/>
    <w:rsid w:val="00934F72"/>
    <w:rsid w:val="00946061"/>
    <w:rsid w:val="00950094"/>
    <w:rsid w:val="00952FAF"/>
    <w:rsid w:val="0097110F"/>
    <w:rsid w:val="00976B14"/>
    <w:rsid w:val="00977FFC"/>
    <w:rsid w:val="009831CD"/>
    <w:rsid w:val="0098591D"/>
    <w:rsid w:val="00986677"/>
    <w:rsid w:val="009919F0"/>
    <w:rsid w:val="009A12D6"/>
    <w:rsid w:val="009A2A00"/>
    <w:rsid w:val="009A3B55"/>
    <w:rsid w:val="009A6999"/>
    <w:rsid w:val="009B0F91"/>
    <w:rsid w:val="009B12A5"/>
    <w:rsid w:val="009B1ED1"/>
    <w:rsid w:val="009B1F8D"/>
    <w:rsid w:val="009B3191"/>
    <w:rsid w:val="009C682B"/>
    <w:rsid w:val="009C7457"/>
    <w:rsid w:val="009C7CEC"/>
    <w:rsid w:val="009E219E"/>
    <w:rsid w:val="009E5C6D"/>
    <w:rsid w:val="009F5229"/>
    <w:rsid w:val="009F799E"/>
    <w:rsid w:val="00A01250"/>
    <w:rsid w:val="00A06458"/>
    <w:rsid w:val="00A10BCC"/>
    <w:rsid w:val="00A258A9"/>
    <w:rsid w:val="00A31881"/>
    <w:rsid w:val="00A33E2E"/>
    <w:rsid w:val="00A3496A"/>
    <w:rsid w:val="00A36B61"/>
    <w:rsid w:val="00A730A5"/>
    <w:rsid w:val="00A73EFE"/>
    <w:rsid w:val="00A8182D"/>
    <w:rsid w:val="00A86A01"/>
    <w:rsid w:val="00AA036F"/>
    <w:rsid w:val="00AA5848"/>
    <w:rsid w:val="00AB483F"/>
    <w:rsid w:val="00AB6BE2"/>
    <w:rsid w:val="00AB6CB7"/>
    <w:rsid w:val="00AC0122"/>
    <w:rsid w:val="00AC4198"/>
    <w:rsid w:val="00AC5F48"/>
    <w:rsid w:val="00AC6175"/>
    <w:rsid w:val="00AF0DDB"/>
    <w:rsid w:val="00AF63E2"/>
    <w:rsid w:val="00B05085"/>
    <w:rsid w:val="00B10EEA"/>
    <w:rsid w:val="00B144C7"/>
    <w:rsid w:val="00B16F4F"/>
    <w:rsid w:val="00B27C2F"/>
    <w:rsid w:val="00B3602E"/>
    <w:rsid w:val="00B646AE"/>
    <w:rsid w:val="00B64FA3"/>
    <w:rsid w:val="00B85DE6"/>
    <w:rsid w:val="00B9082F"/>
    <w:rsid w:val="00B95060"/>
    <w:rsid w:val="00BA67E7"/>
    <w:rsid w:val="00BB497B"/>
    <w:rsid w:val="00BC3090"/>
    <w:rsid w:val="00BC3E32"/>
    <w:rsid w:val="00BC4C83"/>
    <w:rsid w:val="00BC5A42"/>
    <w:rsid w:val="00BC74DC"/>
    <w:rsid w:val="00BD13E6"/>
    <w:rsid w:val="00BD38E6"/>
    <w:rsid w:val="00BE1E43"/>
    <w:rsid w:val="00BF2212"/>
    <w:rsid w:val="00BF4FF3"/>
    <w:rsid w:val="00C05E39"/>
    <w:rsid w:val="00C40DFC"/>
    <w:rsid w:val="00C4736F"/>
    <w:rsid w:val="00C605D2"/>
    <w:rsid w:val="00C655DB"/>
    <w:rsid w:val="00C74290"/>
    <w:rsid w:val="00C74E38"/>
    <w:rsid w:val="00C86970"/>
    <w:rsid w:val="00CA0B8B"/>
    <w:rsid w:val="00CA13F6"/>
    <w:rsid w:val="00CA310A"/>
    <w:rsid w:val="00CA4E9E"/>
    <w:rsid w:val="00CC79CC"/>
    <w:rsid w:val="00CD401D"/>
    <w:rsid w:val="00CD4792"/>
    <w:rsid w:val="00CD4FF3"/>
    <w:rsid w:val="00CD6F1D"/>
    <w:rsid w:val="00CE49D1"/>
    <w:rsid w:val="00D060B5"/>
    <w:rsid w:val="00D11D96"/>
    <w:rsid w:val="00D21CA3"/>
    <w:rsid w:val="00D22ECF"/>
    <w:rsid w:val="00D246FA"/>
    <w:rsid w:val="00D57A54"/>
    <w:rsid w:val="00D57AAA"/>
    <w:rsid w:val="00D60991"/>
    <w:rsid w:val="00D6226F"/>
    <w:rsid w:val="00D66BA4"/>
    <w:rsid w:val="00D71AEE"/>
    <w:rsid w:val="00D75494"/>
    <w:rsid w:val="00D83951"/>
    <w:rsid w:val="00D846AD"/>
    <w:rsid w:val="00D93529"/>
    <w:rsid w:val="00D941C6"/>
    <w:rsid w:val="00DB01B9"/>
    <w:rsid w:val="00DB0D53"/>
    <w:rsid w:val="00DB1B98"/>
    <w:rsid w:val="00DB4619"/>
    <w:rsid w:val="00DB4F1E"/>
    <w:rsid w:val="00DC27E5"/>
    <w:rsid w:val="00DC6475"/>
    <w:rsid w:val="00DD628F"/>
    <w:rsid w:val="00DD779C"/>
    <w:rsid w:val="00DF08EE"/>
    <w:rsid w:val="00DF39FE"/>
    <w:rsid w:val="00DF497F"/>
    <w:rsid w:val="00E00BAC"/>
    <w:rsid w:val="00E35070"/>
    <w:rsid w:val="00E37312"/>
    <w:rsid w:val="00E44AC6"/>
    <w:rsid w:val="00E50D27"/>
    <w:rsid w:val="00E5253C"/>
    <w:rsid w:val="00E7637B"/>
    <w:rsid w:val="00E8498E"/>
    <w:rsid w:val="00E85E1C"/>
    <w:rsid w:val="00E90E75"/>
    <w:rsid w:val="00EA021D"/>
    <w:rsid w:val="00EA13B9"/>
    <w:rsid w:val="00EB2165"/>
    <w:rsid w:val="00EB301D"/>
    <w:rsid w:val="00EC1B20"/>
    <w:rsid w:val="00EC2D70"/>
    <w:rsid w:val="00EC3EA1"/>
    <w:rsid w:val="00ED26CB"/>
    <w:rsid w:val="00ED3C6A"/>
    <w:rsid w:val="00ED4507"/>
    <w:rsid w:val="00EE0405"/>
    <w:rsid w:val="00EE3381"/>
    <w:rsid w:val="00EE4964"/>
    <w:rsid w:val="00EF0DDD"/>
    <w:rsid w:val="00EF5691"/>
    <w:rsid w:val="00F00600"/>
    <w:rsid w:val="00F03672"/>
    <w:rsid w:val="00F03A38"/>
    <w:rsid w:val="00F13307"/>
    <w:rsid w:val="00F366CE"/>
    <w:rsid w:val="00F36C01"/>
    <w:rsid w:val="00F44AFE"/>
    <w:rsid w:val="00F45E12"/>
    <w:rsid w:val="00F47A5A"/>
    <w:rsid w:val="00F61A71"/>
    <w:rsid w:val="00F66DD4"/>
    <w:rsid w:val="00F70934"/>
    <w:rsid w:val="00F734D6"/>
    <w:rsid w:val="00F739CE"/>
    <w:rsid w:val="00F91E5E"/>
    <w:rsid w:val="00F92675"/>
    <w:rsid w:val="00FA2F32"/>
    <w:rsid w:val="00FE4C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paragraph" w:styleId="FootnoteText">
    <w:name w:val="footnote text"/>
    <w:basedOn w:val="Normal"/>
    <w:link w:val="FootnoteTextChar"/>
    <w:uiPriority w:val="99"/>
    <w:semiHidden/>
    <w:pPr>
      <w:spacing w:line="240" w:lineRule="auto"/>
      <w:ind w:left="227" w:hanging="227"/>
    </w:pPr>
    <w:rPr>
      <w:position w:val="6"/>
      <w:szCs w:val="16"/>
    </w:rPr>
  </w:style>
  <w:style w:type="character" w:customStyle="1" w:styleId="FootnoteTextChar">
    <w:name w:val="Footnote Text Char"/>
    <w:basedOn w:val="DefaultParagraphFont"/>
    <w:link w:val="FootnoteText"/>
    <w:uiPriority w:val="99"/>
    <w:semiHidden/>
    <w:locked/>
    <w:rPr>
      <w:rFonts w:cs="Narkisim"/>
      <w:sz w:val="20"/>
      <w:szCs w:val="20"/>
      <w:lang w:bidi="he-IL"/>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Narkisim"/>
      <w:sz w:val="20"/>
      <w:lang w:bidi="he-IL"/>
    </w:rPr>
  </w:style>
  <w:style w:type="paragraph" w:customStyle="1" w:styleId="a">
    <w:name w:val="פרשה"/>
    <w:basedOn w:val="Heading1"/>
    <w:uiPriority w:val="99"/>
    <w:pPr>
      <w:spacing w:before="240" w:after="240" w:line="240" w:lineRule="auto"/>
      <w:jc w:val="center"/>
    </w:pPr>
    <w:rPr>
      <w:rFonts w:ascii="Times New Roman" w:hAnsi="Times New Roman"/>
      <w:b/>
      <w:bCs/>
      <w:sz w:val="46"/>
      <w:szCs w:val="50"/>
    </w:rPr>
  </w:style>
  <w:style w:type="paragraph" w:customStyle="1" w:styleId="1">
    <w:name w:val="ציטוט1"/>
    <w:basedOn w:val="Normal"/>
    <w:uiPriority w:val="99"/>
    <w:rsid w:val="00CA4E9E"/>
    <w:pPr>
      <w:tabs>
        <w:tab w:val="right" w:pos="4620"/>
      </w:tabs>
      <w:ind w:left="567"/>
    </w:pPr>
  </w:style>
  <w:style w:type="paragraph" w:customStyle="1" w:styleId="a0">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0"/>
    <w:uiPriority w:val="99"/>
    <w:pPr>
      <w:spacing w:after="60"/>
    </w:pPr>
    <w:rPr>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locked/>
    <w:rPr>
      <w:rFonts w:cs="Narkisim"/>
      <w:sz w:val="20"/>
      <w:lang w:bidi="he-IL"/>
    </w:rPr>
  </w:style>
  <w:style w:type="paragraph" w:styleId="BodyText">
    <w:name w:val="Body Text"/>
    <w:basedOn w:val="Normal"/>
    <w:link w:val="BodyTextChar"/>
    <w:uiPriority w:val="99"/>
    <w:pPr>
      <w:spacing w:after="120" w:line="360" w:lineRule="auto"/>
    </w:pPr>
    <w:rPr>
      <w:sz w:val="24"/>
      <w:szCs w:val="24"/>
    </w:rPr>
  </w:style>
  <w:style w:type="character" w:customStyle="1" w:styleId="BodyTextChar">
    <w:name w:val="Body Text Char"/>
    <w:basedOn w:val="DefaultParagraphFont"/>
    <w:link w:val="BodyText"/>
    <w:uiPriority w:val="99"/>
    <w:semiHidden/>
    <w:locked/>
    <w:rPr>
      <w:rFonts w:cs="Narkisim"/>
      <w:sz w:val="20"/>
      <w:lang w:bidi="he-IL"/>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basedOn w:val="DefaultParagraphFont"/>
    <w:link w:val="BodyText2"/>
    <w:uiPriority w:val="99"/>
    <w:semiHidden/>
    <w:locked/>
    <w:rPr>
      <w:rFonts w:cs="Narkisim"/>
      <w:sz w:val="20"/>
      <w:lang w:bidi="he-IL"/>
    </w:rPr>
  </w:style>
  <w:style w:type="paragraph" w:customStyle="1" w:styleId="3">
    <w:name w:val="כותרת3"/>
    <w:basedOn w:val="Normal"/>
    <w:uiPriority w:val="99"/>
    <w:rsid w:val="00CA4E9E"/>
    <w:pPr>
      <w:keepNext/>
      <w:spacing w:before="120"/>
    </w:pPr>
    <w:rPr>
      <w:rFonts w:ascii="Arial" w:hAnsi="Arial" w:cs="Arial"/>
      <w:b/>
      <w:bCs/>
    </w:rPr>
  </w:style>
  <w:style w:type="paragraph" w:styleId="BodyText3">
    <w:name w:val="Body Text 3"/>
    <w:basedOn w:val="Normal"/>
    <w:link w:val="BodyText3Char"/>
    <w:uiPriority w:val="99"/>
    <w:pPr>
      <w:spacing w:after="0" w:line="360" w:lineRule="auto"/>
    </w:pPr>
  </w:style>
  <w:style w:type="character" w:customStyle="1" w:styleId="BodyText3Char">
    <w:name w:val="Body Text 3 Char"/>
    <w:basedOn w:val="DefaultParagraphFont"/>
    <w:link w:val="BodyText3"/>
    <w:uiPriority w:val="99"/>
    <w:semiHidden/>
    <w:locked/>
    <w:rPr>
      <w:rFonts w:cs="Narkisim"/>
      <w:sz w:val="16"/>
      <w:szCs w:val="16"/>
      <w:lang w:bidi="he-IL"/>
    </w:rPr>
  </w:style>
  <w:style w:type="paragraph" w:styleId="BodyTextIndent2">
    <w:name w:val="Body Text Indent 2"/>
    <w:basedOn w:val="Normal"/>
    <w:link w:val="BodyTextIndent2Char"/>
    <w:uiPriority w:val="99"/>
    <w:pPr>
      <w:spacing w:after="0" w:line="360" w:lineRule="auto"/>
      <w:ind w:firstLine="720"/>
    </w:pPr>
    <w:rPr>
      <w:b/>
      <w:bCs/>
      <w:sz w:val="24"/>
    </w:rPr>
  </w:style>
  <w:style w:type="character" w:customStyle="1" w:styleId="BodyTextIndent2Char">
    <w:name w:val="Body Text Indent 2 Char"/>
    <w:basedOn w:val="DefaultParagraphFont"/>
    <w:link w:val="BodyTextIndent2"/>
    <w:uiPriority w:val="99"/>
    <w:semiHidden/>
    <w:locked/>
    <w:rPr>
      <w:rFonts w:cs="Narkisim"/>
      <w:sz w:val="20"/>
      <w:lang w:bidi="he-IL"/>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uiPriority w:val="99"/>
    <w:pPr>
      <w:spacing w:after="0" w:line="240" w:lineRule="auto"/>
      <w:ind w:left="720"/>
    </w:pPr>
    <w:rPr>
      <w:rFonts w:ascii="Arial" w:hAnsi="Arial"/>
      <w:sz w:val="24"/>
      <w:szCs w:val="24"/>
    </w:rPr>
  </w:style>
  <w:style w:type="paragraph" w:customStyle="1" w:styleId="10">
    <w:name w:val="סגנון1"/>
    <w:basedOn w:val="1"/>
    <w:uiPriority w:val="99"/>
  </w:style>
  <w:style w:type="paragraph" w:customStyle="1" w:styleId="20">
    <w:name w:val="סגנון2"/>
    <w:basedOn w:val="1"/>
    <w:uiPriority w:val="99"/>
  </w:style>
  <w:style w:type="paragraph" w:customStyle="1" w:styleId="30">
    <w:name w:val="סגנון3"/>
    <w:basedOn w:val="Normal"/>
    <w:uiPriority w:val="99"/>
    <w:rPr>
      <w:sz w:val="21"/>
    </w:rPr>
  </w:style>
  <w:style w:type="paragraph" w:customStyle="1" w:styleId="a2">
    <w:name w:val="שיעור"/>
    <w:basedOn w:val="2"/>
    <w:uiPriority w:val="99"/>
    <w:pPr>
      <w:spacing w:before="0" w:after="0"/>
      <w:jc w:val="both"/>
    </w:pPr>
    <w:rPr>
      <w:sz w:val="28"/>
      <w:szCs w:val="24"/>
    </w:rPr>
  </w:style>
  <w:style w:type="paragraph" w:customStyle="1" w:styleId="vbm-quot">
    <w:name w:val="vbm-quot"/>
    <w:basedOn w:val="vbm-norm"/>
    <w:uiPriority w:val="99"/>
    <w:rsid w:val="00D246FA"/>
    <w:pPr>
      <w:tabs>
        <w:tab w:val="right" w:pos="7837"/>
      </w:tabs>
      <w:spacing w:before="150" w:after="150" w:line="300" w:lineRule="exact"/>
      <w:ind w:left="300" w:right="480"/>
    </w:pPr>
    <w:rPr>
      <w:rFonts w:cs="FrankRuehl"/>
    </w:rPr>
  </w:style>
  <w:style w:type="paragraph" w:customStyle="1" w:styleId="vbm-norm">
    <w:name w:val="vbm-norm"/>
    <w:basedOn w:val="Normal"/>
    <w:uiPriority w:val="99"/>
    <w:rsid w:val="00D246FA"/>
    <w:pPr>
      <w:autoSpaceDE/>
      <w:autoSpaceDN/>
      <w:spacing w:before="90" w:after="90" w:line="320" w:lineRule="exact"/>
    </w:pPr>
    <w:rPr>
      <w:sz w:val="24"/>
      <w:szCs w:val="24"/>
    </w:rPr>
  </w:style>
  <w:style w:type="paragraph" w:customStyle="1" w:styleId="quotation">
    <w:name w:val="quotation"/>
    <w:basedOn w:val="Normal"/>
    <w:uiPriority w:val="99"/>
    <w:rsid w:val="008C6D8D"/>
    <w:pPr>
      <w:spacing w:after="0" w:line="240" w:lineRule="auto"/>
      <w:ind w:left="851" w:right="851"/>
    </w:pPr>
    <w:rPr>
      <w:rFonts w:ascii="Courier New" w:hAnsi="Courier New" w:cs="Miriam"/>
      <w:sz w:val="24"/>
    </w:rPr>
  </w:style>
  <w:style w:type="paragraph" w:styleId="EndnoteText">
    <w:name w:val="endnote text"/>
    <w:basedOn w:val="Normal"/>
    <w:link w:val="EndnoteTextChar"/>
    <w:uiPriority w:val="99"/>
    <w:semiHidden/>
    <w:rsid w:val="00A01250"/>
    <w:rPr>
      <w:szCs w:val="20"/>
    </w:rPr>
  </w:style>
  <w:style w:type="character" w:customStyle="1" w:styleId="EndnoteTextChar">
    <w:name w:val="Endnote Text Char"/>
    <w:basedOn w:val="DefaultParagraphFont"/>
    <w:link w:val="EndnoteText"/>
    <w:uiPriority w:val="99"/>
    <w:semiHidden/>
    <w:locked/>
    <w:rPr>
      <w:rFonts w:cs="Narkisim"/>
      <w:sz w:val="20"/>
      <w:szCs w:val="20"/>
      <w:lang w:bidi="he-IL"/>
    </w:rPr>
  </w:style>
  <w:style w:type="character" w:styleId="EndnoteReference">
    <w:name w:val="endnote reference"/>
    <w:basedOn w:val="DefaultParagraphFont"/>
    <w:uiPriority w:val="99"/>
    <w:semiHidden/>
    <w:rsid w:val="00A01250"/>
    <w:rPr>
      <w:rFonts w:cs="Times New Roman"/>
      <w:vertAlign w:val="superscript"/>
    </w:rPr>
  </w:style>
  <w:style w:type="paragraph" w:styleId="BodyTextIndent">
    <w:name w:val="Body Text Indent"/>
    <w:basedOn w:val="Normal"/>
    <w:link w:val="BodyTextIndentChar"/>
    <w:uiPriority w:val="99"/>
    <w:semiHidden/>
    <w:unhideWhenUsed/>
    <w:rsid w:val="00A33E2E"/>
    <w:pPr>
      <w:spacing w:after="120"/>
      <w:ind w:left="283"/>
    </w:pPr>
  </w:style>
  <w:style w:type="character" w:customStyle="1" w:styleId="BodyTextIndentChar">
    <w:name w:val="Body Text Indent Char"/>
    <w:basedOn w:val="DefaultParagraphFont"/>
    <w:link w:val="BodyTextIndent"/>
    <w:uiPriority w:val="99"/>
    <w:semiHidden/>
    <w:rsid w:val="00A33E2E"/>
    <w:rPr>
      <w:rFonts w:cs="Narkisim"/>
      <w:sz w:val="20"/>
    </w:rPr>
  </w:style>
  <w:style w:type="paragraph" w:styleId="BodyTextIndent3">
    <w:name w:val="Body Text Indent 3"/>
    <w:basedOn w:val="Normal"/>
    <w:link w:val="BodyTextIndent3Char"/>
    <w:uiPriority w:val="99"/>
    <w:semiHidden/>
    <w:unhideWhenUsed/>
    <w:rsid w:val="00A33E2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33E2E"/>
    <w:rPr>
      <w:rFonts w:cs="Narkisim"/>
      <w:sz w:val="16"/>
      <w:szCs w:val="16"/>
    </w:rPr>
  </w:style>
  <w:style w:type="paragraph" w:customStyle="1" w:styleId="Normal1">
    <w:name w:val="Normal1"/>
    <w:basedOn w:val="Normal"/>
    <w:rsid w:val="00D21CA3"/>
    <w:pPr>
      <w:autoSpaceDE/>
      <w:autoSpaceDN/>
      <w:bidi w:val="0"/>
      <w:spacing w:before="100" w:beforeAutospacing="1" w:after="100" w:afterAutospacing="1" w:line="240" w:lineRule="auto"/>
      <w:jc w:val="left"/>
    </w:pPr>
    <w:rPr>
      <w:rFonts w:cs="Times New Roman"/>
      <w:sz w:val="24"/>
      <w:szCs w:val="24"/>
    </w:rPr>
  </w:style>
  <w:style w:type="paragraph" w:styleId="ListParagraph">
    <w:name w:val="List Paragraph"/>
    <w:basedOn w:val="Normal"/>
    <w:uiPriority w:val="34"/>
    <w:qFormat/>
    <w:rsid w:val="00C655DB"/>
    <w:pPr>
      <w:ind w:left="720"/>
      <w:contextualSpacing/>
    </w:pPr>
  </w:style>
  <w:style w:type="paragraph" w:styleId="CommentText">
    <w:name w:val="annotation text"/>
    <w:basedOn w:val="Normal"/>
    <w:link w:val="CommentTextChar"/>
    <w:semiHidden/>
    <w:rsid w:val="00725459"/>
    <w:pPr>
      <w:tabs>
        <w:tab w:val="left" w:pos="187"/>
      </w:tabs>
      <w:overflowPunct w:val="0"/>
      <w:adjustRightInd w:val="0"/>
      <w:spacing w:after="120" w:line="220" w:lineRule="exact"/>
      <w:ind w:right="187" w:hanging="187"/>
      <w:jc w:val="left"/>
      <w:textAlignment w:val="baseline"/>
    </w:pPr>
    <w:rPr>
      <w:rFonts w:cs="Times New Roman"/>
      <w:szCs w:val="18"/>
    </w:rPr>
  </w:style>
  <w:style w:type="character" w:customStyle="1" w:styleId="CommentTextChar">
    <w:name w:val="Comment Text Char"/>
    <w:basedOn w:val="DefaultParagraphFont"/>
    <w:link w:val="CommentText"/>
    <w:semiHidden/>
    <w:rsid w:val="00725459"/>
    <w:rPr>
      <w:sz w:val="20"/>
      <w:szCs w:val="18"/>
    </w:rPr>
  </w:style>
  <w:style w:type="paragraph" w:customStyle="1" w:styleId="CC">
    <w:name w:val="CC"/>
    <w:basedOn w:val="BodyText"/>
    <w:rsid w:val="00725459"/>
    <w:pPr>
      <w:keepLines/>
      <w:overflowPunct w:val="0"/>
      <w:adjustRightInd w:val="0"/>
      <w:spacing w:after="160" w:line="240" w:lineRule="auto"/>
      <w:ind w:right="360" w:hanging="360"/>
      <w:jc w:val="left"/>
      <w:textAlignment w:val="baseline"/>
    </w:pPr>
    <w:rPr>
      <w:rFonts w:cs="Times New Roman"/>
      <w:sz w:val="20"/>
      <w:szCs w:val="20"/>
    </w:rPr>
  </w:style>
  <w:style w:type="character" w:styleId="CommentReference">
    <w:name w:val="annotation reference"/>
    <w:semiHidden/>
    <w:rsid w:val="00725459"/>
    <w:rPr>
      <w:sz w:val="16"/>
      <w:szCs w:val="16"/>
    </w:rPr>
  </w:style>
  <w:style w:type="paragraph" w:styleId="BalloonText">
    <w:name w:val="Balloon Text"/>
    <w:basedOn w:val="Normal"/>
    <w:link w:val="BalloonTextChar"/>
    <w:uiPriority w:val="99"/>
    <w:semiHidden/>
    <w:unhideWhenUsed/>
    <w:rsid w:val="00725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4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paragraph" w:styleId="FootnoteText">
    <w:name w:val="footnote text"/>
    <w:basedOn w:val="Normal"/>
    <w:link w:val="FootnoteTextChar"/>
    <w:uiPriority w:val="99"/>
    <w:semiHidden/>
    <w:pPr>
      <w:spacing w:line="240" w:lineRule="auto"/>
      <w:ind w:left="227" w:hanging="227"/>
    </w:pPr>
    <w:rPr>
      <w:position w:val="6"/>
      <w:szCs w:val="16"/>
    </w:rPr>
  </w:style>
  <w:style w:type="character" w:customStyle="1" w:styleId="FootnoteTextChar">
    <w:name w:val="Footnote Text Char"/>
    <w:basedOn w:val="DefaultParagraphFont"/>
    <w:link w:val="FootnoteText"/>
    <w:uiPriority w:val="99"/>
    <w:semiHidden/>
    <w:locked/>
    <w:rPr>
      <w:rFonts w:cs="Narkisim"/>
      <w:sz w:val="20"/>
      <w:szCs w:val="20"/>
      <w:lang w:bidi="he-IL"/>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Narkisim"/>
      <w:sz w:val="20"/>
      <w:lang w:bidi="he-IL"/>
    </w:rPr>
  </w:style>
  <w:style w:type="paragraph" w:customStyle="1" w:styleId="a">
    <w:name w:val="פרשה"/>
    <w:basedOn w:val="Heading1"/>
    <w:uiPriority w:val="99"/>
    <w:pPr>
      <w:spacing w:before="240" w:after="240" w:line="240" w:lineRule="auto"/>
      <w:jc w:val="center"/>
    </w:pPr>
    <w:rPr>
      <w:rFonts w:ascii="Times New Roman" w:hAnsi="Times New Roman"/>
      <w:b/>
      <w:bCs/>
      <w:sz w:val="46"/>
      <w:szCs w:val="50"/>
    </w:rPr>
  </w:style>
  <w:style w:type="paragraph" w:customStyle="1" w:styleId="1">
    <w:name w:val="ציטוט1"/>
    <w:basedOn w:val="Normal"/>
    <w:uiPriority w:val="99"/>
    <w:rsid w:val="00CA4E9E"/>
    <w:pPr>
      <w:tabs>
        <w:tab w:val="right" w:pos="4620"/>
      </w:tabs>
      <w:ind w:left="567"/>
    </w:pPr>
  </w:style>
  <w:style w:type="paragraph" w:customStyle="1" w:styleId="a0">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0"/>
    <w:uiPriority w:val="99"/>
    <w:pPr>
      <w:spacing w:after="60"/>
    </w:pPr>
    <w:rPr>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locked/>
    <w:rPr>
      <w:rFonts w:cs="Narkisim"/>
      <w:sz w:val="20"/>
      <w:lang w:bidi="he-IL"/>
    </w:rPr>
  </w:style>
  <w:style w:type="paragraph" w:styleId="BodyText">
    <w:name w:val="Body Text"/>
    <w:basedOn w:val="Normal"/>
    <w:link w:val="BodyTextChar"/>
    <w:uiPriority w:val="99"/>
    <w:pPr>
      <w:spacing w:after="120" w:line="360" w:lineRule="auto"/>
    </w:pPr>
    <w:rPr>
      <w:sz w:val="24"/>
      <w:szCs w:val="24"/>
    </w:rPr>
  </w:style>
  <w:style w:type="character" w:customStyle="1" w:styleId="BodyTextChar">
    <w:name w:val="Body Text Char"/>
    <w:basedOn w:val="DefaultParagraphFont"/>
    <w:link w:val="BodyText"/>
    <w:uiPriority w:val="99"/>
    <w:semiHidden/>
    <w:locked/>
    <w:rPr>
      <w:rFonts w:cs="Narkisim"/>
      <w:sz w:val="20"/>
      <w:lang w:bidi="he-IL"/>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basedOn w:val="DefaultParagraphFont"/>
    <w:link w:val="BodyText2"/>
    <w:uiPriority w:val="99"/>
    <w:semiHidden/>
    <w:locked/>
    <w:rPr>
      <w:rFonts w:cs="Narkisim"/>
      <w:sz w:val="20"/>
      <w:lang w:bidi="he-IL"/>
    </w:rPr>
  </w:style>
  <w:style w:type="paragraph" w:customStyle="1" w:styleId="3">
    <w:name w:val="כותרת3"/>
    <w:basedOn w:val="Normal"/>
    <w:uiPriority w:val="99"/>
    <w:rsid w:val="00CA4E9E"/>
    <w:pPr>
      <w:keepNext/>
      <w:spacing w:before="120"/>
    </w:pPr>
    <w:rPr>
      <w:rFonts w:ascii="Arial" w:hAnsi="Arial" w:cs="Arial"/>
      <w:b/>
      <w:bCs/>
    </w:rPr>
  </w:style>
  <w:style w:type="paragraph" w:styleId="BodyText3">
    <w:name w:val="Body Text 3"/>
    <w:basedOn w:val="Normal"/>
    <w:link w:val="BodyText3Char"/>
    <w:uiPriority w:val="99"/>
    <w:pPr>
      <w:spacing w:after="0" w:line="360" w:lineRule="auto"/>
    </w:pPr>
  </w:style>
  <w:style w:type="character" w:customStyle="1" w:styleId="BodyText3Char">
    <w:name w:val="Body Text 3 Char"/>
    <w:basedOn w:val="DefaultParagraphFont"/>
    <w:link w:val="BodyText3"/>
    <w:uiPriority w:val="99"/>
    <w:semiHidden/>
    <w:locked/>
    <w:rPr>
      <w:rFonts w:cs="Narkisim"/>
      <w:sz w:val="16"/>
      <w:szCs w:val="16"/>
      <w:lang w:bidi="he-IL"/>
    </w:rPr>
  </w:style>
  <w:style w:type="paragraph" w:styleId="BodyTextIndent2">
    <w:name w:val="Body Text Indent 2"/>
    <w:basedOn w:val="Normal"/>
    <w:link w:val="BodyTextIndent2Char"/>
    <w:uiPriority w:val="99"/>
    <w:pPr>
      <w:spacing w:after="0" w:line="360" w:lineRule="auto"/>
      <w:ind w:firstLine="720"/>
    </w:pPr>
    <w:rPr>
      <w:b/>
      <w:bCs/>
      <w:sz w:val="24"/>
    </w:rPr>
  </w:style>
  <w:style w:type="character" w:customStyle="1" w:styleId="BodyTextIndent2Char">
    <w:name w:val="Body Text Indent 2 Char"/>
    <w:basedOn w:val="DefaultParagraphFont"/>
    <w:link w:val="BodyTextIndent2"/>
    <w:uiPriority w:val="99"/>
    <w:semiHidden/>
    <w:locked/>
    <w:rPr>
      <w:rFonts w:cs="Narkisim"/>
      <w:sz w:val="20"/>
      <w:lang w:bidi="he-IL"/>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uiPriority w:val="99"/>
    <w:pPr>
      <w:spacing w:after="0" w:line="240" w:lineRule="auto"/>
      <w:ind w:left="720"/>
    </w:pPr>
    <w:rPr>
      <w:rFonts w:ascii="Arial" w:hAnsi="Arial"/>
      <w:sz w:val="24"/>
      <w:szCs w:val="24"/>
    </w:rPr>
  </w:style>
  <w:style w:type="paragraph" w:customStyle="1" w:styleId="10">
    <w:name w:val="סגנון1"/>
    <w:basedOn w:val="1"/>
    <w:uiPriority w:val="99"/>
  </w:style>
  <w:style w:type="paragraph" w:customStyle="1" w:styleId="20">
    <w:name w:val="סגנון2"/>
    <w:basedOn w:val="1"/>
    <w:uiPriority w:val="99"/>
  </w:style>
  <w:style w:type="paragraph" w:customStyle="1" w:styleId="30">
    <w:name w:val="סגנון3"/>
    <w:basedOn w:val="Normal"/>
    <w:uiPriority w:val="99"/>
    <w:rPr>
      <w:sz w:val="21"/>
    </w:rPr>
  </w:style>
  <w:style w:type="paragraph" w:customStyle="1" w:styleId="a2">
    <w:name w:val="שיעור"/>
    <w:basedOn w:val="2"/>
    <w:uiPriority w:val="99"/>
    <w:pPr>
      <w:spacing w:before="0" w:after="0"/>
      <w:jc w:val="both"/>
    </w:pPr>
    <w:rPr>
      <w:sz w:val="28"/>
      <w:szCs w:val="24"/>
    </w:rPr>
  </w:style>
  <w:style w:type="paragraph" w:customStyle="1" w:styleId="vbm-quot">
    <w:name w:val="vbm-quot"/>
    <w:basedOn w:val="vbm-norm"/>
    <w:uiPriority w:val="99"/>
    <w:rsid w:val="00D246FA"/>
    <w:pPr>
      <w:tabs>
        <w:tab w:val="right" w:pos="7837"/>
      </w:tabs>
      <w:spacing w:before="150" w:after="150" w:line="300" w:lineRule="exact"/>
      <w:ind w:left="300" w:right="480"/>
    </w:pPr>
    <w:rPr>
      <w:rFonts w:cs="FrankRuehl"/>
    </w:rPr>
  </w:style>
  <w:style w:type="paragraph" w:customStyle="1" w:styleId="vbm-norm">
    <w:name w:val="vbm-norm"/>
    <w:basedOn w:val="Normal"/>
    <w:uiPriority w:val="99"/>
    <w:rsid w:val="00D246FA"/>
    <w:pPr>
      <w:autoSpaceDE/>
      <w:autoSpaceDN/>
      <w:spacing w:before="90" w:after="90" w:line="320" w:lineRule="exact"/>
    </w:pPr>
    <w:rPr>
      <w:sz w:val="24"/>
      <w:szCs w:val="24"/>
    </w:rPr>
  </w:style>
  <w:style w:type="paragraph" w:customStyle="1" w:styleId="quotation">
    <w:name w:val="quotation"/>
    <w:basedOn w:val="Normal"/>
    <w:uiPriority w:val="99"/>
    <w:rsid w:val="008C6D8D"/>
    <w:pPr>
      <w:spacing w:after="0" w:line="240" w:lineRule="auto"/>
      <w:ind w:left="851" w:right="851"/>
    </w:pPr>
    <w:rPr>
      <w:rFonts w:ascii="Courier New" w:hAnsi="Courier New" w:cs="Miriam"/>
      <w:sz w:val="24"/>
    </w:rPr>
  </w:style>
  <w:style w:type="paragraph" w:styleId="EndnoteText">
    <w:name w:val="endnote text"/>
    <w:basedOn w:val="Normal"/>
    <w:link w:val="EndnoteTextChar"/>
    <w:uiPriority w:val="99"/>
    <w:semiHidden/>
    <w:rsid w:val="00A01250"/>
    <w:rPr>
      <w:szCs w:val="20"/>
    </w:rPr>
  </w:style>
  <w:style w:type="character" w:customStyle="1" w:styleId="EndnoteTextChar">
    <w:name w:val="Endnote Text Char"/>
    <w:basedOn w:val="DefaultParagraphFont"/>
    <w:link w:val="EndnoteText"/>
    <w:uiPriority w:val="99"/>
    <w:semiHidden/>
    <w:locked/>
    <w:rPr>
      <w:rFonts w:cs="Narkisim"/>
      <w:sz w:val="20"/>
      <w:szCs w:val="20"/>
      <w:lang w:bidi="he-IL"/>
    </w:rPr>
  </w:style>
  <w:style w:type="character" w:styleId="EndnoteReference">
    <w:name w:val="endnote reference"/>
    <w:basedOn w:val="DefaultParagraphFont"/>
    <w:uiPriority w:val="99"/>
    <w:semiHidden/>
    <w:rsid w:val="00A01250"/>
    <w:rPr>
      <w:rFonts w:cs="Times New Roman"/>
      <w:vertAlign w:val="superscript"/>
    </w:rPr>
  </w:style>
  <w:style w:type="paragraph" w:styleId="BodyTextIndent">
    <w:name w:val="Body Text Indent"/>
    <w:basedOn w:val="Normal"/>
    <w:link w:val="BodyTextIndentChar"/>
    <w:uiPriority w:val="99"/>
    <w:semiHidden/>
    <w:unhideWhenUsed/>
    <w:rsid w:val="00A33E2E"/>
    <w:pPr>
      <w:spacing w:after="120"/>
      <w:ind w:left="283"/>
    </w:pPr>
  </w:style>
  <w:style w:type="character" w:customStyle="1" w:styleId="BodyTextIndentChar">
    <w:name w:val="Body Text Indent Char"/>
    <w:basedOn w:val="DefaultParagraphFont"/>
    <w:link w:val="BodyTextIndent"/>
    <w:uiPriority w:val="99"/>
    <w:semiHidden/>
    <w:rsid w:val="00A33E2E"/>
    <w:rPr>
      <w:rFonts w:cs="Narkisim"/>
      <w:sz w:val="20"/>
    </w:rPr>
  </w:style>
  <w:style w:type="paragraph" w:styleId="BodyTextIndent3">
    <w:name w:val="Body Text Indent 3"/>
    <w:basedOn w:val="Normal"/>
    <w:link w:val="BodyTextIndent3Char"/>
    <w:uiPriority w:val="99"/>
    <w:semiHidden/>
    <w:unhideWhenUsed/>
    <w:rsid w:val="00A33E2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33E2E"/>
    <w:rPr>
      <w:rFonts w:cs="Narkisim"/>
      <w:sz w:val="16"/>
      <w:szCs w:val="16"/>
    </w:rPr>
  </w:style>
  <w:style w:type="paragraph" w:customStyle="1" w:styleId="Normal1">
    <w:name w:val="Normal1"/>
    <w:basedOn w:val="Normal"/>
    <w:rsid w:val="00D21CA3"/>
    <w:pPr>
      <w:autoSpaceDE/>
      <w:autoSpaceDN/>
      <w:bidi w:val="0"/>
      <w:spacing w:before="100" w:beforeAutospacing="1" w:after="100" w:afterAutospacing="1" w:line="240" w:lineRule="auto"/>
      <w:jc w:val="left"/>
    </w:pPr>
    <w:rPr>
      <w:rFonts w:cs="Times New Roman"/>
      <w:sz w:val="24"/>
      <w:szCs w:val="24"/>
    </w:rPr>
  </w:style>
  <w:style w:type="paragraph" w:styleId="ListParagraph">
    <w:name w:val="List Paragraph"/>
    <w:basedOn w:val="Normal"/>
    <w:uiPriority w:val="34"/>
    <w:qFormat/>
    <w:rsid w:val="00C655DB"/>
    <w:pPr>
      <w:ind w:left="720"/>
      <w:contextualSpacing/>
    </w:pPr>
  </w:style>
  <w:style w:type="paragraph" w:styleId="CommentText">
    <w:name w:val="annotation text"/>
    <w:basedOn w:val="Normal"/>
    <w:link w:val="CommentTextChar"/>
    <w:semiHidden/>
    <w:rsid w:val="00725459"/>
    <w:pPr>
      <w:tabs>
        <w:tab w:val="left" w:pos="187"/>
      </w:tabs>
      <w:overflowPunct w:val="0"/>
      <w:adjustRightInd w:val="0"/>
      <w:spacing w:after="120" w:line="220" w:lineRule="exact"/>
      <w:ind w:right="187" w:hanging="187"/>
      <w:jc w:val="left"/>
      <w:textAlignment w:val="baseline"/>
    </w:pPr>
    <w:rPr>
      <w:rFonts w:cs="Times New Roman"/>
      <w:szCs w:val="18"/>
    </w:rPr>
  </w:style>
  <w:style w:type="character" w:customStyle="1" w:styleId="CommentTextChar">
    <w:name w:val="Comment Text Char"/>
    <w:basedOn w:val="DefaultParagraphFont"/>
    <w:link w:val="CommentText"/>
    <w:semiHidden/>
    <w:rsid w:val="00725459"/>
    <w:rPr>
      <w:sz w:val="20"/>
      <w:szCs w:val="18"/>
    </w:rPr>
  </w:style>
  <w:style w:type="paragraph" w:customStyle="1" w:styleId="CC">
    <w:name w:val="CC"/>
    <w:basedOn w:val="BodyText"/>
    <w:rsid w:val="00725459"/>
    <w:pPr>
      <w:keepLines/>
      <w:overflowPunct w:val="0"/>
      <w:adjustRightInd w:val="0"/>
      <w:spacing w:after="160" w:line="240" w:lineRule="auto"/>
      <w:ind w:right="360" w:hanging="360"/>
      <w:jc w:val="left"/>
      <w:textAlignment w:val="baseline"/>
    </w:pPr>
    <w:rPr>
      <w:rFonts w:cs="Times New Roman"/>
      <w:sz w:val="20"/>
      <w:szCs w:val="20"/>
    </w:rPr>
  </w:style>
  <w:style w:type="character" w:styleId="CommentReference">
    <w:name w:val="annotation reference"/>
    <w:semiHidden/>
    <w:rsid w:val="00725459"/>
    <w:rPr>
      <w:sz w:val="16"/>
      <w:szCs w:val="16"/>
    </w:rPr>
  </w:style>
  <w:style w:type="paragraph" w:styleId="BalloonText">
    <w:name w:val="Balloon Text"/>
    <w:basedOn w:val="Normal"/>
    <w:link w:val="BalloonTextChar"/>
    <w:uiPriority w:val="99"/>
    <w:semiHidden/>
    <w:unhideWhenUsed/>
    <w:rsid w:val="00725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4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21448">
      <w:bodyDiv w:val="1"/>
      <w:marLeft w:val="0"/>
      <w:marRight w:val="0"/>
      <w:marTop w:val="0"/>
      <w:marBottom w:val="0"/>
      <w:divBdr>
        <w:top w:val="none" w:sz="0" w:space="0" w:color="auto"/>
        <w:left w:val="none" w:sz="0" w:space="0" w:color="auto"/>
        <w:bottom w:val="none" w:sz="0" w:space="0" w:color="auto"/>
        <w:right w:val="none" w:sz="0" w:space="0" w:color="auto"/>
      </w:divBdr>
      <w:divsChild>
        <w:div w:id="429668452">
          <w:marLeft w:val="0"/>
          <w:marRight w:val="0"/>
          <w:marTop w:val="0"/>
          <w:marBottom w:val="0"/>
          <w:divBdr>
            <w:top w:val="none" w:sz="0" w:space="0" w:color="auto"/>
            <w:left w:val="none" w:sz="0" w:space="0" w:color="auto"/>
            <w:bottom w:val="none" w:sz="0" w:space="0" w:color="auto"/>
            <w:right w:val="none" w:sz="0" w:space="0" w:color="auto"/>
          </w:divBdr>
        </w:div>
        <w:div w:id="1814521073">
          <w:marLeft w:val="0"/>
          <w:marRight w:val="0"/>
          <w:marTop w:val="0"/>
          <w:marBottom w:val="0"/>
          <w:divBdr>
            <w:top w:val="none" w:sz="0" w:space="0" w:color="auto"/>
            <w:left w:val="none" w:sz="0" w:space="0" w:color="auto"/>
            <w:bottom w:val="none" w:sz="0" w:space="0" w:color="auto"/>
            <w:right w:val="none" w:sz="0" w:space="0" w:color="auto"/>
          </w:divBdr>
        </w:div>
      </w:divsChild>
    </w:div>
    <w:div w:id="347492513">
      <w:bodyDiv w:val="1"/>
      <w:marLeft w:val="0"/>
      <w:marRight w:val="0"/>
      <w:marTop w:val="0"/>
      <w:marBottom w:val="0"/>
      <w:divBdr>
        <w:top w:val="none" w:sz="0" w:space="0" w:color="auto"/>
        <w:left w:val="none" w:sz="0" w:space="0" w:color="auto"/>
        <w:bottom w:val="none" w:sz="0" w:space="0" w:color="auto"/>
        <w:right w:val="none" w:sz="0" w:space="0" w:color="auto"/>
      </w:divBdr>
      <w:divsChild>
        <w:div w:id="281619726">
          <w:marLeft w:val="0"/>
          <w:marRight w:val="0"/>
          <w:marTop w:val="0"/>
          <w:marBottom w:val="24"/>
          <w:divBdr>
            <w:top w:val="none" w:sz="0" w:space="0" w:color="auto"/>
            <w:left w:val="none" w:sz="0" w:space="0" w:color="auto"/>
            <w:bottom w:val="none" w:sz="0" w:space="0" w:color="auto"/>
            <w:right w:val="none" w:sz="0" w:space="0" w:color="auto"/>
          </w:divBdr>
        </w:div>
      </w:divsChild>
    </w:div>
    <w:div w:id="200404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2058</Words>
  <Characters>8990</Characters>
  <Application>Microsoft Office Word</Application>
  <DocSecurity>0</DocSecurity>
  <Lines>74</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tmpUser</cp:lastModifiedBy>
  <cp:revision>7</cp:revision>
  <cp:lastPrinted>2019-07-21T08:36:00Z</cp:lastPrinted>
  <dcterms:created xsi:type="dcterms:W3CDTF">2019-08-28T09:41:00Z</dcterms:created>
  <dcterms:modified xsi:type="dcterms:W3CDTF">2019-08-28T10:15:00Z</dcterms:modified>
</cp:coreProperties>
</file>