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976BFE3" w:rsidR="00E84C14" w:rsidRPr="00C1023C" w:rsidRDefault="00655453" w:rsidP="00E0044E">
      <w:pPr>
        <w:pStyle w:val="a8"/>
        <w:contextualSpacing/>
        <w:rPr>
          <w:rtl/>
        </w:rPr>
      </w:pPr>
      <w:r>
        <w:rPr>
          <w:rFonts w:hint="cs"/>
          <w:rtl/>
        </w:rPr>
        <w:t xml:space="preserve">הרב </w:t>
      </w:r>
      <w:r w:rsidR="00E0044E">
        <w:rPr>
          <w:rFonts w:hint="cs"/>
          <w:rtl/>
        </w:rPr>
        <w:t>יואל בן נון</w:t>
      </w:r>
    </w:p>
    <w:p w14:paraId="12CBF919" w14:textId="065276EC" w:rsidR="00413028" w:rsidRPr="00413028" w:rsidRDefault="00E0044E" w:rsidP="00E0044E">
      <w:pPr>
        <w:pStyle w:val="1"/>
        <w:contextualSpacing/>
        <w:rPr>
          <w:rtl/>
        </w:rPr>
      </w:pPr>
      <w:bookmarkStart w:id="0" w:name="OLE_LINK1"/>
      <w:r>
        <w:rPr>
          <w:rFonts w:hint="cs"/>
          <w:rtl/>
        </w:rPr>
        <w:t>נס ההצלה של הגלות</w:t>
      </w:r>
      <w:r w:rsidRPr="00E0044E">
        <w:rPr>
          <w:rStyle w:val="a5"/>
          <w:sz w:val="28"/>
          <w:szCs w:val="28"/>
          <w:rtl/>
        </w:rPr>
        <w:footnoteReference w:customMarkFollows="1" w:id="1"/>
        <w:t>*</w:t>
      </w:r>
    </w:p>
    <w:p w14:paraId="361FEEAD" w14:textId="77777777" w:rsidR="00537C4E" w:rsidRDefault="00537C4E" w:rsidP="00144C37">
      <w:pPr>
        <w:contextualSpacing/>
        <w:rPr>
          <w:rtl/>
        </w:rPr>
      </w:pPr>
    </w:p>
    <w:bookmarkEnd w:id="0"/>
    <w:p w14:paraId="42028D55" w14:textId="77777777" w:rsidR="00E0044E" w:rsidRPr="00661576" w:rsidRDefault="00E0044E" w:rsidP="00220583">
      <w:pPr>
        <w:pStyle w:val="31"/>
        <w:rPr>
          <w:rtl/>
        </w:rPr>
      </w:pPr>
      <w:r>
        <w:rPr>
          <w:rFonts w:hint="cs"/>
          <w:rtl/>
        </w:rPr>
        <w:t xml:space="preserve">א. </w:t>
      </w:r>
      <w:r w:rsidRPr="00661576">
        <w:rPr>
          <w:rFonts w:hint="cs"/>
          <w:rtl/>
        </w:rPr>
        <w:t>שושן מול ירושלים וקביעת ימי הפורים</w:t>
      </w:r>
    </w:p>
    <w:p w14:paraId="76F4C959" w14:textId="77777777" w:rsidR="00E0044E" w:rsidRPr="00661576" w:rsidRDefault="00E0044E" w:rsidP="00220583">
      <w:pPr>
        <w:rPr>
          <w:rtl/>
        </w:rPr>
      </w:pPr>
      <w:r w:rsidRPr="00661576">
        <w:rPr>
          <w:rFonts w:hint="cs"/>
          <w:rtl/>
        </w:rPr>
        <w:t xml:space="preserve">מגילת אסתר מתעלמת באופן בולט מארץ ישראל ומירושלים. ארץ ישראל אינה מוזכרת </w:t>
      </w:r>
      <w:r>
        <w:rPr>
          <w:rFonts w:hint="cs"/>
          <w:rtl/>
        </w:rPr>
        <w:t xml:space="preserve">במגילה </w:t>
      </w:r>
      <w:r w:rsidRPr="00661576">
        <w:rPr>
          <w:rFonts w:hint="cs"/>
          <w:rtl/>
        </w:rPr>
        <w:t xml:space="preserve">כלל, וירושלים מוזכרת </w:t>
      </w:r>
      <w:r>
        <w:rPr>
          <w:rFonts w:hint="cs"/>
          <w:rtl/>
        </w:rPr>
        <w:t xml:space="preserve">בה </w:t>
      </w:r>
      <w:r w:rsidRPr="00661576">
        <w:rPr>
          <w:rFonts w:hint="cs"/>
          <w:rtl/>
        </w:rPr>
        <w:t xml:space="preserve">רק כמקום שהיה </w:t>
      </w:r>
      <w:r>
        <w:rPr>
          <w:rFonts w:hint="cs"/>
          <w:rtl/>
        </w:rPr>
        <w:t>בעבר</w:t>
      </w:r>
      <w:r w:rsidRPr="00661576">
        <w:rPr>
          <w:rFonts w:hint="cs"/>
          <w:rtl/>
        </w:rPr>
        <w:t>: "</w:t>
      </w:r>
      <w:r>
        <w:rPr>
          <w:rtl/>
        </w:rPr>
        <w:t>אֲשֶׁר הָגְלָה מִירוּשָׁלַיִם עִם הַגֹּלָה אֲשֶׁר הָגְלְתָה עִם יְכָנְיָה מֶלֶךְ יְהוּדָה אֲשֶׁר הֶגְלָה נְבוּכַדְנֶאצַּר מֶלֶךְ בָּבֶל</w:t>
      </w:r>
      <w:r w:rsidRPr="00661576">
        <w:rPr>
          <w:rFonts w:hint="cs"/>
          <w:rtl/>
        </w:rPr>
        <w:t xml:space="preserve">" (ב', ו). אין התייחסות לירושלים בהווה, ובוודאי לא למקדש </w:t>
      </w:r>
      <w:r>
        <w:rPr>
          <w:rFonts w:hint="cs"/>
          <w:rtl/>
        </w:rPr>
        <w:t>ה</w:t>
      </w:r>
      <w:r w:rsidRPr="00661576">
        <w:rPr>
          <w:rFonts w:hint="cs"/>
          <w:rtl/>
        </w:rPr>
        <w:t>קיים בה.</w:t>
      </w:r>
      <w:r w:rsidRPr="00E31804">
        <w:rPr>
          <w:rStyle w:val="a5"/>
          <w:rtl/>
        </w:rPr>
        <w:footnoteReference w:id="2"/>
      </w:r>
    </w:p>
    <w:p w14:paraId="27DD4283" w14:textId="77777777" w:rsidR="00E0044E" w:rsidRPr="00661576" w:rsidRDefault="00E0044E" w:rsidP="00220583">
      <w:pPr>
        <w:widowControl w:val="0"/>
        <w:rPr>
          <w:rtl/>
        </w:rPr>
      </w:pPr>
      <w:r w:rsidRPr="00661576">
        <w:rPr>
          <w:rFonts w:hint="cs"/>
          <w:rtl/>
        </w:rPr>
        <w:t>התעלמות זו היא הדדית, שכן ספרי עזרא ונחמיה אינם מזכירים כלל את יהודי שושן, ו"</w:t>
      </w:r>
      <w:r>
        <w:rPr>
          <w:rtl/>
        </w:rPr>
        <w:t>מָרְדֳּכַי בִּלְשָׁן</w:t>
      </w:r>
      <w:r w:rsidRPr="00661576">
        <w:rPr>
          <w:rFonts w:hint="cs"/>
          <w:rtl/>
        </w:rPr>
        <w:t>" (עזרא ב', ב) הוא שם של אחד (או שניים) ממנהיגי העולים עם זרובבל בעלייה הגדולה מהגולה לירושלים</w:t>
      </w:r>
      <w:r>
        <w:rPr>
          <w:rFonts w:hint="cs"/>
          <w:rtl/>
        </w:rPr>
        <w:t>.</w:t>
      </w:r>
      <w:r w:rsidRPr="00661576">
        <w:rPr>
          <w:rFonts w:hint="cs"/>
          <w:rtl/>
        </w:rPr>
        <w:t xml:space="preserve"> בין </w:t>
      </w:r>
      <w:r>
        <w:rPr>
          <w:rFonts w:hint="cs"/>
          <w:rtl/>
        </w:rPr>
        <w:t xml:space="preserve">אם </w:t>
      </w:r>
      <w:r w:rsidRPr="00661576">
        <w:rPr>
          <w:rFonts w:hint="cs"/>
          <w:rtl/>
        </w:rPr>
        <w:t xml:space="preserve">מדובר באותו </w:t>
      </w:r>
      <w:r>
        <w:rPr>
          <w:rFonts w:hint="cs"/>
          <w:rtl/>
        </w:rPr>
        <w:t>'</w:t>
      </w:r>
      <w:r w:rsidRPr="00661576">
        <w:rPr>
          <w:rFonts w:hint="cs"/>
          <w:rtl/>
        </w:rPr>
        <w:t>מרדכי היהודי</w:t>
      </w:r>
      <w:r>
        <w:rPr>
          <w:rFonts w:hint="cs"/>
          <w:rtl/>
        </w:rPr>
        <w:t>'</w:t>
      </w:r>
      <w:r w:rsidRPr="00661576">
        <w:rPr>
          <w:rFonts w:hint="cs"/>
          <w:rtl/>
        </w:rPr>
        <w:t xml:space="preserve"> ובין אם מדובר באנשים שונים</w:t>
      </w:r>
      <w:r>
        <w:rPr>
          <w:rStyle w:val="a5"/>
          <w:rtl/>
        </w:rPr>
        <w:footnoteReference w:id="3"/>
      </w:r>
      <w:r w:rsidRPr="00661576">
        <w:rPr>
          <w:rFonts w:hint="cs"/>
          <w:rtl/>
        </w:rPr>
        <w:t xml:space="preserve"> </w:t>
      </w:r>
      <w:r>
        <w:rPr>
          <w:rtl/>
        </w:rPr>
        <w:t>—</w:t>
      </w:r>
      <w:r w:rsidRPr="00661576">
        <w:rPr>
          <w:rFonts w:hint="cs"/>
          <w:rtl/>
        </w:rPr>
        <w:t xml:space="preserve"> עצם </w:t>
      </w:r>
      <w:r>
        <w:rPr>
          <w:rFonts w:hint="cs"/>
          <w:rtl/>
        </w:rPr>
        <w:t>אזכורו של</w:t>
      </w:r>
      <w:r w:rsidRPr="00661576">
        <w:rPr>
          <w:rFonts w:hint="cs"/>
          <w:rtl/>
        </w:rPr>
        <w:t xml:space="preserve"> השם 'מרדכי' כאחד ממנהיגי העולים </w:t>
      </w:r>
      <w:r>
        <w:rPr>
          <w:rFonts w:hint="cs"/>
          <w:rtl/>
        </w:rPr>
        <w:t>עומד</w:t>
      </w:r>
      <w:r w:rsidRPr="00661576">
        <w:rPr>
          <w:rFonts w:hint="cs"/>
          <w:rtl/>
        </w:rPr>
        <w:t xml:space="preserve"> </w:t>
      </w:r>
      <w:r>
        <w:rPr>
          <w:rFonts w:hint="cs"/>
          <w:rtl/>
        </w:rPr>
        <w:t>ב</w:t>
      </w:r>
      <w:r w:rsidRPr="00661576">
        <w:rPr>
          <w:rFonts w:hint="cs"/>
          <w:rtl/>
        </w:rPr>
        <w:t>היפוך ברור למגילת אסתר, ש</w:t>
      </w:r>
      <w:r>
        <w:rPr>
          <w:rFonts w:hint="cs"/>
          <w:rtl/>
        </w:rPr>
        <w:t>בה</w:t>
      </w:r>
      <w:r w:rsidRPr="00661576">
        <w:rPr>
          <w:rFonts w:hint="cs"/>
          <w:rtl/>
        </w:rPr>
        <w:t xml:space="preserve"> </w:t>
      </w:r>
      <w:r>
        <w:rPr>
          <w:rFonts w:hint="cs"/>
          <w:rtl/>
        </w:rPr>
        <w:t>'</w:t>
      </w:r>
      <w:r w:rsidRPr="00661576">
        <w:rPr>
          <w:rFonts w:hint="cs"/>
          <w:rtl/>
        </w:rPr>
        <w:t>מרדכי היהודי</w:t>
      </w:r>
      <w:r>
        <w:rPr>
          <w:rFonts w:hint="cs"/>
          <w:rtl/>
        </w:rPr>
        <w:t>'</w:t>
      </w:r>
      <w:r w:rsidRPr="00661576">
        <w:rPr>
          <w:rFonts w:hint="cs"/>
          <w:rtl/>
        </w:rPr>
        <w:t xml:space="preserve"> הוא מנהיג יהודי שושן</w:t>
      </w:r>
      <w:r>
        <w:rPr>
          <w:rFonts w:hint="cs"/>
          <w:rtl/>
        </w:rPr>
        <w:t>,</w:t>
      </w:r>
      <w:r w:rsidRPr="00661576">
        <w:rPr>
          <w:rFonts w:hint="cs"/>
          <w:rtl/>
        </w:rPr>
        <w:t xml:space="preserve"> ולבסוף גם מנהיג כלל היהודים </w:t>
      </w:r>
      <w:r>
        <w:rPr>
          <w:rFonts w:hint="cs"/>
          <w:rtl/>
        </w:rPr>
        <w:t>בממלכה היושב בשושן,</w:t>
      </w:r>
      <w:r w:rsidRPr="00661576">
        <w:rPr>
          <w:rFonts w:hint="cs"/>
          <w:rtl/>
        </w:rPr>
        <w:t xml:space="preserve"> בעוד ירושלים </w:t>
      </w:r>
      <w:r>
        <w:rPr>
          <w:rFonts w:hint="cs"/>
          <w:rtl/>
        </w:rPr>
        <w:t>אינה נזכרת.</w:t>
      </w:r>
    </w:p>
    <w:p w14:paraId="6E4D53B5" w14:textId="77777777" w:rsidR="00E0044E" w:rsidRPr="00661576" w:rsidRDefault="00E0044E" w:rsidP="00220583">
      <w:r w:rsidRPr="00661576">
        <w:rPr>
          <w:rFonts w:hint="cs"/>
          <w:rtl/>
        </w:rPr>
        <w:t xml:space="preserve">היפוך נוסף לדמותו של מרדכי כמנהיג משושן אנו מוצאים בשתי דמויות </w:t>
      </w:r>
      <w:r>
        <w:rPr>
          <w:rtl/>
        </w:rPr>
        <w:t>—</w:t>
      </w:r>
      <w:r w:rsidRPr="00661576">
        <w:rPr>
          <w:rFonts w:hint="cs"/>
          <w:rtl/>
        </w:rPr>
        <w:t xml:space="preserve"> עזרא ונחמיה </w:t>
      </w:r>
      <w:r>
        <w:rPr>
          <w:rtl/>
        </w:rPr>
        <w:t>—</w:t>
      </w:r>
      <w:r w:rsidRPr="00661576">
        <w:rPr>
          <w:rFonts w:hint="cs"/>
          <w:rtl/>
        </w:rPr>
        <w:t xml:space="preserve"> שקיבלו אישור רשמי מהמלך אַרתַחשַׁסתא לעלות ליהודה, </w:t>
      </w:r>
      <w:r>
        <w:rPr>
          <w:rFonts w:hint="cs"/>
          <w:rtl/>
        </w:rPr>
        <w:t>ה</w:t>
      </w:r>
      <w:r w:rsidRPr="00661576">
        <w:rPr>
          <w:rFonts w:hint="cs"/>
          <w:rtl/>
        </w:rPr>
        <w:t>אחד כמנהיג דתי שימַנה שופטים ודיינים (עזרא ז', יא</w:t>
      </w:r>
      <w:r>
        <w:rPr>
          <w:rtl/>
        </w:rPr>
        <w:noBreakHyphen/>
      </w:r>
      <w:r w:rsidRPr="00661576">
        <w:rPr>
          <w:rFonts w:hint="cs"/>
          <w:rtl/>
        </w:rPr>
        <w:t>כו), והשני כמנהיג פוליטי מטעם הממלכה הפרסית שיבנה את ירושלים ואת חומותיה (נחמיה ב', ג</w:t>
      </w:r>
      <w:r>
        <w:rPr>
          <w:rtl/>
        </w:rPr>
        <w:noBreakHyphen/>
      </w:r>
      <w:r w:rsidRPr="00661576">
        <w:rPr>
          <w:rFonts w:hint="cs"/>
          <w:rtl/>
        </w:rPr>
        <w:t>ט)</w:t>
      </w:r>
      <w:r>
        <w:rPr>
          <w:rFonts w:hint="cs"/>
          <w:rtl/>
        </w:rPr>
        <w:t>.</w:t>
      </w:r>
      <w:r w:rsidRPr="00661576">
        <w:rPr>
          <w:rFonts w:hint="cs"/>
          <w:rtl/>
        </w:rPr>
        <w:t xml:space="preserve"> שניהם קיבלו סמכות כתובה מהמלך הפרסי, אבל כל מטרת הסמכות וכל פעולתם מכוונ</w:t>
      </w:r>
      <w:r>
        <w:rPr>
          <w:rFonts w:hint="cs"/>
          <w:rtl/>
        </w:rPr>
        <w:t>ו</w:t>
      </w:r>
      <w:r w:rsidRPr="00661576">
        <w:rPr>
          <w:rFonts w:hint="cs"/>
          <w:rtl/>
        </w:rPr>
        <w:t xml:space="preserve">ת לירושלים וליהודים בארץ ישראל, </w:t>
      </w:r>
      <w:r>
        <w:rPr>
          <w:rFonts w:hint="cs"/>
          <w:rtl/>
        </w:rPr>
        <w:t>ואילו</w:t>
      </w:r>
      <w:r w:rsidRPr="00661576">
        <w:rPr>
          <w:rFonts w:hint="cs"/>
          <w:rtl/>
        </w:rPr>
        <w:t xml:space="preserve"> מרדכי </w:t>
      </w:r>
      <w:r>
        <w:rPr>
          <w:rFonts w:hint="cs"/>
          <w:rtl/>
        </w:rPr>
        <w:t xml:space="preserve">היושב בשושן </w:t>
      </w:r>
      <w:r w:rsidRPr="00661576">
        <w:rPr>
          <w:rFonts w:hint="cs"/>
          <w:rtl/>
        </w:rPr>
        <w:t>קיבל סמכות על היהודים "</w:t>
      </w:r>
      <w:r>
        <w:rPr>
          <w:rtl/>
        </w:rPr>
        <w:t>מֵהֹדּוּ וְעַד כּוּשׁ</w:t>
      </w:r>
      <w:r>
        <w:rPr>
          <w:rFonts w:hint="cs"/>
          <w:rtl/>
        </w:rPr>
        <w:t>"</w:t>
      </w:r>
      <w:r w:rsidRPr="00661576">
        <w:rPr>
          <w:rFonts w:hint="cs"/>
          <w:rtl/>
        </w:rPr>
        <w:t xml:space="preserve"> בלי להזכיר כלל את ירושלים ואת 'יהוד מדינתא'.</w:t>
      </w:r>
    </w:p>
    <w:p w14:paraId="279148D5" w14:textId="77777777" w:rsidR="00E0044E" w:rsidRPr="00661576" w:rsidRDefault="00E0044E" w:rsidP="00220583">
      <w:pPr>
        <w:rPr>
          <w:rtl/>
        </w:rPr>
      </w:pPr>
      <w:r w:rsidRPr="00661576">
        <w:rPr>
          <w:rFonts w:hint="cs"/>
          <w:rtl/>
        </w:rPr>
        <w:t>עיון מדוקדק בסוף מגילת אסתר מ</w:t>
      </w:r>
      <w:r>
        <w:rPr>
          <w:rFonts w:hint="cs"/>
          <w:rtl/>
        </w:rPr>
        <w:t>צביע על</w:t>
      </w:r>
      <w:r w:rsidRPr="00661576">
        <w:rPr>
          <w:rFonts w:hint="cs"/>
          <w:rtl/>
        </w:rPr>
        <w:t xml:space="preserve"> שורה של איגרות </w:t>
      </w:r>
      <w:r>
        <w:rPr>
          <w:rFonts w:hint="cs"/>
          <w:rtl/>
        </w:rPr>
        <w:t xml:space="preserve">בעניין </w:t>
      </w:r>
      <w:r w:rsidRPr="00661576">
        <w:rPr>
          <w:rFonts w:hint="cs"/>
          <w:rtl/>
        </w:rPr>
        <w:t xml:space="preserve">קביעת ימי הפורים, </w:t>
      </w:r>
      <w:r>
        <w:rPr>
          <w:rFonts w:hint="cs"/>
          <w:rtl/>
        </w:rPr>
        <w:t>ש</w:t>
      </w:r>
      <w:r w:rsidRPr="00661576">
        <w:rPr>
          <w:rFonts w:hint="cs"/>
          <w:rtl/>
        </w:rPr>
        <w:t>רק שתיים מהן יצאו בבירור משושן</w:t>
      </w:r>
      <w:r>
        <w:rPr>
          <w:rFonts w:hint="cs"/>
          <w:rtl/>
        </w:rPr>
        <w:t>:</w:t>
      </w:r>
      <w:r w:rsidRPr="00661576">
        <w:rPr>
          <w:rFonts w:hint="cs"/>
          <w:rtl/>
        </w:rPr>
        <w:t xml:space="preserve"> הראשונה שכתב מרדכי (ט', כ), ו"</w:t>
      </w:r>
      <w:r w:rsidRPr="004C498E">
        <w:rPr>
          <w:rtl/>
        </w:rPr>
        <w:t>אִגֶּרֶת הַפּוּרִים הַזֹּאת הַשֵּׁנִית</w:t>
      </w:r>
      <w:r>
        <w:rPr>
          <w:rFonts w:hint="cs"/>
          <w:rtl/>
        </w:rPr>
        <w:t>" (ט', כט) שכתבו "</w:t>
      </w:r>
      <w:r w:rsidRPr="004C498E">
        <w:rPr>
          <w:rtl/>
        </w:rPr>
        <w:t>אֶסְתֵּר הַמַּלְכָּה</w:t>
      </w:r>
      <w:r>
        <w:rPr>
          <w:rFonts w:hint="cs"/>
          <w:rtl/>
        </w:rPr>
        <w:t>...</w:t>
      </w:r>
      <w:r w:rsidRPr="004C498E">
        <w:rPr>
          <w:rtl/>
        </w:rPr>
        <w:t xml:space="preserve"> וּמָרְדֳּכַי הַיְּהוּדִי</w:t>
      </w:r>
      <w:r>
        <w:rPr>
          <w:rFonts w:hint="cs"/>
          <w:rtl/>
        </w:rPr>
        <w:t>"</w:t>
      </w:r>
      <w:r w:rsidRPr="00661576">
        <w:rPr>
          <w:rFonts w:hint="cs"/>
          <w:rtl/>
        </w:rPr>
        <w:t xml:space="preserve"> (</w:t>
      </w:r>
      <w:r>
        <w:rPr>
          <w:rFonts w:hint="cs"/>
          <w:rtl/>
        </w:rPr>
        <w:t>שם</w:t>
      </w:r>
      <w:r w:rsidRPr="00661576">
        <w:rPr>
          <w:rFonts w:hint="cs"/>
          <w:rtl/>
        </w:rPr>
        <w:t xml:space="preserve">). </w:t>
      </w:r>
      <w:r>
        <w:rPr>
          <w:rFonts w:hint="cs"/>
          <w:rtl/>
        </w:rPr>
        <w:t xml:space="preserve">לפני שליחת האיגרות מופיע </w:t>
      </w:r>
      <w:r w:rsidRPr="00661576">
        <w:rPr>
          <w:rFonts w:hint="cs"/>
          <w:rtl/>
        </w:rPr>
        <w:t xml:space="preserve">תיאור </w:t>
      </w:r>
      <w:r>
        <w:rPr>
          <w:rFonts w:hint="cs"/>
          <w:rtl/>
        </w:rPr>
        <w:t>של "</w:t>
      </w:r>
      <w:r w:rsidRPr="00DC07E9">
        <w:rPr>
          <w:rtl/>
        </w:rPr>
        <w:t xml:space="preserve">הַיְּהוּדִים הפרוזים </w:t>
      </w:r>
      <w:r>
        <w:rPr>
          <w:rFonts w:hint="cs"/>
          <w:rtl/>
        </w:rPr>
        <w:t>[</w:t>
      </w:r>
      <w:r w:rsidRPr="00DC07E9">
        <w:rPr>
          <w:rtl/>
        </w:rPr>
        <w:t>הַפְּרָזִים</w:t>
      </w:r>
      <w:r>
        <w:rPr>
          <w:rFonts w:hint="cs"/>
          <w:rtl/>
        </w:rPr>
        <w:t xml:space="preserve"> קרי] </w:t>
      </w:r>
      <w:r w:rsidRPr="00DC07E9">
        <w:rPr>
          <w:rtl/>
        </w:rPr>
        <w:t>הַיֹּשְׁבִים בְּעָרֵי הַפְּרָזוֹת</w:t>
      </w:r>
      <w:r w:rsidRPr="00661576">
        <w:rPr>
          <w:rFonts w:hint="cs"/>
          <w:rtl/>
        </w:rPr>
        <w:t>"</w:t>
      </w:r>
      <w:r>
        <w:rPr>
          <w:rFonts w:hint="cs"/>
          <w:rtl/>
        </w:rPr>
        <w:t xml:space="preserve"> (ט', יט), העושים "</w:t>
      </w:r>
      <w:r w:rsidRPr="007844DC">
        <w:rPr>
          <w:rtl/>
        </w:rPr>
        <w:t>אֵת יוֹם אַרְבָּעָה עָשָׂר לְחֹדֶשׁ אֲדָר שִׂמְחָה וּמִשְׁתֶּה וְיוֹם טוֹב</w:t>
      </w:r>
      <w:r>
        <w:rPr>
          <w:rFonts w:hint="cs"/>
          <w:rtl/>
        </w:rPr>
        <w:t xml:space="preserve">" </w:t>
      </w:r>
      <w:r w:rsidRPr="00661576">
        <w:rPr>
          <w:rFonts w:hint="cs"/>
          <w:rtl/>
        </w:rPr>
        <w:t>(</w:t>
      </w:r>
      <w:r>
        <w:rPr>
          <w:rFonts w:hint="cs"/>
          <w:rtl/>
        </w:rPr>
        <w:t>שם</w:t>
      </w:r>
      <w:r w:rsidRPr="00661576">
        <w:rPr>
          <w:rFonts w:hint="cs"/>
          <w:rtl/>
        </w:rPr>
        <w:t>)</w:t>
      </w:r>
      <w:r>
        <w:rPr>
          <w:rFonts w:hint="cs"/>
          <w:rtl/>
        </w:rPr>
        <w:t xml:space="preserve">. תיאור זה אינו מתאים למגילה, שלא נזכרו בה כלל לא </w:t>
      </w:r>
      <w:r w:rsidRPr="00661576">
        <w:rPr>
          <w:rFonts w:hint="cs"/>
          <w:rtl/>
        </w:rPr>
        <w:t>פרוזים ולא שאינם פרוזים</w:t>
      </w:r>
      <w:r>
        <w:rPr>
          <w:rFonts w:hint="cs"/>
          <w:rtl/>
        </w:rPr>
        <w:t xml:space="preserve">. </w:t>
      </w:r>
      <w:r w:rsidRPr="00661576">
        <w:rPr>
          <w:rFonts w:hint="cs"/>
          <w:rtl/>
        </w:rPr>
        <w:t xml:space="preserve">בלשונה של שושן </w:t>
      </w:r>
      <w:r>
        <w:rPr>
          <w:rFonts w:hint="cs"/>
          <w:rtl/>
        </w:rPr>
        <w:t xml:space="preserve">צריך </w:t>
      </w:r>
      <w:r w:rsidRPr="00661576">
        <w:rPr>
          <w:rFonts w:hint="cs"/>
          <w:rtl/>
        </w:rPr>
        <w:t>היה לומר 'על כן היהודים אשר בכל מדינות המלך ע</w:t>
      </w:r>
      <w:r>
        <w:rPr>
          <w:rFonts w:hint="cs"/>
          <w:rtl/>
        </w:rPr>
        <w:t>ו</w:t>
      </w:r>
      <w:r w:rsidRPr="00661576">
        <w:rPr>
          <w:rFonts w:hint="cs"/>
          <w:rtl/>
        </w:rPr>
        <w:t>שים את יום ארבעה עשר לח</w:t>
      </w:r>
      <w:r>
        <w:rPr>
          <w:rFonts w:hint="cs"/>
          <w:rtl/>
        </w:rPr>
        <w:t>ו</w:t>
      </w:r>
      <w:r w:rsidRPr="00661576">
        <w:rPr>
          <w:rFonts w:hint="cs"/>
          <w:rtl/>
        </w:rPr>
        <w:t>דש אדר...'</w:t>
      </w:r>
      <w:r>
        <w:rPr>
          <w:rFonts w:hint="cs"/>
          <w:rtl/>
        </w:rPr>
        <w:t>.</w:t>
      </w:r>
    </w:p>
    <w:p w14:paraId="0BA3D372" w14:textId="77777777" w:rsidR="00E0044E" w:rsidRPr="00661576" w:rsidRDefault="00E0044E" w:rsidP="00220583">
      <w:pPr>
        <w:rPr>
          <w:rtl/>
        </w:rPr>
      </w:pPr>
      <w:r w:rsidRPr="00661576">
        <w:rPr>
          <w:rFonts w:hint="cs"/>
          <w:rtl/>
        </w:rPr>
        <w:t xml:space="preserve">בצדק הבינו חז"ל </w:t>
      </w:r>
      <w:r>
        <w:rPr>
          <w:rFonts w:hint="cs"/>
          <w:rtl/>
        </w:rPr>
        <w:t xml:space="preserve">שהביטוי 'היהודים הפרזים' </w:t>
      </w:r>
      <w:r w:rsidRPr="00661576">
        <w:rPr>
          <w:rFonts w:hint="cs"/>
          <w:rtl/>
        </w:rPr>
        <w:t xml:space="preserve">רומז לארץ ישראל, שבה היה הבדל משפטי וכלכלי מן התורה </w:t>
      </w:r>
      <w:r>
        <w:rPr>
          <w:rFonts w:hint="cs"/>
          <w:rtl/>
        </w:rPr>
        <w:t>בין 'עיר חומה' (= מוקפת חומה) ו</w:t>
      </w:r>
      <w:r w:rsidRPr="00661576">
        <w:rPr>
          <w:rFonts w:hint="cs"/>
          <w:rtl/>
        </w:rPr>
        <w:t xml:space="preserve">בין </w:t>
      </w:r>
      <w:r>
        <w:rPr>
          <w:rFonts w:hint="cs"/>
          <w:rtl/>
        </w:rPr>
        <w:t>'</w:t>
      </w:r>
      <w:r w:rsidRPr="00661576">
        <w:rPr>
          <w:rFonts w:hint="cs"/>
          <w:rtl/>
        </w:rPr>
        <w:t>בתי החצרים</w:t>
      </w:r>
      <w:r>
        <w:rPr>
          <w:rFonts w:hint="cs"/>
          <w:rtl/>
        </w:rPr>
        <w:t>'</w:t>
      </w:r>
      <w:r w:rsidRPr="00661576">
        <w:rPr>
          <w:rFonts w:hint="cs"/>
          <w:rtl/>
        </w:rPr>
        <w:t xml:space="preserve"> (=</w:t>
      </w:r>
      <w:r>
        <w:rPr>
          <w:rFonts w:hint="cs"/>
          <w:rtl/>
        </w:rPr>
        <w:t xml:space="preserve"> </w:t>
      </w:r>
      <w:r w:rsidRPr="00661576">
        <w:rPr>
          <w:rFonts w:hint="cs"/>
          <w:rtl/>
        </w:rPr>
        <w:t>'פרוזים').</w:t>
      </w:r>
      <w:r>
        <w:rPr>
          <w:rStyle w:val="a5"/>
          <w:rtl/>
        </w:rPr>
        <w:footnoteReference w:id="4"/>
      </w:r>
      <w:r w:rsidRPr="00661576">
        <w:rPr>
          <w:rFonts w:hint="cs"/>
          <w:rtl/>
        </w:rPr>
        <w:t xml:space="preserve"> מכאן כנראה הסיקו חז"ל</w:t>
      </w:r>
      <w:r>
        <w:rPr>
          <w:rStyle w:val="a5"/>
          <w:rtl/>
        </w:rPr>
        <w:footnoteReference w:id="5"/>
      </w:r>
      <w:r w:rsidRPr="00661576">
        <w:rPr>
          <w:rFonts w:hint="cs"/>
          <w:rtl/>
        </w:rPr>
        <w:t xml:space="preserve"> שהיו חילופי איגרות בין שושן לירושלים, </w:t>
      </w:r>
      <w:r>
        <w:rPr>
          <w:rFonts w:hint="cs"/>
          <w:rtl/>
        </w:rPr>
        <w:t>כלומר בין מרדכי היהודי ואסתר המלכה ובין אנשי כנסת הגדולה.</w:t>
      </w:r>
      <w:r w:rsidRPr="00661576">
        <w:rPr>
          <w:rFonts w:hint="cs"/>
          <w:rtl/>
        </w:rPr>
        <w:t xml:space="preserve"> </w:t>
      </w:r>
      <w:r>
        <w:rPr>
          <w:rFonts w:hint="cs"/>
          <w:rtl/>
        </w:rPr>
        <w:t>באיגרות אלה התנהל</w:t>
      </w:r>
      <w:r w:rsidRPr="00661576">
        <w:rPr>
          <w:rFonts w:hint="cs"/>
          <w:rtl/>
        </w:rPr>
        <w:t xml:space="preserve"> ויכוח נוקב למד</w:t>
      </w:r>
      <w:r>
        <w:rPr>
          <w:rFonts w:hint="cs"/>
          <w:rtl/>
        </w:rPr>
        <w:t>י</w:t>
      </w:r>
      <w:r w:rsidRPr="00661576">
        <w:rPr>
          <w:rFonts w:hint="cs"/>
          <w:rtl/>
        </w:rPr>
        <w:t>י על קביעת ימי הפורים</w:t>
      </w:r>
      <w:r>
        <w:rPr>
          <w:rFonts w:hint="cs"/>
          <w:rtl/>
        </w:rPr>
        <w:t>:</w:t>
      </w:r>
      <w:r w:rsidRPr="00661576">
        <w:rPr>
          <w:rFonts w:hint="cs"/>
          <w:rtl/>
        </w:rPr>
        <w:t xml:space="preserve"> על עצם ההוספה של ימי הודאה, על כתיבת המגילה וכנראה גם על הימים עצמם ועל הלכותיהם.</w:t>
      </w:r>
      <w:bookmarkStart w:id="2" w:name="_Ref415401609"/>
      <w:r w:rsidRPr="00661576">
        <w:rPr>
          <w:rStyle w:val="a5"/>
          <w:rtl/>
        </w:rPr>
        <w:footnoteReference w:id="6"/>
      </w:r>
      <w:bookmarkEnd w:id="2"/>
    </w:p>
    <w:p w14:paraId="26F37B81" w14:textId="77777777" w:rsidR="00E0044E" w:rsidRPr="00661576" w:rsidRDefault="00E0044E" w:rsidP="00220583">
      <w:pPr>
        <w:rPr>
          <w:rtl/>
        </w:rPr>
      </w:pPr>
      <w:r w:rsidRPr="00661576">
        <w:rPr>
          <w:rFonts w:hint="cs"/>
          <w:rtl/>
        </w:rPr>
        <w:t>גם במחשבה פשוטה אפשר לה</w:t>
      </w:r>
      <w:r>
        <w:rPr>
          <w:rFonts w:hint="cs"/>
          <w:rtl/>
        </w:rPr>
        <w:t>ניח</w:t>
      </w:r>
      <w:r w:rsidRPr="00661576">
        <w:rPr>
          <w:rFonts w:hint="cs"/>
          <w:rtl/>
        </w:rPr>
        <w:t xml:space="preserve"> ש</w:t>
      </w:r>
      <w:r>
        <w:rPr>
          <w:rFonts w:hint="cs"/>
          <w:rtl/>
        </w:rPr>
        <w:t>ה</w:t>
      </w:r>
      <w:r w:rsidRPr="00661576">
        <w:rPr>
          <w:rFonts w:hint="cs"/>
          <w:rtl/>
        </w:rPr>
        <w:t>וויכוח על קביעת ימי הפורים חייב להתנהל בין שתי הנהגות רל</w:t>
      </w:r>
      <w:r>
        <w:rPr>
          <w:rFonts w:hint="cs"/>
          <w:rtl/>
        </w:rPr>
        <w:t>וו</w:t>
      </w:r>
      <w:r w:rsidRPr="00661576">
        <w:rPr>
          <w:rFonts w:hint="cs"/>
          <w:rtl/>
        </w:rPr>
        <w:t xml:space="preserve">נטיות, ולא היו אז הנהגות יהודיות </w:t>
      </w:r>
      <w:r>
        <w:rPr>
          <w:rFonts w:hint="cs"/>
          <w:rtl/>
        </w:rPr>
        <w:t>מלבד שושן וירושלים.</w:t>
      </w:r>
    </w:p>
    <w:p w14:paraId="65D5DB74" w14:textId="77777777" w:rsidR="00E0044E" w:rsidRPr="00661576" w:rsidRDefault="00E0044E" w:rsidP="00220583">
      <w:pPr>
        <w:rPr>
          <w:rtl/>
        </w:rPr>
      </w:pPr>
      <w:r w:rsidRPr="00661576">
        <w:rPr>
          <w:rFonts w:hint="cs"/>
          <w:rtl/>
        </w:rPr>
        <w:t xml:space="preserve">הוויכוח בין שושן לירושלים התנהל בין שתי הנהגות שכל אחת מהן ראתה את עצמה </w:t>
      </w:r>
      <w:r>
        <w:rPr>
          <w:rFonts w:hint="cs"/>
          <w:rtl/>
        </w:rPr>
        <w:t>כ</w:t>
      </w:r>
      <w:r w:rsidRPr="00661576">
        <w:rPr>
          <w:rFonts w:hint="cs"/>
          <w:rtl/>
        </w:rPr>
        <w:t xml:space="preserve">הנהגה עליונה של כלל היהודים גם מכוח השלטונות, </w:t>
      </w:r>
      <w:r>
        <w:rPr>
          <w:rFonts w:hint="cs"/>
          <w:rtl/>
        </w:rPr>
        <w:t>שכן</w:t>
      </w:r>
      <w:r w:rsidRPr="00661576">
        <w:rPr>
          <w:rFonts w:hint="cs"/>
          <w:rtl/>
        </w:rPr>
        <w:t xml:space="preserve"> גם מנהיגי ירושלים החזיקו בכתבי סמכות ממלכי פרס. דווקא משום כך בולטת העובדה שירושלים א</w:t>
      </w:r>
      <w:r>
        <w:rPr>
          <w:rFonts w:hint="cs"/>
          <w:rtl/>
        </w:rPr>
        <w:t>ינה</w:t>
      </w:r>
      <w:r w:rsidRPr="00661576">
        <w:rPr>
          <w:rFonts w:hint="cs"/>
          <w:rtl/>
        </w:rPr>
        <w:t xml:space="preserve"> נזכרת בפירוש במגילת אסתר. שושן לא יכלה (או לא רצתה) להזכיר את ירושלים ואת מקור האיגרות שהגיעו לשושן, וגם לא להסביר על מה בדיוק התנהל הוויכוח, איך הוכרע, ומדוע היה צורך לחתום ב"</w:t>
      </w:r>
      <w:r w:rsidRPr="00126B3D">
        <w:rPr>
          <w:rtl/>
        </w:rPr>
        <w:t>דִּבְרֵי שָׁלוֹם וֶאֱמֶת</w:t>
      </w:r>
      <w:r>
        <w:rPr>
          <w:rFonts w:hint="cs"/>
          <w:rtl/>
        </w:rPr>
        <w:t>" (ט', ל).</w:t>
      </w:r>
    </w:p>
    <w:p w14:paraId="5850D7F1" w14:textId="77777777" w:rsidR="00E0044E" w:rsidRPr="00661576" w:rsidRDefault="00E0044E" w:rsidP="00220583">
      <w:pPr>
        <w:rPr>
          <w:rtl/>
        </w:rPr>
      </w:pPr>
      <w:r w:rsidRPr="00661576">
        <w:rPr>
          <w:rFonts w:hint="cs"/>
          <w:rtl/>
        </w:rPr>
        <w:t>בקריאה שטחית</w:t>
      </w:r>
      <w:r>
        <w:rPr>
          <w:rFonts w:hint="cs"/>
          <w:rtl/>
        </w:rPr>
        <w:t xml:space="preserve"> של המגילה</w:t>
      </w:r>
      <w:r w:rsidRPr="00661576">
        <w:rPr>
          <w:rFonts w:hint="cs"/>
          <w:rtl/>
        </w:rPr>
        <w:t xml:space="preserve"> ניכרת הנהגת שושן</w:t>
      </w:r>
      <w:r>
        <w:rPr>
          <w:rFonts w:hint="cs"/>
          <w:rtl/>
        </w:rPr>
        <w:t xml:space="preserve"> בלבד</w:t>
      </w:r>
      <w:r w:rsidRPr="00661576">
        <w:rPr>
          <w:rFonts w:hint="cs"/>
          <w:rtl/>
        </w:rPr>
        <w:t>, ורק הרמזים הדקים מובילים למסקנת חז"ל בדבר ויכוח נוקב בין שושן לירושלים</w:t>
      </w:r>
      <w:r>
        <w:rPr>
          <w:rFonts w:hint="cs"/>
          <w:rtl/>
        </w:rPr>
        <w:t>.</w:t>
      </w:r>
      <w:r w:rsidRPr="00661576">
        <w:rPr>
          <w:rFonts w:hint="cs"/>
          <w:rtl/>
        </w:rPr>
        <w:t xml:space="preserve"> גם כאשר קיבלו חכמי ארץ ישראל (=</w:t>
      </w:r>
      <w:r>
        <w:rPr>
          <w:rFonts w:hint="cs"/>
          <w:rtl/>
        </w:rPr>
        <w:t xml:space="preserve"> </w:t>
      </w:r>
      <w:r w:rsidRPr="00661576">
        <w:rPr>
          <w:rFonts w:hint="cs"/>
          <w:rtl/>
        </w:rPr>
        <w:t>'אנשי הכנסת הגדולה') את ימי הפורים ואת מגילת אסתר, הם החליפו את העיר שושן מוקפת החומה ב"</w:t>
      </w:r>
      <w:r w:rsidRPr="00126B3D">
        <w:rPr>
          <w:rtl/>
        </w:rPr>
        <w:t>כרכין המוקפין חומה מימות יהושע בן נון</w:t>
      </w:r>
      <w:r w:rsidRPr="00661576">
        <w:rPr>
          <w:rFonts w:hint="cs"/>
          <w:rtl/>
        </w:rPr>
        <w:t>" (מגילה פ</w:t>
      </w:r>
      <w:r>
        <w:rPr>
          <w:rFonts w:hint="cs"/>
          <w:rtl/>
        </w:rPr>
        <w:t>"</w:t>
      </w:r>
      <w:r w:rsidRPr="00661576">
        <w:rPr>
          <w:rFonts w:hint="cs"/>
          <w:rtl/>
        </w:rPr>
        <w:t xml:space="preserve">א </w:t>
      </w:r>
      <w:r>
        <w:rPr>
          <w:rFonts w:hint="cs"/>
          <w:rtl/>
        </w:rPr>
        <w:t>מ"</w:t>
      </w:r>
      <w:r w:rsidRPr="00661576">
        <w:rPr>
          <w:rFonts w:hint="cs"/>
          <w:rtl/>
        </w:rPr>
        <w:t>א) ונתנו בכך ביטוי להסתייגותם מהנהגת שושן.</w:t>
      </w:r>
      <w:r>
        <w:rPr>
          <w:rStyle w:val="a5"/>
          <w:rtl/>
        </w:rPr>
        <w:footnoteReference w:id="7"/>
      </w:r>
    </w:p>
    <w:p w14:paraId="30791A7C" w14:textId="77777777" w:rsidR="00E0044E" w:rsidRPr="00661576" w:rsidRDefault="00E0044E" w:rsidP="00220583">
      <w:pPr>
        <w:rPr>
          <w:rtl/>
        </w:rPr>
      </w:pPr>
      <w:r w:rsidRPr="00661576">
        <w:rPr>
          <w:rFonts w:hint="cs"/>
          <w:rtl/>
        </w:rPr>
        <w:t xml:space="preserve">הסתרת ההנהגה הירושלמית בסוף המגילה היא עדות חשובה </w:t>
      </w:r>
      <w:r>
        <w:rPr>
          <w:rFonts w:hint="cs"/>
          <w:rtl/>
        </w:rPr>
        <w:t>ה</w:t>
      </w:r>
      <w:r w:rsidRPr="00661576">
        <w:rPr>
          <w:rFonts w:hint="cs"/>
          <w:rtl/>
        </w:rPr>
        <w:t xml:space="preserve">משלימה </w:t>
      </w:r>
      <w:r>
        <w:rPr>
          <w:rFonts w:hint="cs"/>
          <w:rtl/>
        </w:rPr>
        <w:t xml:space="preserve">את </w:t>
      </w:r>
      <w:r w:rsidRPr="00661576">
        <w:rPr>
          <w:rFonts w:hint="cs"/>
          <w:rtl/>
        </w:rPr>
        <w:t xml:space="preserve">הבנת הרקע </w:t>
      </w:r>
      <w:r>
        <w:rPr>
          <w:rFonts w:hint="cs"/>
          <w:rtl/>
        </w:rPr>
        <w:t>של המגילה ואת פרשנותה.</w:t>
      </w:r>
      <w:r w:rsidRPr="00661576">
        <w:rPr>
          <w:rFonts w:hint="cs"/>
          <w:rtl/>
        </w:rPr>
        <w:t xml:space="preserve"> מגילת אסתר מייצגת עולם יהודי גלותי, פוליטיק</w:t>
      </w:r>
      <w:r>
        <w:rPr>
          <w:rFonts w:hint="cs"/>
          <w:rtl/>
        </w:rPr>
        <w:t>ה של</w:t>
      </w:r>
      <w:r w:rsidRPr="00661576">
        <w:rPr>
          <w:rFonts w:hint="cs"/>
          <w:rtl/>
        </w:rPr>
        <w:t xml:space="preserve"> הישרדות בתוך הסתר פנים, עולם מתבולל בחיצוניותו ויהודי בתוכו</w:t>
      </w:r>
      <w:r>
        <w:rPr>
          <w:rFonts w:hint="cs"/>
          <w:rtl/>
        </w:rPr>
        <w:t xml:space="preserve">. זהו </w:t>
      </w:r>
      <w:r w:rsidRPr="00661576">
        <w:rPr>
          <w:rFonts w:hint="cs"/>
          <w:rtl/>
        </w:rPr>
        <w:t>קוטב הפוך לתורה ולתנ"ך, לארץ ישראל</w:t>
      </w:r>
      <w:r>
        <w:rPr>
          <w:rFonts w:hint="cs"/>
          <w:rtl/>
        </w:rPr>
        <w:t xml:space="preserve"> ולירושלים, לשם ה' ולבית המקדש.</w:t>
      </w:r>
    </w:p>
    <w:p w14:paraId="30F9CA09" w14:textId="77777777" w:rsidR="00E0044E" w:rsidRPr="00661576" w:rsidRDefault="00E0044E" w:rsidP="00220583">
      <w:pPr>
        <w:rPr>
          <w:rtl/>
        </w:rPr>
      </w:pPr>
      <w:r w:rsidRPr="00661576">
        <w:rPr>
          <w:rFonts w:hint="cs"/>
          <w:rtl/>
        </w:rPr>
        <w:t xml:space="preserve">ההנהגה היהודית בשושן הציבה </w:t>
      </w:r>
      <w:r>
        <w:rPr>
          <w:rFonts w:hint="cs"/>
          <w:rtl/>
        </w:rPr>
        <w:t>חלופה</w:t>
      </w:r>
      <w:r w:rsidRPr="00661576">
        <w:rPr>
          <w:rFonts w:hint="cs"/>
          <w:rtl/>
        </w:rPr>
        <w:t xml:space="preserve"> לירושלים, ומרדכי ואסתר בפעולותיהם ובתודעתם היו </w:t>
      </w:r>
      <w:r>
        <w:rPr>
          <w:rFonts w:hint="cs"/>
          <w:rtl/>
        </w:rPr>
        <w:t>היפוכם</w:t>
      </w:r>
      <w:r w:rsidRPr="00661576">
        <w:rPr>
          <w:rFonts w:hint="cs"/>
          <w:rtl/>
        </w:rPr>
        <w:t xml:space="preserve"> הגמור</w:t>
      </w:r>
      <w:r>
        <w:rPr>
          <w:rFonts w:hint="cs"/>
          <w:rtl/>
        </w:rPr>
        <w:t xml:space="preserve"> </w:t>
      </w:r>
      <w:r w:rsidRPr="00661576">
        <w:rPr>
          <w:rFonts w:hint="cs"/>
          <w:rtl/>
        </w:rPr>
        <w:t>של עזרא ונחמיה. רק הכרעה היסטורית אחת תרמה הנהגת שושן לעם היהודי</w:t>
      </w:r>
      <w:r>
        <w:rPr>
          <w:rFonts w:hint="cs"/>
          <w:rtl/>
        </w:rPr>
        <w:t xml:space="preserve">: </w:t>
      </w:r>
      <w:r w:rsidRPr="00661576">
        <w:rPr>
          <w:rFonts w:hint="cs"/>
          <w:rtl/>
        </w:rPr>
        <w:t>קביע</w:t>
      </w:r>
      <w:r>
        <w:rPr>
          <w:rFonts w:hint="cs"/>
          <w:rtl/>
        </w:rPr>
        <w:t>ת</w:t>
      </w:r>
      <w:r w:rsidRPr="00661576">
        <w:rPr>
          <w:rFonts w:hint="cs"/>
          <w:rtl/>
        </w:rPr>
        <w:t xml:space="preserve"> ימי הפורים וקבלת המגילה אל תוך התנ"ך ("שלחה להם אסתר לחכמים: כתבוני לדורות", מגילה ז ע"א).</w:t>
      </w:r>
    </w:p>
    <w:p w14:paraId="79C87D94" w14:textId="77777777" w:rsidR="00E0044E" w:rsidRPr="00661576" w:rsidRDefault="00E0044E" w:rsidP="00220583">
      <w:pPr>
        <w:pStyle w:val="31"/>
        <w:rPr>
          <w:rtl/>
        </w:rPr>
      </w:pPr>
      <w:r>
        <w:rPr>
          <w:rFonts w:hint="cs"/>
          <w:rtl/>
        </w:rPr>
        <w:t xml:space="preserve">ב. </w:t>
      </w:r>
      <w:r w:rsidRPr="00661576">
        <w:rPr>
          <w:rFonts w:hint="cs"/>
          <w:rtl/>
        </w:rPr>
        <w:t>גלות ואנטישמיות</w:t>
      </w:r>
    </w:p>
    <w:p w14:paraId="1B868D74" w14:textId="77777777" w:rsidR="00E0044E" w:rsidRPr="00661576" w:rsidRDefault="00E0044E" w:rsidP="00220583">
      <w:pPr>
        <w:rPr>
          <w:rtl/>
        </w:rPr>
      </w:pPr>
      <w:r w:rsidRPr="00661576">
        <w:rPr>
          <w:rFonts w:hint="cs"/>
          <w:rtl/>
        </w:rPr>
        <w:t>מגילת אסתר מגדירה בדיוק, מפי המן, את הגלות היהודית על כל מרכיביה</w:t>
      </w:r>
      <w:r>
        <w:rPr>
          <w:rFonts w:hint="cs"/>
          <w:rtl/>
        </w:rPr>
        <w:t>:</w:t>
      </w:r>
      <w:r w:rsidRPr="00661576">
        <w:rPr>
          <w:rFonts w:hint="cs"/>
          <w:rtl/>
        </w:rPr>
        <w:t xml:space="preserve"> "</w:t>
      </w:r>
      <w:r w:rsidRPr="0067023B">
        <w:rPr>
          <w:rtl/>
        </w:rPr>
        <w:t>יֶשְׁנוֹ עַם אֶחָד מְפֻזָּר וּמְפֹרָד בֵּין הָעַמִּים בְּכֹל מְדִינוֹת מַלְכוּתֶךָ וְדָתֵיהֶם שֹׁנוֹת מִכָּל עָם וְאֶת דָּתֵי הַמֶּלֶךְ אֵינָם עֹשִׂים וְלַמֶּלֶךְ אֵין שֹׁוֶה לְהַנִּיחָם</w:t>
      </w:r>
      <w:r w:rsidRPr="00661576">
        <w:rPr>
          <w:rFonts w:hint="cs"/>
          <w:rtl/>
        </w:rPr>
        <w:t>" (ג', ח).</w:t>
      </w:r>
    </w:p>
    <w:p w14:paraId="13ED6A31" w14:textId="77777777" w:rsidR="00E0044E" w:rsidRPr="00661576" w:rsidRDefault="00E0044E" w:rsidP="00220583">
      <w:pPr>
        <w:rPr>
          <w:rtl/>
        </w:rPr>
      </w:pPr>
      <w:r w:rsidRPr="00661576">
        <w:rPr>
          <w:rFonts w:hint="cs"/>
          <w:rtl/>
        </w:rPr>
        <w:t>בני ישראל החלו להתפזר בעולם עם ההגליות האשוריות (מל</w:t>
      </w:r>
      <w:r>
        <w:rPr>
          <w:rFonts w:hint="cs"/>
          <w:rtl/>
        </w:rPr>
        <w:t>"</w:t>
      </w:r>
      <w:r w:rsidRPr="00661576">
        <w:rPr>
          <w:rFonts w:hint="cs"/>
          <w:rtl/>
        </w:rPr>
        <w:t>ב י"ח, יא), אולם האשורים נהגו כך בערי מדינה רבות שהתמרדו וערבבו עמים רבים כמדיניות.</w:t>
      </w:r>
      <w:bookmarkStart w:id="3" w:name="_Ref415391749"/>
      <w:r w:rsidRPr="00661576">
        <w:rPr>
          <w:rStyle w:val="a5"/>
          <w:rtl/>
        </w:rPr>
        <w:footnoteReference w:id="8"/>
      </w:r>
      <w:bookmarkEnd w:id="3"/>
      <w:r w:rsidRPr="00661576">
        <w:rPr>
          <w:rFonts w:hint="cs"/>
          <w:rtl/>
        </w:rPr>
        <w:t xml:space="preserve"> לא היה בכך שום דבר ייחודי נגד עם ישראל. גם נבוכדראצר הכשדי</w:t>
      </w:r>
      <w:r w:rsidRPr="00DA786A">
        <w:rPr>
          <w:b/>
          <w:position w:val="5"/>
          <w:rtl/>
        </w:rPr>
        <w:noBreakHyphen/>
      </w:r>
      <w:r w:rsidRPr="00661576">
        <w:rPr>
          <w:rFonts w:hint="cs"/>
          <w:rtl/>
        </w:rPr>
        <w:t>בבלי שהגלה את ירושלים (מל</w:t>
      </w:r>
      <w:r>
        <w:rPr>
          <w:rFonts w:hint="cs"/>
          <w:rtl/>
        </w:rPr>
        <w:t>"</w:t>
      </w:r>
      <w:r w:rsidRPr="00661576">
        <w:rPr>
          <w:rFonts w:hint="cs"/>
          <w:rtl/>
        </w:rPr>
        <w:t xml:space="preserve">ב כ"ד, יד; אסתר ב', ו) נהג על פי המדיניות הכללית להחריב ולהגלות ערי מדינה מורדות, אלא שהבבלים </w:t>
      </w:r>
      <w:r>
        <w:rPr>
          <w:rFonts w:hint="cs"/>
          <w:rtl/>
        </w:rPr>
        <w:t xml:space="preserve">בניגוד לאשורים </w:t>
      </w:r>
      <w:r w:rsidRPr="00661576">
        <w:rPr>
          <w:rFonts w:hint="cs"/>
          <w:rtl/>
        </w:rPr>
        <w:t>לא הביאו אוכלוסיות אחרות</w:t>
      </w:r>
      <w:r>
        <w:rPr>
          <w:rFonts w:hint="cs"/>
          <w:rtl/>
        </w:rPr>
        <w:t xml:space="preserve"> לארצות שכבשו</w:t>
      </w:r>
      <w:r w:rsidRPr="00661576">
        <w:rPr>
          <w:rFonts w:hint="cs"/>
          <w:rtl/>
        </w:rPr>
        <w:t xml:space="preserve"> </w:t>
      </w:r>
      <w:r>
        <w:rPr>
          <w:rFonts w:hint="cs"/>
          <w:rtl/>
        </w:rPr>
        <w:t>ו</w:t>
      </w:r>
      <w:r w:rsidRPr="00661576">
        <w:rPr>
          <w:rFonts w:hint="cs"/>
          <w:rtl/>
        </w:rPr>
        <w:t xml:space="preserve">לא ערבבו עמים </w:t>
      </w:r>
      <w:r>
        <w:rPr>
          <w:rFonts w:hint="cs"/>
          <w:rtl/>
        </w:rPr>
        <w:t xml:space="preserve">זה בזה, אלא </w:t>
      </w:r>
      <w:r w:rsidRPr="00661576">
        <w:rPr>
          <w:rFonts w:hint="cs"/>
          <w:rtl/>
        </w:rPr>
        <w:t>הותירו אחריהם חורבן ושממה.</w:t>
      </w:r>
      <w:r w:rsidRPr="00661576">
        <w:rPr>
          <w:rStyle w:val="a5"/>
          <w:rtl/>
        </w:rPr>
        <w:footnoteReference w:id="9"/>
      </w:r>
      <w:r w:rsidRPr="00661576">
        <w:rPr>
          <w:rFonts w:hint="cs"/>
          <w:rtl/>
        </w:rPr>
        <w:t xml:space="preserve"> עמים רבים גלו ממולדתם בתקופה ההיא.</w:t>
      </w:r>
    </w:p>
    <w:p w14:paraId="160FA57B" w14:textId="77777777" w:rsidR="00E0044E" w:rsidRPr="00661576" w:rsidRDefault="00E0044E" w:rsidP="00220583">
      <w:pPr>
        <w:rPr>
          <w:rtl/>
        </w:rPr>
      </w:pPr>
      <w:r w:rsidRPr="00661576">
        <w:rPr>
          <w:rFonts w:hint="cs"/>
          <w:rtl/>
        </w:rPr>
        <w:t>אפילו הצהרת כורש</w:t>
      </w:r>
      <w:r>
        <w:rPr>
          <w:rFonts w:hint="cs"/>
          <w:rtl/>
        </w:rPr>
        <w:t>,</w:t>
      </w:r>
      <w:r w:rsidRPr="00661576">
        <w:rPr>
          <w:rFonts w:hint="cs"/>
          <w:rtl/>
        </w:rPr>
        <w:t xml:space="preserve"> שחוללה את שיבת ציון ו</w:t>
      </w:r>
      <w:r>
        <w:rPr>
          <w:rFonts w:hint="cs"/>
          <w:rtl/>
        </w:rPr>
        <w:t>הביאה ל</w:t>
      </w:r>
      <w:r w:rsidRPr="00661576">
        <w:rPr>
          <w:rFonts w:hint="cs"/>
          <w:rtl/>
        </w:rPr>
        <w:t xml:space="preserve">בניית ירושלים </w:t>
      </w:r>
      <w:r>
        <w:rPr>
          <w:rFonts w:hint="cs"/>
          <w:rtl/>
        </w:rPr>
        <w:t>ו</w:t>
      </w:r>
      <w:r w:rsidRPr="00661576">
        <w:rPr>
          <w:rFonts w:hint="cs"/>
          <w:rtl/>
        </w:rPr>
        <w:t>הבית השני</w:t>
      </w:r>
      <w:r>
        <w:rPr>
          <w:rFonts w:hint="cs"/>
          <w:rtl/>
        </w:rPr>
        <w:t>,</w:t>
      </w:r>
      <w:r w:rsidRPr="00661576">
        <w:rPr>
          <w:rFonts w:hint="cs"/>
          <w:rtl/>
        </w:rPr>
        <w:t xml:space="preserve"> לא חרגה מהמדיניות הפרסית הכללית </w:t>
      </w:r>
      <w:r>
        <w:rPr>
          <w:rtl/>
        </w:rPr>
        <w:br/>
      </w:r>
      <w:r w:rsidRPr="00661576">
        <w:rPr>
          <w:rFonts w:hint="cs"/>
          <w:rtl/>
        </w:rPr>
        <w:t>לטפח מקדשים וערי מדינה אוטונומיות למחצה תחת האימפריה הגדול</w:t>
      </w:r>
      <w:r>
        <w:rPr>
          <w:rFonts w:hint="cs"/>
          <w:rtl/>
        </w:rPr>
        <w:t xml:space="preserve">ה שירשה את כולן </w:t>
      </w:r>
      <w:r w:rsidRPr="00661576">
        <w:rPr>
          <w:rFonts w:hint="cs"/>
          <w:rtl/>
        </w:rPr>
        <w:t>(בהיפוך גמור למדיניות האשורית והבבלית)</w:t>
      </w:r>
      <w:r>
        <w:rPr>
          <w:rFonts w:hint="cs"/>
          <w:rtl/>
        </w:rPr>
        <w:t>.</w:t>
      </w:r>
      <w:r w:rsidRPr="00661576">
        <w:rPr>
          <w:rStyle w:val="a5"/>
          <w:rtl/>
        </w:rPr>
        <w:footnoteReference w:id="10"/>
      </w:r>
      <w:r>
        <w:rPr>
          <w:rFonts w:hint="cs"/>
          <w:rtl/>
        </w:rPr>
        <w:t xml:space="preserve"> </w:t>
      </w:r>
      <w:r w:rsidRPr="00661576">
        <w:rPr>
          <w:rFonts w:hint="cs"/>
          <w:rtl/>
        </w:rPr>
        <w:t xml:space="preserve">המדיניות הפרסית מוכרת מכתובות פרסיות וניכרת גם במגילה, </w:t>
      </w:r>
      <w:r>
        <w:rPr>
          <w:rFonts w:hint="cs"/>
          <w:rtl/>
        </w:rPr>
        <w:t xml:space="preserve">שבה מוכרזת </w:t>
      </w:r>
      <w:r w:rsidRPr="00661576">
        <w:rPr>
          <w:rFonts w:hint="cs"/>
          <w:rtl/>
        </w:rPr>
        <w:t>המטרה "</w:t>
      </w:r>
      <w:r w:rsidRPr="000B0BB2">
        <w:rPr>
          <w:rtl/>
        </w:rPr>
        <w:t>לִהְיוֹת כָּל אִישׁ שֹׂרֵר בְּבֵיתוֹ וּמְדַבֵּר כִּלְשׁוֹן עַמּוֹ</w:t>
      </w:r>
      <w:r w:rsidRPr="00661576">
        <w:rPr>
          <w:rFonts w:hint="cs"/>
          <w:rtl/>
        </w:rPr>
        <w:t>" (א', כב)</w:t>
      </w:r>
      <w:r>
        <w:rPr>
          <w:rFonts w:hint="cs"/>
          <w:rtl/>
        </w:rPr>
        <w:t>, ו</w:t>
      </w:r>
      <w:r w:rsidRPr="00661576">
        <w:rPr>
          <w:rFonts w:hint="cs"/>
          <w:rtl/>
        </w:rPr>
        <w:t xml:space="preserve">האימפריה </w:t>
      </w:r>
      <w:r>
        <w:rPr>
          <w:rFonts w:hint="cs"/>
          <w:rtl/>
        </w:rPr>
        <w:t xml:space="preserve">מנוהלת </w:t>
      </w:r>
      <w:r w:rsidRPr="00661576">
        <w:rPr>
          <w:rFonts w:hint="cs"/>
          <w:rtl/>
        </w:rPr>
        <w:t>בפועל "</w:t>
      </w:r>
      <w:r w:rsidRPr="000B0BB2">
        <w:rPr>
          <w:rtl/>
        </w:rPr>
        <w:t>מְדִינָה וּמְדִינָה כִּכְתָבָהּ וְעַם וָעָם כִּלְשׁוֹנוֹ</w:t>
      </w:r>
      <w:r w:rsidRPr="00661576">
        <w:rPr>
          <w:rFonts w:hint="cs"/>
          <w:rtl/>
        </w:rPr>
        <w:t>" (ג', יב; ח', ט).</w:t>
      </w:r>
    </w:p>
    <w:p w14:paraId="714C24B1" w14:textId="77777777" w:rsidR="00E0044E" w:rsidRPr="00661576" w:rsidRDefault="00E0044E" w:rsidP="00220583">
      <w:pPr>
        <w:rPr>
          <w:rtl/>
        </w:rPr>
      </w:pPr>
      <w:r>
        <w:rPr>
          <w:rFonts w:hint="cs"/>
          <w:rtl/>
        </w:rPr>
        <w:t>אמנם,</w:t>
      </w:r>
      <w:r w:rsidRPr="00661576">
        <w:rPr>
          <w:rFonts w:hint="cs"/>
          <w:rtl/>
        </w:rPr>
        <w:t xml:space="preserve"> יסוד אחד התבלט בתקופה זו של ראשית הגלות היהודית</w:t>
      </w:r>
      <w:r>
        <w:rPr>
          <w:rFonts w:hint="cs"/>
          <w:rtl/>
        </w:rPr>
        <w:t>:</w:t>
      </w:r>
      <w:r w:rsidRPr="00661576">
        <w:rPr>
          <w:rFonts w:hint="cs"/>
          <w:rtl/>
        </w:rPr>
        <w:t xml:space="preserve"> היהודים נמצאים בטיפולו הישיר של ראש האימפריה,</w:t>
      </w:r>
      <w:r>
        <w:rPr>
          <w:rFonts w:hint="cs"/>
          <w:rtl/>
        </w:rPr>
        <w:t xml:space="preserve"> 'המלך', מתגלת פלאסר, </w:t>
      </w:r>
      <w:r w:rsidRPr="00661576">
        <w:rPr>
          <w:rFonts w:hint="cs"/>
          <w:rtl/>
        </w:rPr>
        <w:t>סנחריב ונבוכדרא</w:t>
      </w:r>
      <w:r>
        <w:rPr>
          <w:rFonts w:hint="cs"/>
          <w:rtl/>
        </w:rPr>
        <w:t>צר</w:t>
      </w:r>
      <w:r w:rsidRPr="00661576">
        <w:rPr>
          <w:rFonts w:hint="cs"/>
          <w:rtl/>
        </w:rPr>
        <w:t xml:space="preserve"> עד כורש ודרי</w:t>
      </w:r>
      <w:r>
        <w:rPr>
          <w:rFonts w:hint="cs"/>
          <w:rtl/>
        </w:rPr>
        <w:t>ו</w:t>
      </w:r>
      <w:r w:rsidRPr="00661576">
        <w:rPr>
          <w:rFonts w:hint="cs"/>
          <w:rtl/>
        </w:rPr>
        <w:t>וש.</w:t>
      </w:r>
      <w:r w:rsidRPr="00661576">
        <w:rPr>
          <w:rStyle w:val="a5"/>
          <w:rtl/>
        </w:rPr>
        <w:footnoteReference w:id="11"/>
      </w:r>
    </w:p>
    <w:p w14:paraId="11287F4F" w14:textId="77777777" w:rsidR="00E0044E" w:rsidRPr="00661576" w:rsidRDefault="00E0044E" w:rsidP="00220583">
      <w:pPr>
        <w:rPr>
          <w:rtl/>
        </w:rPr>
      </w:pPr>
      <w:r w:rsidRPr="00661576">
        <w:rPr>
          <w:rFonts w:hint="cs"/>
          <w:rtl/>
        </w:rPr>
        <w:t>אך מאימתי הפכו יהודי הגולה ל</w:t>
      </w:r>
      <w:r>
        <w:rPr>
          <w:rFonts w:hint="cs"/>
          <w:rtl/>
        </w:rPr>
        <w:t xml:space="preserve">היות </w:t>
      </w:r>
      <w:r w:rsidRPr="00661576">
        <w:rPr>
          <w:rFonts w:hint="cs"/>
          <w:rtl/>
        </w:rPr>
        <w:t>שונים מכל העמים שבקרבם ישבו, עד כדי התעוררות של פחדים ושנאה מחד</w:t>
      </w:r>
      <w:r>
        <w:rPr>
          <w:rFonts w:hint="cs"/>
          <w:rtl/>
        </w:rPr>
        <w:t xml:space="preserve"> גיסא</w:t>
      </w:r>
      <w:r w:rsidRPr="00661576">
        <w:rPr>
          <w:rFonts w:hint="cs"/>
          <w:rtl/>
        </w:rPr>
        <w:t xml:space="preserve"> </w:t>
      </w:r>
      <w:r>
        <w:rPr>
          <w:rFonts w:hint="cs"/>
          <w:rtl/>
        </w:rPr>
        <w:t>ו</w:t>
      </w:r>
      <w:r w:rsidRPr="00661576">
        <w:rPr>
          <w:rFonts w:hint="cs"/>
          <w:rtl/>
        </w:rPr>
        <w:t xml:space="preserve">הוקרה על נאמנותם מרחיקת הלכת </w:t>
      </w:r>
      <w:r>
        <w:rPr>
          <w:rFonts w:hint="cs"/>
          <w:rtl/>
        </w:rPr>
        <w:t>מאידך גיסא</w:t>
      </w:r>
      <w:r w:rsidRPr="00661576">
        <w:rPr>
          <w:rFonts w:hint="cs"/>
          <w:rtl/>
        </w:rPr>
        <w:t>?</w:t>
      </w:r>
    </w:p>
    <w:p w14:paraId="59A8A77B" w14:textId="77777777" w:rsidR="00E0044E" w:rsidRPr="00661576" w:rsidRDefault="00E0044E" w:rsidP="00220583">
      <w:pPr>
        <w:rPr>
          <w:rtl/>
        </w:rPr>
      </w:pPr>
      <w:r w:rsidRPr="00661576">
        <w:rPr>
          <w:rFonts w:hint="cs"/>
          <w:rtl/>
        </w:rPr>
        <w:t xml:space="preserve">התשובה היא </w:t>
      </w:r>
      <w:r>
        <w:rPr>
          <w:rtl/>
        </w:rPr>
        <w:t>—</w:t>
      </w:r>
      <w:r w:rsidRPr="00661576">
        <w:rPr>
          <w:rFonts w:hint="cs"/>
          <w:rtl/>
        </w:rPr>
        <w:t xml:space="preserve"> בדיוק מימי אחשורוש! בימי אחשורוש הגיעו למיצוי ש</w:t>
      </w:r>
      <w:r>
        <w:rPr>
          <w:rFonts w:hint="cs"/>
          <w:rtl/>
        </w:rPr>
        <w:t>ני תהליכים במקביל:</w:t>
      </w:r>
    </w:p>
    <w:p w14:paraId="362DF2D9" w14:textId="77777777" w:rsidR="00E0044E" w:rsidRPr="00661576" w:rsidRDefault="00E0044E" w:rsidP="00220583">
      <w:pPr>
        <w:rPr>
          <w:rtl/>
        </w:rPr>
      </w:pPr>
      <w:r w:rsidRPr="00661576">
        <w:rPr>
          <w:rFonts w:hint="cs"/>
          <w:rtl/>
        </w:rPr>
        <w:t>1. העמים שגלו התבוללו לגמרי בתוך כמה דורות</w:t>
      </w:r>
      <w:r>
        <w:rPr>
          <w:rFonts w:hint="cs"/>
          <w:rtl/>
        </w:rPr>
        <w:t>,</w:t>
      </w:r>
      <w:r w:rsidRPr="00661576">
        <w:rPr>
          <w:rFonts w:hint="cs"/>
          <w:rtl/>
        </w:rPr>
        <w:t xml:space="preserve"> </w:t>
      </w:r>
      <w:r>
        <w:rPr>
          <w:rFonts w:hint="cs"/>
          <w:rtl/>
        </w:rPr>
        <w:t>ואילו</w:t>
      </w:r>
      <w:r w:rsidRPr="00661576">
        <w:rPr>
          <w:rFonts w:hint="cs"/>
          <w:rtl/>
        </w:rPr>
        <w:t xml:space="preserve"> היהודים לא הצליחו להתבולל לגמרי בין העמים שבקרבם ישבו למרות השפעות תרבותיות מרחיקות לכת</w:t>
      </w:r>
      <w:r>
        <w:rPr>
          <w:rFonts w:hint="cs"/>
          <w:rtl/>
        </w:rPr>
        <w:t>.</w:t>
      </w:r>
      <w:r w:rsidRPr="00661576">
        <w:rPr>
          <w:rFonts w:hint="cs"/>
          <w:rtl/>
        </w:rPr>
        <w:t xml:space="preserve"> השמות 'מרדכי</w:t>
      </w:r>
      <w:r>
        <w:rPr>
          <w:rFonts w:hint="cs"/>
          <w:rtl/>
        </w:rPr>
        <w:t>'</w:t>
      </w:r>
      <w:r w:rsidRPr="00661576">
        <w:rPr>
          <w:rFonts w:hint="cs"/>
          <w:rtl/>
        </w:rPr>
        <w:t xml:space="preserve"> ו</w:t>
      </w:r>
      <w:r>
        <w:rPr>
          <w:rFonts w:hint="cs"/>
          <w:rtl/>
        </w:rPr>
        <w:t>'</w:t>
      </w:r>
      <w:r w:rsidRPr="00661576">
        <w:rPr>
          <w:rFonts w:hint="cs"/>
          <w:rtl/>
        </w:rPr>
        <w:t>אסתר' מציינים דור ראשון של התרחקות משמות עבריים ("</w:t>
      </w:r>
      <w:r w:rsidRPr="006C6EB9">
        <w:rPr>
          <w:rtl/>
        </w:rPr>
        <w:t>בֶּן יָאִיר בֶּן שִׁמְעִי בֶּן קִישׁ</w:t>
      </w:r>
      <w:r>
        <w:rPr>
          <w:rFonts w:hint="cs"/>
          <w:rtl/>
        </w:rPr>
        <w:t xml:space="preserve">... </w:t>
      </w:r>
      <w:r w:rsidRPr="006C6EB9">
        <w:rPr>
          <w:rtl/>
        </w:rPr>
        <w:t>הֲדַסָּה</w:t>
      </w:r>
      <w:r>
        <w:rPr>
          <w:rFonts w:hint="cs"/>
          <w:rtl/>
        </w:rPr>
        <w:t xml:space="preserve">" </w:t>
      </w:r>
      <w:r>
        <w:rPr>
          <w:rtl/>
        </w:rPr>
        <w:t>—</w:t>
      </w:r>
      <w:r>
        <w:rPr>
          <w:rFonts w:hint="cs"/>
          <w:rtl/>
        </w:rPr>
        <w:t xml:space="preserve"> ג', ה, ז).</w:t>
      </w:r>
      <w:r w:rsidRPr="00661576">
        <w:rPr>
          <w:rFonts w:hint="cs"/>
          <w:rtl/>
        </w:rPr>
        <w:t xml:space="preserve"> </w:t>
      </w:r>
      <w:r>
        <w:rPr>
          <w:rFonts w:hint="cs"/>
          <w:rtl/>
        </w:rPr>
        <w:t xml:space="preserve">אך </w:t>
      </w:r>
      <w:r w:rsidRPr="00661576">
        <w:rPr>
          <w:rFonts w:hint="cs"/>
          <w:rtl/>
        </w:rPr>
        <w:t>ההתבוללות היהודית בתרבויות העמים נותרה שכבה דקה</w:t>
      </w:r>
      <w:r>
        <w:rPr>
          <w:rFonts w:hint="cs"/>
          <w:rtl/>
        </w:rPr>
        <w:t>,</w:t>
      </w:r>
      <w:r w:rsidRPr="00661576">
        <w:rPr>
          <w:rFonts w:hint="cs"/>
          <w:rtl/>
        </w:rPr>
        <w:t xml:space="preserve"> </w:t>
      </w:r>
      <w:r>
        <w:rPr>
          <w:rFonts w:hint="cs"/>
          <w:rtl/>
        </w:rPr>
        <w:t>ש</w:t>
      </w:r>
      <w:r w:rsidRPr="00661576">
        <w:rPr>
          <w:rFonts w:hint="cs"/>
          <w:rtl/>
        </w:rPr>
        <w:t>לא היה בכוחה לעקור את השוֹנוּת היהודית משאר העמים, ובעיקר את ההימנעות היהודית מהפולחנים האליליים המקובלים.</w:t>
      </w:r>
      <w:bookmarkStart w:id="4" w:name="_Ref415398765"/>
      <w:r w:rsidRPr="00661576">
        <w:rPr>
          <w:rStyle w:val="a5"/>
          <w:rtl/>
        </w:rPr>
        <w:footnoteReference w:id="12"/>
      </w:r>
      <w:bookmarkEnd w:id="4"/>
    </w:p>
    <w:p w14:paraId="1BCA4E85" w14:textId="77777777" w:rsidR="00E0044E" w:rsidRPr="00661576" w:rsidRDefault="00E0044E" w:rsidP="00220583">
      <w:pPr>
        <w:rPr>
          <w:rtl/>
        </w:rPr>
      </w:pPr>
      <w:r w:rsidRPr="00661576">
        <w:rPr>
          <w:rFonts w:hint="cs"/>
          <w:rtl/>
        </w:rPr>
        <w:t>2. דווקא שיבת ציון של חלק מן היהודים הגולי</w:t>
      </w:r>
      <w:r w:rsidRPr="00D8557D">
        <w:rPr>
          <w:rFonts w:hint="cs"/>
          <w:spacing w:val="-24"/>
          <w:rtl/>
        </w:rPr>
        <w:t>ם</w:t>
      </w:r>
      <w:r w:rsidRPr="00661576">
        <w:rPr>
          <w:rStyle w:val="a5"/>
          <w:rtl/>
        </w:rPr>
        <w:footnoteReference w:id="13"/>
      </w:r>
      <w:r w:rsidRPr="00661576">
        <w:rPr>
          <w:rFonts w:hint="cs"/>
          <w:rtl/>
        </w:rPr>
        <w:t xml:space="preserve"> הפכה את </w:t>
      </w:r>
      <w:r>
        <w:rPr>
          <w:rFonts w:hint="cs"/>
          <w:rtl/>
        </w:rPr>
        <w:t xml:space="preserve">הישארותם של </w:t>
      </w:r>
      <w:r w:rsidRPr="00661576">
        <w:rPr>
          <w:rFonts w:hint="cs"/>
          <w:rtl/>
        </w:rPr>
        <w:t xml:space="preserve">הנותרים בגולה לתופעת קבע בחיי היהודים ובחיי העמים שבקרבם </w:t>
      </w:r>
      <w:r>
        <w:rPr>
          <w:rFonts w:hint="cs"/>
          <w:rtl/>
        </w:rPr>
        <w:t>חיו</w:t>
      </w:r>
      <w:r w:rsidRPr="00661576">
        <w:rPr>
          <w:rFonts w:hint="cs"/>
          <w:rtl/>
        </w:rPr>
        <w:t>. באורח פרדוקסלי לכאורה</w:t>
      </w:r>
      <w:r>
        <w:rPr>
          <w:rFonts w:hint="cs"/>
          <w:rtl/>
        </w:rPr>
        <w:t>,</w:t>
      </w:r>
      <w:r w:rsidRPr="00661576">
        <w:rPr>
          <w:rFonts w:hint="cs"/>
          <w:rtl/>
        </w:rPr>
        <w:t xml:space="preserve"> שיבת ציון הנציחה את הגולה היהודית שלא חזרה לציון והפכה אותה למצב קבוע של קיום יהודי עם הנהגה מקומית שאיננה תלויה בירושלים, </w:t>
      </w:r>
      <w:r>
        <w:rPr>
          <w:rFonts w:hint="cs"/>
          <w:rtl/>
        </w:rPr>
        <w:t>הנהגה ש</w:t>
      </w:r>
      <w:r w:rsidRPr="00661576">
        <w:rPr>
          <w:rFonts w:hint="cs"/>
          <w:rtl/>
        </w:rPr>
        <w:t>יש לה אינטרסים משלה וקשרים פוליטיים משלה עם השלטונות.</w:t>
      </w:r>
      <w:r w:rsidRPr="00661576">
        <w:rPr>
          <w:rStyle w:val="a5"/>
          <w:rtl/>
        </w:rPr>
        <w:footnoteReference w:id="14"/>
      </w:r>
    </w:p>
    <w:p w14:paraId="3B32F612" w14:textId="77777777" w:rsidR="00E0044E" w:rsidRPr="00661576" w:rsidRDefault="00E0044E" w:rsidP="00220583">
      <w:pPr>
        <w:rPr>
          <w:rtl/>
        </w:rPr>
      </w:pPr>
      <w:r w:rsidRPr="00661576">
        <w:rPr>
          <w:rFonts w:hint="cs"/>
          <w:rtl/>
        </w:rPr>
        <w:t xml:space="preserve">בימי אחשורוש והמן כבר היה ברור וידוע שהיהודים נמצאים בכל </w:t>
      </w:r>
      <w:r>
        <w:rPr>
          <w:rFonts w:hint="cs"/>
          <w:rtl/>
        </w:rPr>
        <w:t>העולם ובכל מקום הם שונים</w:t>
      </w:r>
      <w:r w:rsidRPr="00661576">
        <w:rPr>
          <w:rFonts w:hint="cs"/>
          <w:rtl/>
        </w:rPr>
        <w:t xml:space="preserve"> מסביבתם, אבל יש </w:t>
      </w:r>
      <w:r>
        <w:rPr>
          <w:rFonts w:hint="cs"/>
          <w:rtl/>
        </w:rPr>
        <w:t>ביניהם</w:t>
      </w:r>
      <w:r w:rsidRPr="00661576">
        <w:rPr>
          <w:rFonts w:hint="cs"/>
          <w:rtl/>
        </w:rPr>
        <w:t xml:space="preserve"> קשרים חזקים בגלל הלשון והתרבות הייחודית שלהם</w:t>
      </w:r>
      <w:r>
        <w:rPr>
          <w:rFonts w:hint="cs"/>
          <w:rtl/>
        </w:rPr>
        <w:t>.</w:t>
      </w:r>
      <w:r w:rsidRPr="00661576">
        <w:rPr>
          <w:rFonts w:hint="cs"/>
          <w:rtl/>
        </w:rPr>
        <w:t xml:space="preserve"> יהודים שישבו ביֵב בדרום מצרים</w:t>
      </w:r>
      <w:r w:rsidRPr="00661576">
        <w:rPr>
          <w:rStyle w:val="a5"/>
          <w:rtl/>
        </w:rPr>
        <w:footnoteReference w:id="15"/>
      </w:r>
      <w:r w:rsidRPr="00661576">
        <w:rPr>
          <w:rFonts w:hint="cs"/>
          <w:rtl/>
        </w:rPr>
        <w:t xml:space="preserve"> והיו להם סכסוכים קשים עם השכנים שלהם</w:t>
      </w:r>
      <w:r>
        <w:rPr>
          <w:rFonts w:hint="cs"/>
          <w:rtl/>
        </w:rPr>
        <w:t>,</w:t>
      </w:r>
      <w:r w:rsidRPr="00661576">
        <w:rPr>
          <w:rFonts w:hint="cs"/>
          <w:rtl/>
        </w:rPr>
        <w:t xml:space="preserve"> כתבו לאחיהם ביהודה ובשומרון מכתבים (בארמית, אך במושגים יהודיים) עם בקשות לעזרה, וגם קיבלו מירושלים מכתבים עם הנחיות תורניות</w:t>
      </w:r>
      <w:r w:rsidRPr="00DA786A">
        <w:rPr>
          <w:b/>
          <w:position w:val="5"/>
          <w:rtl/>
        </w:rPr>
        <w:noBreakHyphen/>
      </w:r>
      <w:r w:rsidRPr="00661576">
        <w:rPr>
          <w:rFonts w:hint="cs"/>
          <w:rtl/>
        </w:rPr>
        <w:t xml:space="preserve">הלכתיות (למשל לקראת פסח, </w:t>
      </w:r>
      <w:r>
        <w:rPr>
          <w:rFonts w:hint="cs"/>
          <w:rtl/>
        </w:rPr>
        <w:t>בנוגע ל</w:t>
      </w:r>
      <w:r w:rsidRPr="00661576">
        <w:rPr>
          <w:rFonts w:hint="cs"/>
          <w:rtl/>
        </w:rPr>
        <w:t>איסורי חמץ).</w:t>
      </w:r>
      <w:bookmarkStart w:id="5" w:name="_Ref415399032"/>
      <w:r w:rsidRPr="00661576">
        <w:rPr>
          <w:rStyle w:val="a5"/>
          <w:rtl/>
        </w:rPr>
        <w:footnoteReference w:id="16"/>
      </w:r>
      <w:bookmarkEnd w:id="5"/>
      <w:r w:rsidRPr="00661576">
        <w:rPr>
          <w:rFonts w:hint="cs"/>
          <w:rtl/>
        </w:rPr>
        <w:t xml:space="preserve"> קשרי מכתבים כאלה התנהלו בכל מרחבי האימפריה, ומסתבר שכבר אז היו סוחרים יהוד</w:t>
      </w:r>
      <w:r>
        <w:rPr>
          <w:rFonts w:hint="cs"/>
          <w:rtl/>
        </w:rPr>
        <w:t>י</w:t>
      </w:r>
      <w:r w:rsidRPr="00661576">
        <w:rPr>
          <w:rFonts w:hint="cs"/>
          <w:rtl/>
        </w:rPr>
        <w:t xml:space="preserve">ים ובעלי קשרים פוליטיים שהעבירו </w:t>
      </w:r>
      <w:r>
        <w:rPr>
          <w:rFonts w:hint="cs"/>
          <w:rtl/>
        </w:rPr>
        <w:t>את המכתבים</w:t>
      </w:r>
      <w:r w:rsidRPr="00661576">
        <w:rPr>
          <w:rFonts w:hint="cs"/>
          <w:rtl/>
        </w:rPr>
        <w:t>.</w:t>
      </w:r>
    </w:p>
    <w:p w14:paraId="2D16DB65" w14:textId="77777777" w:rsidR="00E0044E" w:rsidRPr="00661576" w:rsidRDefault="00E0044E" w:rsidP="00220583">
      <w:pPr>
        <w:rPr>
          <w:rtl/>
        </w:rPr>
      </w:pPr>
      <w:r>
        <w:rPr>
          <w:rFonts w:hint="cs"/>
          <w:rtl/>
        </w:rPr>
        <w:t>הכינוי '</w:t>
      </w:r>
      <w:r w:rsidRPr="00661576">
        <w:rPr>
          <w:rFonts w:hint="cs"/>
          <w:rtl/>
        </w:rPr>
        <w:t>מרדכי היהודי</w:t>
      </w:r>
      <w:r>
        <w:rPr>
          <w:rFonts w:hint="cs"/>
          <w:rtl/>
        </w:rPr>
        <w:t>'</w:t>
      </w:r>
      <w:r w:rsidRPr="00661576">
        <w:rPr>
          <w:rFonts w:hint="cs"/>
          <w:rtl/>
        </w:rPr>
        <w:t xml:space="preserve"> משקף במדויק את מצב היהודים </w:t>
      </w:r>
      <w:r>
        <w:rPr>
          <w:rtl/>
        </w:rPr>
        <w:br/>
      </w:r>
      <w:r w:rsidRPr="00661576">
        <w:rPr>
          <w:rFonts w:hint="cs"/>
          <w:rtl/>
        </w:rPr>
        <w:t xml:space="preserve">בגולה בדור </w:t>
      </w:r>
      <w:r>
        <w:rPr>
          <w:rFonts w:hint="cs"/>
          <w:rtl/>
        </w:rPr>
        <w:t>ההוא. היהודים</w:t>
      </w:r>
      <w:r w:rsidRPr="00661576">
        <w:rPr>
          <w:rFonts w:hint="cs"/>
          <w:rtl/>
        </w:rPr>
        <w:t xml:space="preserve"> החלו לשאת שמות נכריים ואפילו אליליים במקורם</w:t>
      </w:r>
      <w:r w:rsidRPr="00661576">
        <w:rPr>
          <w:rStyle w:val="a5"/>
          <w:rtl/>
        </w:rPr>
        <w:footnoteReference w:id="17"/>
      </w:r>
      <w:r w:rsidRPr="00661576">
        <w:rPr>
          <w:rFonts w:hint="cs"/>
          <w:rtl/>
        </w:rPr>
        <w:t xml:space="preserve"> ולפתח קשרים פוליטיים עם השלטונות על בסיס של נאמנות (</w:t>
      </w:r>
      <w:r>
        <w:rPr>
          <w:rFonts w:hint="cs"/>
          <w:rtl/>
        </w:rPr>
        <w:t xml:space="preserve">סיפור </w:t>
      </w:r>
      <w:r w:rsidRPr="00661576">
        <w:rPr>
          <w:rFonts w:hint="cs"/>
          <w:rtl/>
        </w:rPr>
        <w:t xml:space="preserve">בגתן ותרש), ויחד עם זה שמרו על השוֹנוּת שלהם </w:t>
      </w:r>
      <w:r>
        <w:rPr>
          <w:rtl/>
        </w:rPr>
        <w:t>—</w:t>
      </w:r>
      <w:r w:rsidRPr="00661576">
        <w:rPr>
          <w:rFonts w:hint="cs"/>
          <w:rtl/>
        </w:rPr>
        <w:t xml:space="preserve"> "</w:t>
      </w:r>
      <w:r w:rsidRPr="00CB5442">
        <w:rPr>
          <w:rtl/>
        </w:rPr>
        <w:t>וּמָרְדֳּכַי לֹא יִכְרַע וְלֹא יִשְׁתַּחֲוֶה</w:t>
      </w:r>
      <w:r w:rsidRPr="00661576">
        <w:rPr>
          <w:rFonts w:hint="cs"/>
          <w:rtl/>
        </w:rPr>
        <w:t xml:space="preserve">" (ג', ב), ועל קשרי המכתבים ביניהם </w:t>
      </w:r>
      <w:r>
        <w:rPr>
          <w:rtl/>
        </w:rPr>
        <w:t>—</w:t>
      </w:r>
      <w:r w:rsidRPr="00661576">
        <w:rPr>
          <w:rFonts w:hint="cs"/>
          <w:rtl/>
        </w:rPr>
        <w:t xml:space="preserve"> "</w:t>
      </w:r>
      <w:r w:rsidRPr="00CB5442">
        <w:rPr>
          <w:rtl/>
        </w:rPr>
        <w:t>וַיִּכְתֹּב מָרְדֳּכַי אֶת הַדְּבָרִים הָאֵלֶּה וַיִּשְׁלַח סְפָרִים אֶל כָּל הַיְּהוּדִים אֲשֶׁר בְּכָל מְדִינוֹת הַמֶּלֶךְ אֲחַשְׁוֵרוֹשׁ הַקְּרוֹבִים וְהָרְחוֹקִים</w:t>
      </w:r>
      <w:r w:rsidRPr="00661576">
        <w:rPr>
          <w:rFonts w:hint="cs"/>
          <w:rtl/>
        </w:rPr>
        <w:t>" (ט', כ).</w:t>
      </w:r>
    </w:p>
    <w:p w14:paraId="60EB76C6" w14:textId="77777777" w:rsidR="00E0044E" w:rsidRPr="00661576" w:rsidRDefault="00E0044E" w:rsidP="00220583">
      <w:pPr>
        <w:rPr>
          <w:rtl/>
        </w:rPr>
      </w:pPr>
      <w:r w:rsidRPr="00661576">
        <w:rPr>
          <w:rFonts w:hint="cs"/>
          <w:rtl/>
        </w:rPr>
        <w:t>במצב חדש זה של הקיום היהודי ניצבו היהודים לא רק מול השלטונות המקומיים אלא מול ראשי האימפריה, מנהיגי העולם</w:t>
      </w:r>
      <w:r>
        <w:rPr>
          <w:rFonts w:hint="cs"/>
          <w:rtl/>
        </w:rPr>
        <w:t>. זאת</w:t>
      </w:r>
      <w:r w:rsidRPr="00661576">
        <w:rPr>
          <w:rFonts w:hint="cs"/>
          <w:rtl/>
        </w:rPr>
        <w:t xml:space="preserve"> מפני שיהודים נמצאים בכל מרחבי האימפריה, ולכן "</w:t>
      </w:r>
      <w:r w:rsidRPr="006C39DD">
        <w:rPr>
          <w:rtl/>
        </w:rPr>
        <w:t>מֵהֹדּוּ וְעַד כּוּשׁ</w:t>
      </w:r>
      <w:r w:rsidRPr="00661576">
        <w:rPr>
          <w:rFonts w:hint="cs"/>
          <w:rtl/>
        </w:rPr>
        <w:t>" יש רק שני גורמים</w:t>
      </w:r>
      <w:r>
        <w:rPr>
          <w:rFonts w:hint="cs"/>
          <w:rtl/>
        </w:rPr>
        <w:t>:</w:t>
      </w:r>
      <w:r w:rsidRPr="00661576">
        <w:rPr>
          <w:rFonts w:hint="cs"/>
          <w:rtl/>
        </w:rPr>
        <w:t xml:space="preserve"> שלטון </w:t>
      </w:r>
      <w:r>
        <w:rPr>
          <w:rFonts w:hint="cs"/>
          <w:rtl/>
        </w:rPr>
        <w:t>'</w:t>
      </w:r>
      <w:r w:rsidRPr="00661576">
        <w:rPr>
          <w:rFonts w:hint="cs"/>
          <w:rtl/>
        </w:rPr>
        <w:t>המלך</w:t>
      </w:r>
      <w:r>
        <w:rPr>
          <w:rFonts w:hint="cs"/>
          <w:rtl/>
        </w:rPr>
        <w:t>'</w:t>
      </w:r>
      <w:r w:rsidRPr="00661576">
        <w:rPr>
          <w:rFonts w:hint="cs"/>
          <w:rtl/>
        </w:rPr>
        <w:t xml:space="preserve"> והיהודים</w:t>
      </w:r>
      <w:r>
        <w:rPr>
          <w:rFonts w:hint="cs"/>
          <w:rtl/>
        </w:rPr>
        <w:t>.</w:t>
      </w:r>
      <w:r w:rsidRPr="00661576">
        <w:rPr>
          <w:rFonts w:hint="cs"/>
          <w:rtl/>
        </w:rPr>
        <w:t xml:space="preserve"> מכאן נגזרו בהכרח שתי אפש</w:t>
      </w:r>
      <w:r>
        <w:rPr>
          <w:rFonts w:hint="cs"/>
          <w:rtl/>
        </w:rPr>
        <w:t>רויות רדיקליות:</w:t>
      </w:r>
    </w:p>
    <w:p w14:paraId="443875E7" w14:textId="77777777" w:rsidR="00E0044E" w:rsidRPr="00661576" w:rsidRDefault="00E0044E" w:rsidP="00220583">
      <w:pPr>
        <w:rPr>
          <w:rtl/>
        </w:rPr>
      </w:pPr>
      <w:r w:rsidRPr="00661576">
        <w:rPr>
          <w:rFonts w:hint="cs"/>
          <w:rtl/>
        </w:rPr>
        <w:t xml:space="preserve">1. </w:t>
      </w:r>
      <w:r>
        <w:rPr>
          <w:rFonts w:hint="cs"/>
          <w:rtl/>
        </w:rPr>
        <w:t>'</w:t>
      </w:r>
      <w:r w:rsidRPr="00661576">
        <w:rPr>
          <w:rFonts w:hint="cs"/>
          <w:rtl/>
        </w:rPr>
        <w:t>המלך</w:t>
      </w:r>
      <w:r>
        <w:rPr>
          <w:rFonts w:hint="cs"/>
          <w:rtl/>
        </w:rPr>
        <w:t>'</w:t>
      </w:r>
      <w:r w:rsidRPr="00661576">
        <w:rPr>
          <w:rFonts w:hint="cs"/>
          <w:rtl/>
        </w:rPr>
        <w:t xml:space="preserve"> היה יכול להשתמש ביהודים לטובת שלטונו,</w:t>
      </w:r>
      <w:r>
        <w:rPr>
          <w:rFonts w:hint="cs"/>
          <w:rtl/>
        </w:rPr>
        <w:t xml:space="preserve"> </w:t>
      </w:r>
      <w:r w:rsidRPr="00661576">
        <w:rPr>
          <w:rFonts w:hint="cs"/>
          <w:rtl/>
        </w:rPr>
        <w:t xml:space="preserve">דווקא מפני שהיהודים </w:t>
      </w:r>
      <w:r>
        <w:rPr>
          <w:rFonts w:hint="cs"/>
          <w:rtl/>
        </w:rPr>
        <w:t xml:space="preserve">היו </w:t>
      </w:r>
      <w:r w:rsidRPr="00661576">
        <w:rPr>
          <w:rFonts w:hint="cs"/>
          <w:rtl/>
        </w:rPr>
        <w:t xml:space="preserve">נאמנים לו יותר מעמים מקומיים, שבהם </w:t>
      </w:r>
      <w:r>
        <w:rPr>
          <w:rFonts w:hint="cs"/>
          <w:rtl/>
        </w:rPr>
        <w:t xml:space="preserve">היו </w:t>
      </w:r>
      <w:r>
        <w:rPr>
          <w:rtl/>
        </w:rPr>
        <w:br/>
      </w:r>
      <w:r w:rsidRPr="00661576">
        <w:rPr>
          <w:rFonts w:hint="cs"/>
          <w:rtl/>
        </w:rPr>
        <w:t>תמיד גורמים שואפי עצמאות.</w:t>
      </w:r>
      <w:r w:rsidRPr="00661576">
        <w:rPr>
          <w:rStyle w:val="a5"/>
          <w:rtl/>
        </w:rPr>
        <w:footnoteReference w:id="18"/>
      </w:r>
      <w:r w:rsidRPr="00661576">
        <w:rPr>
          <w:rFonts w:hint="cs"/>
          <w:rtl/>
        </w:rPr>
        <w:t xml:space="preserve"> </w:t>
      </w:r>
      <w:r>
        <w:rPr>
          <w:rFonts w:hint="cs"/>
          <w:rtl/>
        </w:rPr>
        <w:t xml:space="preserve">כך למשל נעזר </w:t>
      </w:r>
      <w:r w:rsidRPr="00661576">
        <w:rPr>
          <w:rFonts w:hint="cs"/>
          <w:rtl/>
        </w:rPr>
        <w:t xml:space="preserve">השלטון ביהודי יֵב </w:t>
      </w:r>
      <w:r>
        <w:rPr>
          <w:rFonts w:hint="cs"/>
          <w:rtl/>
        </w:rPr>
        <w:t>ו</w:t>
      </w:r>
      <w:r w:rsidRPr="00661576">
        <w:rPr>
          <w:rFonts w:hint="cs"/>
          <w:rtl/>
        </w:rPr>
        <w:t>הציב אותם במבצר על גבול מצרים וכוש נגד גורמים חתרניים בדרום מצרים, שמצדם פ</w:t>
      </w:r>
      <w:r>
        <w:rPr>
          <w:rFonts w:hint="cs"/>
          <w:rtl/>
        </w:rPr>
        <w:t>י</w:t>
      </w:r>
      <w:r w:rsidRPr="00661576">
        <w:rPr>
          <w:rFonts w:hint="cs"/>
          <w:rtl/>
        </w:rPr>
        <w:t>תחו איבה כלפי היהודים האלה וכלפי מקדש הבמה שלהם עד כדי החרבתו.</w:t>
      </w:r>
      <w:r w:rsidRPr="00661576">
        <w:rPr>
          <w:rStyle w:val="a5"/>
          <w:rtl/>
        </w:rPr>
        <w:footnoteReference w:id="19"/>
      </w:r>
    </w:p>
    <w:p w14:paraId="450FEEF1" w14:textId="77777777" w:rsidR="00E0044E" w:rsidRPr="00661576" w:rsidRDefault="00E0044E" w:rsidP="00220583">
      <w:pPr>
        <w:rPr>
          <w:rtl/>
        </w:rPr>
      </w:pPr>
      <w:r w:rsidRPr="00661576">
        <w:rPr>
          <w:rFonts w:hint="cs"/>
          <w:rtl/>
        </w:rPr>
        <w:t xml:space="preserve">2. </w:t>
      </w:r>
      <w:r>
        <w:rPr>
          <w:rFonts w:hint="cs"/>
          <w:rtl/>
        </w:rPr>
        <w:t>'</w:t>
      </w:r>
      <w:r w:rsidRPr="00661576">
        <w:rPr>
          <w:rFonts w:hint="cs"/>
          <w:rtl/>
        </w:rPr>
        <w:t>המלך</w:t>
      </w:r>
      <w:r>
        <w:rPr>
          <w:rFonts w:hint="cs"/>
          <w:rtl/>
        </w:rPr>
        <w:t>'</w:t>
      </w:r>
      <w:r w:rsidRPr="00661576">
        <w:rPr>
          <w:rFonts w:hint="cs"/>
          <w:rtl/>
        </w:rPr>
        <w:t xml:space="preserve"> גם יכול היה לראות בנוכחות היהודי</w:t>
      </w:r>
      <w:r>
        <w:rPr>
          <w:rFonts w:hint="cs"/>
          <w:rtl/>
        </w:rPr>
        <w:t>ם</w:t>
      </w:r>
      <w:r w:rsidRPr="00661576">
        <w:rPr>
          <w:rFonts w:hint="cs"/>
          <w:rtl/>
        </w:rPr>
        <w:t xml:space="preserve"> "</w:t>
      </w:r>
      <w:r w:rsidRPr="006C39DD">
        <w:rPr>
          <w:rtl/>
        </w:rPr>
        <w:t>מֵהֹדּוּ וְעַד כּוּשׁ</w:t>
      </w:r>
      <w:r w:rsidRPr="00661576">
        <w:rPr>
          <w:rFonts w:hint="cs"/>
          <w:rtl/>
        </w:rPr>
        <w:t>"</w:t>
      </w:r>
      <w:r>
        <w:rPr>
          <w:rFonts w:hint="cs"/>
          <w:rtl/>
        </w:rPr>
        <w:t xml:space="preserve">, </w:t>
      </w:r>
      <w:r w:rsidRPr="00661576">
        <w:rPr>
          <w:rFonts w:hint="cs"/>
          <w:rtl/>
        </w:rPr>
        <w:t>עם הקשרים ב</w:t>
      </w:r>
      <w:r>
        <w:rPr>
          <w:rFonts w:hint="cs"/>
          <w:rtl/>
        </w:rPr>
        <w:t>יניהם וההיבדלות משכניהם,</w:t>
      </w:r>
      <w:r w:rsidRPr="00661576">
        <w:rPr>
          <w:rFonts w:hint="cs"/>
          <w:rtl/>
        </w:rPr>
        <w:t xml:space="preserve"> סכנה פוטנציאלית לשלטון, בסיס של כוח </w:t>
      </w:r>
      <w:r>
        <w:rPr>
          <w:rFonts w:hint="cs"/>
          <w:rtl/>
        </w:rPr>
        <w:t>חלופי</w:t>
      </w:r>
      <w:r w:rsidRPr="00661576">
        <w:rPr>
          <w:rFonts w:hint="cs"/>
          <w:rtl/>
        </w:rPr>
        <w:t xml:space="preserve"> שעלול לתת יד למי שנושאים עיניים להחלפת השלטון מבפנים או למיגורו מבחוץ. כל המאמצים היהודיים לגלות נאמנות עלולים היו להיתפס כחלק מקשר אפל ומסוכן.</w:t>
      </w:r>
    </w:p>
    <w:p w14:paraId="0F4E6D18" w14:textId="77777777" w:rsidR="00E0044E" w:rsidRPr="00661576" w:rsidRDefault="00E0044E" w:rsidP="00220583">
      <w:pPr>
        <w:rPr>
          <w:rtl/>
        </w:rPr>
      </w:pPr>
      <w:r w:rsidRPr="00661576">
        <w:rPr>
          <w:rFonts w:hint="cs"/>
          <w:rtl/>
        </w:rPr>
        <w:t>האפשרות הראשונה הולידה את מקומם ו</w:t>
      </w:r>
      <w:r>
        <w:rPr>
          <w:rFonts w:hint="cs"/>
          <w:rtl/>
        </w:rPr>
        <w:t xml:space="preserve">את </w:t>
      </w:r>
      <w:r w:rsidRPr="00661576">
        <w:rPr>
          <w:rFonts w:hint="cs"/>
          <w:rtl/>
        </w:rPr>
        <w:t>תפקידם של מרדכי מכאן ושל עזרא ונחמיה מכאן, ותופעות כמו יהודי יֵב במקומות אסטרטגיים במרחבי האימפריה.</w:t>
      </w:r>
      <w:r>
        <w:rPr>
          <w:rFonts w:hint="cs"/>
          <w:rtl/>
        </w:rPr>
        <w:t xml:space="preserve"> </w:t>
      </w:r>
      <w:r w:rsidRPr="00661576">
        <w:rPr>
          <w:rFonts w:hint="cs"/>
          <w:rtl/>
        </w:rPr>
        <w:t>האפשרות השנייה הולידה את הפחדים שהעלו את המן ואפשרו את פעולתו.</w:t>
      </w:r>
    </w:p>
    <w:p w14:paraId="4EBBE784" w14:textId="77777777" w:rsidR="00E0044E" w:rsidRPr="00661576" w:rsidRDefault="00E0044E" w:rsidP="00220583">
      <w:pPr>
        <w:rPr>
          <w:rtl/>
        </w:rPr>
      </w:pPr>
      <w:r>
        <w:rPr>
          <w:rFonts w:hint="cs"/>
          <w:rtl/>
        </w:rPr>
        <w:t>'</w:t>
      </w:r>
      <w:r w:rsidRPr="00661576">
        <w:rPr>
          <w:rFonts w:hint="cs"/>
          <w:rtl/>
        </w:rPr>
        <w:t>המלך</w:t>
      </w:r>
      <w:r>
        <w:rPr>
          <w:rFonts w:hint="cs"/>
          <w:rtl/>
        </w:rPr>
        <w:t>'</w:t>
      </w:r>
      <w:r w:rsidRPr="00661576">
        <w:rPr>
          <w:rFonts w:hint="cs"/>
          <w:rtl/>
        </w:rPr>
        <w:t xml:space="preserve"> פעל בעיקר בכיוון הראשון, אך קיננו בו גם חששות מן האפשרות השנייה. הוא השתמש ביהודים לטובת שלטונו בכל מקום שה</w:t>
      </w:r>
      <w:r>
        <w:rPr>
          <w:rFonts w:hint="cs"/>
          <w:rtl/>
        </w:rPr>
        <w:t>דבר</w:t>
      </w:r>
      <w:r w:rsidRPr="00661576">
        <w:rPr>
          <w:rFonts w:hint="cs"/>
          <w:rtl/>
        </w:rPr>
        <w:t xml:space="preserve"> היה נחוץ, א</w:t>
      </w:r>
      <w:r>
        <w:rPr>
          <w:rFonts w:hint="cs"/>
          <w:rtl/>
        </w:rPr>
        <w:t>ך</w:t>
      </w:r>
      <w:r w:rsidRPr="00661576">
        <w:rPr>
          <w:rFonts w:hint="cs"/>
          <w:rtl/>
        </w:rPr>
        <w:t xml:space="preserve"> לעתים קרובות </w:t>
      </w:r>
      <w:r w:rsidRPr="00C95346">
        <w:rPr>
          <w:rtl/>
        </w:rPr>
        <w:t>השתכנע שיש צורך לפייס</w:t>
      </w:r>
      <w:r w:rsidRPr="00661576">
        <w:rPr>
          <w:rFonts w:hint="cs"/>
          <w:rtl/>
        </w:rPr>
        <w:t xml:space="preserve"> את הגורמים המקומיים, כמו המצרים בדרום מצרים, על חשבון היהודים השונים מהם, אף שהיו נאמנים </w:t>
      </w:r>
      <w:r>
        <w:rPr>
          <w:rFonts w:hint="cs"/>
          <w:rtl/>
        </w:rPr>
        <w:t>לו</w:t>
      </w:r>
      <w:r w:rsidRPr="00661576">
        <w:rPr>
          <w:rFonts w:hint="cs"/>
          <w:rtl/>
        </w:rPr>
        <w:t xml:space="preserve"> ולא הייתה להם שום משענת אחרת. כל פעולה של יהודים נאמנים נגד המקומיים לטובת שלטון </w:t>
      </w:r>
      <w:r>
        <w:rPr>
          <w:rFonts w:hint="cs"/>
          <w:rtl/>
        </w:rPr>
        <w:t>'</w:t>
      </w:r>
      <w:r w:rsidRPr="00661576">
        <w:rPr>
          <w:rFonts w:hint="cs"/>
          <w:rtl/>
        </w:rPr>
        <w:t>המלך</w:t>
      </w:r>
      <w:r>
        <w:rPr>
          <w:rFonts w:hint="cs"/>
          <w:rtl/>
        </w:rPr>
        <w:t>'</w:t>
      </w:r>
      <w:r w:rsidRPr="00661576">
        <w:rPr>
          <w:rFonts w:hint="cs"/>
          <w:rtl/>
        </w:rPr>
        <w:t xml:space="preserve"> </w:t>
      </w:r>
      <w:r>
        <w:rPr>
          <w:rFonts w:hint="cs"/>
          <w:rtl/>
        </w:rPr>
        <w:t xml:space="preserve">הייתה </w:t>
      </w:r>
      <w:r w:rsidRPr="00661576">
        <w:rPr>
          <w:rFonts w:hint="cs"/>
          <w:rtl/>
        </w:rPr>
        <w:t>יכ</w:t>
      </w:r>
      <w:r>
        <w:rPr>
          <w:rFonts w:hint="cs"/>
          <w:rtl/>
        </w:rPr>
        <w:t>ו</w:t>
      </w:r>
      <w:r w:rsidRPr="00661576">
        <w:rPr>
          <w:rFonts w:hint="cs"/>
          <w:rtl/>
        </w:rPr>
        <w:t xml:space="preserve">לה לחזור על ראשם במהלומה כאשר ייחלש השלטון המרכזי, או כאשר יבקש </w:t>
      </w:r>
      <w:r>
        <w:rPr>
          <w:rFonts w:hint="cs"/>
          <w:rtl/>
        </w:rPr>
        <w:t>'</w:t>
      </w:r>
      <w:r w:rsidRPr="00661576">
        <w:rPr>
          <w:rFonts w:hint="cs"/>
          <w:rtl/>
        </w:rPr>
        <w:t>המלך</w:t>
      </w:r>
      <w:r>
        <w:rPr>
          <w:rFonts w:hint="cs"/>
          <w:rtl/>
        </w:rPr>
        <w:t>'</w:t>
      </w:r>
      <w:r w:rsidRPr="00661576">
        <w:rPr>
          <w:rFonts w:hint="cs"/>
          <w:rtl/>
        </w:rPr>
        <w:t xml:space="preserve"> לפייס את המקומיים ולקנות נאמנות מצדם. כאלה היו גם הסכסוכים בין יהודים ושומרונים בארץ ישראל.</w:t>
      </w:r>
      <w:r w:rsidRPr="00661576">
        <w:rPr>
          <w:rStyle w:val="a5"/>
          <w:rtl/>
        </w:rPr>
        <w:footnoteReference w:id="20"/>
      </w:r>
    </w:p>
    <w:p w14:paraId="19AD9CD4" w14:textId="77777777" w:rsidR="00E0044E" w:rsidRPr="00661576" w:rsidRDefault="00E0044E" w:rsidP="00220583">
      <w:pPr>
        <w:rPr>
          <w:rtl/>
        </w:rPr>
      </w:pPr>
      <w:r>
        <w:rPr>
          <w:rFonts w:hint="cs"/>
          <w:rtl/>
        </w:rPr>
        <w:t>יתר על כן,</w:t>
      </w:r>
      <w:r w:rsidRPr="00661576">
        <w:rPr>
          <w:rFonts w:hint="cs"/>
          <w:rtl/>
        </w:rPr>
        <w:t xml:space="preserve"> אחת הדרכים לצמצום הסכנה מצד היהודים כגורם הנמצא בכל מקום הייתה חיזוקה של פחוות 'יהוד מדינתא'</w:t>
      </w:r>
      <w:r w:rsidRPr="00661576">
        <w:rPr>
          <w:rStyle w:val="a5"/>
          <w:rtl/>
        </w:rPr>
        <w:footnoteReference w:id="21"/>
      </w:r>
      <w:r w:rsidRPr="00661576">
        <w:rPr>
          <w:rFonts w:hint="cs"/>
          <w:rtl/>
        </w:rPr>
        <w:t xml:space="preserve"> והגברת העלייה של יהודים אליה</w:t>
      </w:r>
      <w:r>
        <w:rPr>
          <w:rFonts w:hint="cs"/>
          <w:rtl/>
        </w:rPr>
        <w:t>.</w:t>
      </w:r>
      <w:r w:rsidRPr="00661576">
        <w:rPr>
          <w:rFonts w:hint="cs"/>
          <w:rtl/>
        </w:rPr>
        <w:t xml:space="preserve"> כך אפשר היה לנסות להחזיר את 'השד היהודי' למקום מוגדר ולשוב ולראות ביהודי</w:t>
      </w:r>
      <w:r>
        <w:rPr>
          <w:rFonts w:hint="cs"/>
          <w:rtl/>
        </w:rPr>
        <w:t>ם</w:t>
      </w:r>
      <w:r w:rsidRPr="00661576">
        <w:rPr>
          <w:rFonts w:hint="cs"/>
          <w:rtl/>
        </w:rPr>
        <w:t xml:space="preserve"> בעיה מקומית ולא בינלאומית. אפשר ששיקולים כאלה עמדו לנגד עיניו של דרי</w:t>
      </w:r>
      <w:r>
        <w:rPr>
          <w:rFonts w:hint="cs"/>
          <w:rtl/>
        </w:rPr>
        <w:t>ו</w:t>
      </w:r>
      <w:r w:rsidRPr="00661576">
        <w:rPr>
          <w:rFonts w:hint="cs"/>
          <w:rtl/>
        </w:rPr>
        <w:t>וש אבי אחשורוש בתמיכתו הנחרצת בבניית המקדש בירושלים ובזכויות של 'יהוד מדינתא'.</w:t>
      </w:r>
      <w:r w:rsidRPr="00661576">
        <w:rPr>
          <w:rStyle w:val="a5"/>
          <w:rtl/>
        </w:rPr>
        <w:footnoteReference w:id="22"/>
      </w:r>
      <w:r w:rsidRPr="00661576">
        <w:rPr>
          <w:rFonts w:hint="cs"/>
          <w:rtl/>
        </w:rPr>
        <w:t xml:space="preserve"> ייתכן לפרש כך גם את תמיכתו של</w:t>
      </w:r>
      <w:r>
        <w:rPr>
          <w:rFonts w:hint="cs"/>
          <w:rtl/>
        </w:rPr>
        <w:t xml:space="preserve"> אַרתַחשַׁסתא בן אחשורוש </w:t>
      </w:r>
      <w:r w:rsidRPr="00661576">
        <w:rPr>
          <w:rFonts w:hint="cs"/>
          <w:rtl/>
        </w:rPr>
        <w:t xml:space="preserve">במינויו </w:t>
      </w:r>
      <w:r>
        <w:rPr>
          <w:rFonts w:hint="cs"/>
          <w:rtl/>
        </w:rPr>
        <w:t>של נחמיה ל</w:t>
      </w:r>
      <w:r w:rsidRPr="00661576">
        <w:rPr>
          <w:rFonts w:hint="cs"/>
          <w:rtl/>
        </w:rPr>
        <w:t>פֶחה ובבניית חומות ירושלים.</w:t>
      </w:r>
      <w:r w:rsidRPr="00661576">
        <w:rPr>
          <w:rStyle w:val="a5"/>
          <w:rtl/>
        </w:rPr>
        <w:footnoteReference w:id="23"/>
      </w:r>
      <w:r w:rsidRPr="00661576">
        <w:rPr>
          <w:rFonts w:hint="cs"/>
          <w:rtl/>
        </w:rPr>
        <w:t xml:space="preserve"> מול התסיסה של </w:t>
      </w:r>
      <w:r>
        <w:rPr>
          <w:rFonts w:hint="cs"/>
          <w:rtl/>
        </w:rPr>
        <w:t>'צר</w:t>
      </w:r>
      <w:r w:rsidRPr="00661576">
        <w:rPr>
          <w:rFonts w:hint="cs"/>
          <w:rtl/>
        </w:rPr>
        <w:t>י יהודה</w:t>
      </w:r>
      <w:r>
        <w:rPr>
          <w:rFonts w:hint="cs"/>
          <w:rtl/>
        </w:rPr>
        <w:t>'</w:t>
      </w:r>
      <w:r w:rsidRPr="00661576">
        <w:rPr>
          <w:rFonts w:hint="cs"/>
          <w:rtl/>
        </w:rPr>
        <w:t xml:space="preserve"> ואזהרותיהם ממרידות צפויות של ירושלים הבצורה תוך איום על הדרכים למצרים (כמו בימי אשור ובבל),</w:t>
      </w:r>
      <w:r w:rsidRPr="00661576">
        <w:rPr>
          <w:rStyle w:val="a5"/>
          <w:rtl/>
        </w:rPr>
        <w:footnoteReference w:id="24"/>
      </w:r>
      <w:r w:rsidRPr="00661576">
        <w:rPr>
          <w:rFonts w:hint="cs"/>
          <w:rtl/>
        </w:rPr>
        <w:t xml:space="preserve"> ניצב הצורך של האימפריה לצמצם תסיסות בין יהודים </w:t>
      </w:r>
      <w:r>
        <w:rPr>
          <w:rFonts w:hint="cs"/>
          <w:rtl/>
        </w:rPr>
        <w:t>ו</w:t>
      </w:r>
      <w:r w:rsidRPr="00661576">
        <w:rPr>
          <w:rFonts w:hint="cs"/>
          <w:rtl/>
        </w:rPr>
        <w:t>בין שכניהם במקומות רבים במרחבי האימפריה</w:t>
      </w:r>
      <w:r>
        <w:rPr>
          <w:rFonts w:hint="cs"/>
          <w:rtl/>
        </w:rPr>
        <w:t>, בין השאר</w:t>
      </w:r>
      <w:r w:rsidRPr="00661576">
        <w:rPr>
          <w:rFonts w:hint="cs"/>
          <w:rtl/>
        </w:rPr>
        <w:t xml:space="preserve"> על ידי עידוד חזרת</w:t>
      </w:r>
      <w:r>
        <w:rPr>
          <w:rFonts w:hint="cs"/>
          <w:rtl/>
        </w:rPr>
        <w:t xml:space="preserve"> היהודים ליהודה.</w:t>
      </w:r>
    </w:p>
    <w:p w14:paraId="34663DBE" w14:textId="77777777" w:rsidR="00E0044E" w:rsidRPr="00661576" w:rsidRDefault="00E0044E" w:rsidP="00220583">
      <w:pPr>
        <w:rPr>
          <w:rtl/>
        </w:rPr>
      </w:pPr>
      <w:r w:rsidRPr="00661576">
        <w:rPr>
          <w:rFonts w:hint="cs"/>
          <w:rtl/>
        </w:rPr>
        <w:t>מדיניות תומכת ביהודה לא חפפה בהכרח מדיניות תומכת ב</w:t>
      </w:r>
      <w:r>
        <w:rPr>
          <w:rFonts w:hint="cs"/>
          <w:rtl/>
        </w:rPr>
        <w:t>'</w:t>
      </w:r>
      <w:r w:rsidRPr="00661576">
        <w:rPr>
          <w:rFonts w:hint="cs"/>
          <w:rtl/>
        </w:rPr>
        <w:t>מרדכי היהודי</w:t>
      </w:r>
      <w:r>
        <w:rPr>
          <w:rFonts w:hint="cs"/>
          <w:rtl/>
        </w:rPr>
        <w:t>'</w:t>
      </w:r>
      <w:r w:rsidRPr="00661576">
        <w:rPr>
          <w:rFonts w:hint="cs"/>
          <w:rtl/>
        </w:rPr>
        <w:t xml:space="preserve"> ודומיו. אולי לא במקרה 'יהודה' </w:t>
      </w:r>
      <w:r>
        <w:rPr>
          <w:rFonts w:hint="cs"/>
          <w:rtl/>
        </w:rPr>
        <w:t xml:space="preserve">אינה </w:t>
      </w:r>
      <w:r w:rsidRPr="00661576">
        <w:rPr>
          <w:rFonts w:hint="cs"/>
          <w:rtl/>
        </w:rPr>
        <w:t>נזכרת במגילת אסתר כלל,</w:t>
      </w:r>
      <w:r w:rsidRPr="00661576">
        <w:rPr>
          <w:rStyle w:val="a5"/>
          <w:rtl/>
        </w:rPr>
        <w:footnoteReference w:id="25"/>
      </w:r>
      <w:r w:rsidRPr="00661576">
        <w:rPr>
          <w:rFonts w:hint="cs"/>
          <w:rtl/>
        </w:rPr>
        <w:t xml:space="preserve"> וירושלים נזכרת רק כמקום שממנו הוגלו אבות אבותיו של מרדכי, כלומר כמקום ש</w:t>
      </w:r>
      <w:r>
        <w:rPr>
          <w:rFonts w:hint="cs"/>
          <w:rtl/>
        </w:rPr>
        <w:t>היה מרכזי רק בעבר</w:t>
      </w:r>
      <w:r w:rsidRPr="00661576">
        <w:rPr>
          <w:rFonts w:hint="cs"/>
          <w:rtl/>
        </w:rPr>
        <w:t>.</w:t>
      </w:r>
    </w:p>
    <w:p w14:paraId="515B7BDD" w14:textId="77777777" w:rsidR="00E0044E" w:rsidRPr="00661576" w:rsidRDefault="00E0044E" w:rsidP="00220583">
      <w:pPr>
        <w:rPr>
          <w:rtl/>
        </w:rPr>
      </w:pPr>
      <w:r>
        <w:rPr>
          <w:rFonts w:hint="cs"/>
          <w:rtl/>
        </w:rPr>
        <w:t>מצד שני</w:t>
      </w:r>
      <w:r w:rsidRPr="00661576">
        <w:rPr>
          <w:rFonts w:hint="cs"/>
          <w:rtl/>
        </w:rPr>
        <w:t xml:space="preserve">, בספרי עזרא ונחמיה עולמם ועתידם של היהודים </w:t>
      </w:r>
      <w:r>
        <w:rPr>
          <w:rFonts w:hint="cs"/>
          <w:rtl/>
        </w:rPr>
        <w:t>מצויים</w:t>
      </w:r>
      <w:r w:rsidRPr="00661576">
        <w:rPr>
          <w:rFonts w:hint="cs"/>
          <w:rtl/>
        </w:rPr>
        <w:t xml:space="preserve"> ביהודה ובירושלים</w:t>
      </w:r>
      <w:r>
        <w:rPr>
          <w:rFonts w:hint="cs"/>
          <w:rtl/>
        </w:rPr>
        <w:t xml:space="preserve"> בלבד</w:t>
      </w:r>
      <w:r w:rsidRPr="00661576">
        <w:rPr>
          <w:rFonts w:hint="cs"/>
          <w:rtl/>
        </w:rPr>
        <w:t>, ואחשורוש נזכר רק בפסוק בודד, שהוא כמו אנטיתזה למגילת אסתר כולה</w:t>
      </w:r>
      <w:r>
        <w:rPr>
          <w:rFonts w:hint="cs"/>
          <w:rtl/>
        </w:rPr>
        <w:t>:</w:t>
      </w:r>
      <w:r w:rsidRPr="00661576">
        <w:rPr>
          <w:rFonts w:hint="cs"/>
          <w:rtl/>
        </w:rPr>
        <w:t xml:space="preserve"> "</w:t>
      </w:r>
      <w:r w:rsidRPr="00BC6DD1">
        <w:rPr>
          <w:rtl/>
        </w:rPr>
        <w:t>וּבְמַלְכוּת אֲחַשְׁוֵרוֹשׁ בִּתְחִלַּת מַלְכוּתוֹ כָּתְבוּ שִׂטְנָה עַל יֹ</w:t>
      </w:r>
      <w:r>
        <w:rPr>
          <w:rtl/>
        </w:rPr>
        <w:t>שְׁבֵי יְהוּדָה וִירוּשָׁלִָ</w:t>
      </w:r>
      <w:r>
        <w:rPr>
          <w:rFonts w:hint="cs"/>
          <w:rtl/>
        </w:rPr>
        <w:t>ִ</w:t>
      </w:r>
      <w:r>
        <w:rPr>
          <w:rtl/>
        </w:rPr>
        <w:t>ם</w:t>
      </w:r>
      <w:r w:rsidRPr="00661576">
        <w:rPr>
          <w:rFonts w:hint="cs"/>
          <w:rtl/>
        </w:rPr>
        <w:t>" (עזרא ד', ו).</w:t>
      </w:r>
    </w:p>
    <w:p w14:paraId="3DAB9EF5" w14:textId="77777777" w:rsidR="00E0044E" w:rsidRPr="00661576" w:rsidRDefault="00E0044E" w:rsidP="00220583">
      <w:pPr>
        <w:rPr>
          <w:rtl/>
        </w:rPr>
      </w:pPr>
      <w:r w:rsidRPr="00661576">
        <w:rPr>
          <w:rFonts w:hint="cs"/>
          <w:rtl/>
        </w:rPr>
        <w:t xml:space="preserve">נשוב עתה להתבונן בדברי המן למלך אחשורוש </w:t>
      </w:r>
      <w:r>
        <w:rPr>
          <w:rFonts w:hint="cs"/>
          <w:rtl/>
        </w:rPr>
        <w:t>(ג', ח</w:t>
      </w:r>
      <w:r>
        <w:rPr>
          <w:rtl/>
        </w:rPr>
        <w:noBreakHyphen/>
      </w:r>
      <w:r>
        <w:rPr>
          <w:rFonts w:hint="cs"/>
          <w:rtl/>
        </w:rPr>
        <w:t xml:space="preserve">ט) </w:t>
      </w:r>
      <w:r w:rsidRPr="00661576">
        <w:rPr>
          <w:rFonts w:hint="cs"/>
          <w:rtl/>
        </w:rPr>
        <w:t>המשקפים את חששות המלך, שכנראה כבר היו ידועים להמן ולכל ההנהג</w:t>
      </w:r>
      <w:r>
        <w:rPr>
          <w:rFonts w:hint="cs"/>
          <w:rtl/>
        </w:rPr>
        <w:t>ה הפרסית, מפני שדובר בהם לא מעט:</w:t>
      </w:r>
    </w:p>
    <w:p w14:paraId="7BFDF664" w14:textId="77777777" w:rsidR="00E0044E" w:rsidRPr="00661576" w:rsidRDefault="00E0044E" w:rsidP="00220583">
      <w:pPr>
        <w:rPr>
          <w:rtl/>
        </w:rPr>
      </w:pPr>
      <w:r w:rsidRPr="00661576">
        <w:rPr>
          <w:rFonts w:hint="cs"/>
          <w:rtl/>
        </w:rPr>
        <w:t>"</w:t>
      </w:r>
      <w:r w:rsidRPr="0067023B">
        <w:rPr>
          <w:rtl/>
        </w:rPr>
        <w:t>יֶשְׁנוֹ עַם אֶחָד מְפֻזָּר וּמְפֹרָד בֵּין הָעַמִּים בְּכֹל מְדִינוֹת מַלְכוּתֶךָ</w:t>
      </w:r>
      <w:r w:rsidRPr="00661576">
        <w:rPr>
          <w:rFonts w:hint="cs"/>
          <w:rtl/>
        </w:rPr>
        <w:t xml:space="preserve">" </w:t>
      </w:r>
      <w:r>
        <w:rPr>
          <w:rtl/>
        </w:rPr>
        <w:t>—</w:t>
      </w:r>
      <w:r w:rsidRPr="00661576">
        <w:rPr>
          <w:rFonts w:hint="cs"/>
          <w:rtl/>
        </w:rPr>
        <w:t xml:space="preserve"> והמלך משתמש בהם אך גם חושש מהם</w:t>
      </w:r>
      <w:r>
        <w:rPr>
          <w:rFonts w:hint="cs"/>
          <w:rtl/>
        </w:rPr>
        <w:t xml:space="preserve"> ובצדק.</w:t>
      </w:r>
    </w:p>
    <w:p w14:paraId="58E24EEA" w14:textId="77777777" w:rsidR="00E0044E" w:rsidRPr="00661576" w:rsidRDefault="00E0044E" w:rsidP="00220583">
      <w:pPr>
        <w:rPr>
          <w:rtl/>
        </w:rPr>
      </w:pPr>
      <w:r w:rsidRPr="00661576">
        <w:rPr>
          <w:rFonts w:hint="cs"/>
          <w:rtl/>
        </w:rPr>
        <w:t>"</w:t>
      </w:r>
      <w:r w:rsidRPr="0067023B">
        <w:rPr>
          <w:rtl/>
        </w:rPr>
        <w:t>וְדָתֵיהֶם שֹׁנוֹת מִכָּל עָם</w:t>
      </w:r>
      <w:r w:rsidRPr="00661576">
        <w:rPr>
          <w:rFonts w:hint="cs"/>
          <w:rtl/>
        </w:rPr>
        <w:t xml:space="preserve">" </w:t>
      </w:r>
      <w:r>
        <w:rPr>
          <w:rtl/>
        </w:rPr>
        <w:t>—</w:t>
      </w:r>
      <w:r w:rsidRPr="00661576">
        <w:rPr>
          <w:rFonts w:hint="cs"/>
          <w:rtl/>
        </w:rPr>
        <w:t xml:space="preserve"> ולכן הם נבדלים משכניהם עד שאלה שונאים אותם, ויש תסיסות בכל מקום</w:t>
      </w:r>
      <w:r>
        <w:rPr>
          <w:rFonts w:hint="cs"/>
          <w:rtl/>
        </w:rPr>
        <w:t xml:space="preserve">. </w:t>
      </w:r>
      <w:r w:rsidRPr="00661576">
        <w:rPr>
          <w:rFonts w:hint="cs"/>
          <w:rtl/>
        </w:rPr>
        <w:t>אם אנחנו תומכים ביהודים נגד שכני</w:t>
      </w:r>
      <w:r>
        <w:rPr>
          <w:rFonts w:hint="cs"/>
          <w:rtl/>
        </w:rPr>
        <w:t>ה</w:t>
      </w:r>
      <w:r w:rsidRPr="00661576">
        <w:rPr>
          <w:rFonts w:hint="cs"/>
          <w:rtl/>
        </w:rPr>
        <w:t>ם, השכנים שונאים אותנו, וזה רק מחליש את שלטונך, אדוני המלך</w:t>
      </w:r>
      <w:r>
        <w:rPr>
          <w:rFonts w:hint="cs"/>
          <w:rtl/>
        </w:rPr>
        <w:t>.</w:t>
      </w:r>
    </w:p>
    <w:p w14:paraId="7CFA591F" w14:textId="77777777" w:rsidR="00E0044E" w:rsidRPr="00661576" w:rsidRDefault="00E0044E" w:rsidP="00220583">
      <w:pPr>
        <w:rPr>
          <w:rtl/>
        </w:rPr>
      </w:pPr>
      <w:r w:rsidRPr="00661576">
        <w:rPr>
          <w:rFonts w:hint="cs"/>
          <w:rtl/>
        </w:rPr>
        <w:t>"</w:t>
      </w:r>
      <w:r w:rsidRPr="0067023B">
        <w:rPr>
          <w:rtl/>
        </w:rPr>
        <w:t>וְאֶת דָּתֵי הַמֶּלֶךְ אֵינָם עֹשִׂים</w:t>
      </w:r>
      <w:r w:rsidRPr="00661576">
        <w:rPr>
          <w:rFonts w:hint="cs"/>
          <w:rtl/>
        </w:rPr>
        <w:t xml:space="preserve">" </w:t>
      </w:r>
      <w:r>
        <w:rPr>
          <w:rtl/>
        </w:rPr>
        <w:t>—</w:t>
      </w:r>
      <w:r w:rsidRPr="00661576">
        <w:rPr>
          <w:rFonts w:hint="cs"/>
          <w:rtl/>
        </w:rPr>
        <w:t xml:space="preserve"> אל יתרשם המלך מנאמנותם החיצונית, כי באמת הם נאמנים ליהדותם</w:t>
      </w:r>
      <w:r>
        <w:rPr>
          <w:rFonts w:hint="cs"/>
          <w:rtl/>
        </w:rPr>
        <w:t xml:space="preserve"> בלבד</w:t>
      </w:r>
      <w:r w:rsidRPr="00661576">
        <w:rPr>
          <w:rFonts w:hint="cs"/>
          <w:rtl/>
        </w:rPr>
        <w:t>, ובעת מבחן ה</w:t>
      </w:r>
      <w:r>
        <w:rPr>
          <w:rFonts w:hint="cs"/>
          <w:rtl/>
        </w:rPr>
        <w:t>דבר יתברר.</w:t>
      </w:r>
    </w:p>
    <w:p w14:paraId="2B39EC9B" w14:textId="77777777" w:rsidR="00E0044E" w:rsidRPr="00661576" w:rsidRDefault="00E0044E" w:rsidP="00220583">
      <w:pPr>
        <w:rPr>
          <w:rtl/>
        </w:rPr>
      </w:pPr>
      <w:r w:rsidRPr="00661576">
        <w:rPr>
          <w:rFonts w:hint="cs"/>
          <w:rtl/>
        </w:rPr>
        <w:t>"</w:t>
      </w:r>
      <w:r w:rsidRPr="0067023B">
        <w:rPr>
          <w:rtl/>
        </w:rPr>
        <w:t>וְלַמֶּלֶךְ אֵין שֹׁוֶה לְהַנִּיחָם</w:t>
      </w:r>
      <w:r w:rsidRPr="00661576">
        <w:rPr>
          <w:rFonts w:hint="cs"/>
          <w:rtl/>
        </w:rPr>
        <w:t xml:space="preserve">" </w:t>
      </w:r>
      <w:r>
        <w:rPr>
          <w:rtl/>
        </w:rPr>
        <w:t>—</w:t>
      </w:r>
      <w:r w:rsidRPr="00661576">
        <w:rPr>
          <w:rFonts w:hint="cs"/>
          <w:rtl/>
        </w:rPr>
        <w:t xml:space="preserve"> השירות שהם נותנים</w:t>
      </w:r>
      <w:r>
        <w:rPr>
          <w:rFonts w:hint="cs"/>
          <w:rtl/>
        </w:rPr>
        <w:t>,</w:t>
      </w:r>
      <w:r w:rsidRPr="00661576">
        <w:rPr>
          <w:rFonts w:hint="cs"/>
          <w:rtl/>
        </w:rPr>
        <w:t xml:space="preserve"> אדוני המלך, איננו שווה לנזק שהם גורמים, וחמו</w:t>
      </w:r>
      <w:r>
        <w:rPr>
          <w:rFonts w:hint="cs"/>
          <w:rtl/>
        </w:rPr>
        <w:t>ר מזה הנזק שהם עוד עלולים לגרום.</w:t>
      </w:r>
    </w:p>
    <w:p w14:paraId="6836B0FA" w14:textId="77777777" w:rsidR="00E0044E" w:rsidRDefault="00E0044E" w:rsidP="00220583">
      <w:pPr>
        <w:rPr>
          <w:rtl/>
        </w:rPr>
      </w:pPr>
      <w:r w:rsidRPr="00661576">
        <w:rPr>
          <w:rFonts w:hint="cs"/>
          <w:rtl/>
        </w:rPr>
        <w:t>"</w:t>
      </w:r>
      <w:r>
        <w:rPr>
          <w:rtl/>
        </w:rPr>
        <w:t>אִם עַל הַמֶּלֶךְ טוֹב יִכָּתֵב לְאַבְּדָם</w:t>
      </w:r>
      <w:r w:rsidRPr="00661576">
        <w:rPr>
          <w:rFonts w:hint="cs"/>
          <w:rtl/>
        </w:rPr>
        <w:t xml:space="preserve">" </w:t>
      </w:r>
      <w:r>
        <w:rPr>
          <w:rtl/>
        </w:rPr>
        <w:t>—</w:t>
      </w:r>
      <w:r w:rsidRPr="00661576">
        <w:rPr>
          <w:rFonts w:hint="cs"/>
          <w:rtl/>
        </w:rPr>
        <w:t xml:space="preserve"> ריכוזם ביהודה כבר גורם צרות רבות, כמו שאומרים כל השכנים שלהם, ופיזורם בכל הממלכה מסוכן לשלטון המלך, ולכן טוב להאבידם</w:t>
      </w:r>
      <w:r>
        <w:rPr>
          <w:rFonts w:hint="cs"/>
          <w:rtl/>
        </w:rPr>
        <w:t>.</w:t>
      </w:r>
      <w:r w:rsidRPr="00661576">
        <w:rPr>
          <w:rFonts w:hint="cs"/>
          <w:rtl/>
        </w:rPr>
        <w:t xml:space="preserve"> "</w:t>
      </w:r>
      <w:r>
        <w:rPr>
          <w:rtl/>
        </w:rPr>
        <w:t>וַעֲשֶׂרֶת אֲלָפִים כִּכַּר כֶּסֶף אֶשְׁקוֹל עַל יְדֵי עֹשֵׂי הַמְּלָאכָה לְהָבִיא אֶל גִּנְזֵי הַמֶּלֶךְ</w:t>
      </w:r>
      <w:r w:rsidRPr="00661576">
        <w:rPr>
          <w:rFonts w:hint="cs"/>
          <w:rtl/>
        </w:rPr>
        <w:t xml:space="preserve">" </w:t>
      </w:r>
      <w:r>
        <w:rPr>
          <w:rtl/>
        </w:rPr>
        <w:t>—</w:t>
      </w:r>
      <w:r w:rsidRPr="00661576">
        <w:rPr>
          <w:rFonts w:hint="cs"/>
          <w:rtl/>
        </w:rPr>
        <w:t xml:space="preserve"> כך שחיסול היהודים לא יעלה כסף לאוצר המלך</w:t>
      </w:r>
      <w:r>
        <w:rPr>
          <w:rFonts w:hint="cs"/>
          <w:rtl/>
        </w:rPr>
        <w:t>, כי הכסף של המן יכסה את ההוצאה</w:t>
      </w:r>
      <w:r w:rsidRPr="00661576">
        <w:rPr>
          <w:rFonts w:hint="cs"/>
          <w:rtl/>
        </w:rPr>
        <w:t>.</w:t>
      </w:r>
    </w:p>
    <w:p w14:paraId="15304947" w14:textId="77777777" w:rsidR="00E0044E" w:rsidRDefault="00E0044E" w:rsidP="00220583">
      <w:pPr>
        <w:spacing w:before="120"/>
        <w:rPr>
          <w:rtl/>
        </w:rPr>
      </w:pPr>
      <w:r w:rsidRPr="00661576">
        <w:rPr>
          <w:rFonts w:hint="cs"/>
          <w:rtl/>
        </w:rPr>
        <w:t>תשובת המלך ברורה גם היא</w:t>
      </w:r>
      <w:r>
        <w:rPr>
          <w:rFonts w:hint="cs"/>
          <w:rtl/>
        </w:rPr>
        <w:t>:</w:t>
      </w:r>
      <w:r w:rsidRPr="00661576">
        <w:rPr>
          <w:rFonts w:hint="cs"/>
          <w:rtl/>
        </w:rPr>
        <w:t xml:space="preserve"> "</w:t>
      </w:r>
      <w:r>
        <w:rPr>
          <w:rtl/>
        </w:rPr>
        <w:t>הַכֶּסֶף נָתוּן לָךְ וְהָעָם לַעֲשׂוֹת בּוֹ כַּטּוֹב בְּעֵינֶיךָ</w:t>
      </w:r>
      <w:r w:rsidRPr="00661576">
        <w:rPr>
          <w:rFonts w:hint="cs"/>
          <w:rtl/>
        </w:rPr>
        <w:t xml:space="preserve">" </w:t>
      </w:r>
      <w:r>
        <w:rPr>
          <w:rtl/>
        </w:rPr>
        <w:t>—</w:t>
      </w:r>
      <w:r w:rsidRPr="00661576">
        <w:rPr>
          <w:rFonts w:hint="cs"/>
          <w:rtl/>
        </w:rPr>
        <w:t xml:space="preserve"> אל יסבך המן את אוצר המלך בתשלום לקבוצות המחסלים שלו</w:t>
      </w:r>
      <w:r>
        <w:rPr>
          <w:rFonts w:hint="cs"/>
          <w:rtl/>
        </w:rPr>
        <w:t>,</w:t>
      </w:r>
      <w:r w:rsidRPr="00661576">
        <w:rPr>
          <w:rFonts w:hint="cs"/>
          <w:rtl/>
        </w:rPr>
        <w:t xml:space="preserve"> אלא יעשה זאת בעצמו על חשבונו </w:t>
      </w:r>
      <w:r>
        <w:rPr>
          <w:rtl/>
        </w:rPr>
        <w:t>—</w:t>
      </w:r>
      <w:r w:rsidRPr="00661576">
        <w:rPr>
          <w:rFonts w:hint="cs"/>
          <w:rtl/>
        </w:rPr>
        <w:t xml:space="preserve"> כך יוכל המלך להתנער מאחריות ישירה במקרה הצורך.</w:t>
      </w:r>
    </w:p>
    <w:p w14:paraId="7877F631" w14:textId="77777777" w:rsidR="00E0044E" w:rsidRPr="00661576" w:rsidRDefault="00E0044E" w:rsidP="00220583">
      <w:pPr>
        <w:rPr>
          <w:rtl/>
        </w:rPr>
      </w:pPr>
      <w:r>
        <w:rPr>
          <w:rFonts w:hint="cs"/>
          <w:rtl/>
        </w:rPr>
        <w:t>כך, מתוך הבנת הרקע, ה</w:t>
      </w:r>
      <w:r w:rsidRPr="00661576">
        <w:rPr>
          <w:rFonts w:hint="cs"/>
          <w:rtl/>
        </w:rPr>
        <w:t>מקבל גיבוי חיוני ממאורעות אחרים הידועים לנו מתקופה</w:t>
      </w:r>
      <w:r>
        <w:rPr>
          <w:rFonts w:hint="cs"/>
          <w:rtl/>
        </w:rPr>
        <w:t xml:space="preserve"> זו</w:t>
      </w:r>
      <w:r w:rsidRPr="00661576">
        <w:rPr>
          <w:rFonts w:hint="cs"/>
          <w:rtl/>
        </w:rPr>
        <w:t xml:space="preserve"> </w:t>
      </w:r>
      <w:r>
        <w:rPr>
          <w:rFonts w:hint="cs"/>
          <w:rtl/>
        </w:rPr>
        <w:t xml:space="preserve">כמו </w:t>
      </w:r>
      <w:r w:rsidRPr="00661576">
        <w:rPr>
          <w:rFonts w:hint="cs"/>
          <w:rtl/>
        </w:rPr>
        <w:t>ספרי עזרא ונחמיה ו</w:t>
      </w:r>
      <w:r>
        <w:rPr>
          <w:rFonts w:hint="cs"/>
          <w:rtl/>
        </w:rPr>
        <w:t xml:space="preserve">מכתבי יֵב, עולה פירוש המנמק </w:t>
      </w:r>
      <w:r w:rsidRPr="00661576">
        <w:rPr>
          <w:rFonts w:hint="cs"/>
          <w:rtl/>
        </w:rPr>
        <w:t>את הצעת המן ואת הסכמת אחשורוש. בלי הרקע הזה הדברים</w:t>
      </w:r>
      <w:r>
        <w:rPr>
          <w:rFonts w:hint="cs"/>
          <w:rtl/>
        </w:rPr>
        <w:t xml:space="preserve"> </w:t>
      </w:r>
      <w:r w:rsidRPr="00661576">
        <w:rPr>
          <w:rFonts w:hint="cs"/>
          <w:rtl/>
        </w:rPr>
        <w:t xml:space="preserve">נשמעים </w:t>
      </w:r>
      <w:r>
        <w:rPr>
          <w:rFonts w:hint="cs"/>
          <w:rtl/>
        </w:rPr>
        <w:t>הזויים ותלושים</w:t>
      </w:r>
      <w:r w:rsidRPr="00661576">
        <w:rPr>
          <w:rFonts w:hint="cs"/>
          <w:rtl/>
        </w:rPr>
        <w:t>.</w:t>
      </w:r>
    </w:p>
    <w:p w14:paraId="2D2CA7FE" w14:textId="77777777" w:rsidR="00E0044E" w:rsidRPr="00661576" w:rsidRDefault="00E0044E" w:rsidP="00220583">
      <w:pPr>
        <w:pStyle w:val="31"/>
        <w:rPr>
          <w:rtl/>
        </w:rPr>
      </w:pPr>
      <w:r>
        <w:rPr>
          <w:rFonts w:hint="cs"/>
          <w:rtl/>
        </w:rPr>
        <w:t xml:space="preserve">ג. </w:t>
      </w:r>
      <w:r w:rsidRPr="00661576">
        <w:rPr>
          <w:rFonts w:hint="cs"/>
          <w:rtl/>
        </w:rPr>
        <w:t>המהפך בעמדת המלך אחשורוש</w:t>
      </w:r>
    </w:p>
    <w:p w14:paraId="25358E39" w14:textId="77777777" w:rsidR="00E0044E" w:rsidRPr="00661576" w:rsidRDefault="00E0044E" w:rsidP="00220583">
      <w:pPr>
        <w:rPr>
          <w:rtl/>
        </w:rPr>
      </w:pPr>
      <w:r w:rsidRPr="00661576">
        <w:rPr>
          <w:rFonts w:hint="cs"/>
          <w:rtl/>
        </w:rPr>
        <w:t xml:space="preserve">כך מובן גם המהפך הנפשי בעמדת המלך אחשורוש </w:t>
      </w:r>
      <w:r>
        <w:rPr>
          <w:rFonts w:hint="cs"/>
          <w:rtl/>
        </w:rPr>
        <w:t>ל</w:t>
      </w:r>
      <w:r w:rsidRPr="00661576">
        <w:rPr>
          <w:rFonts w:hint="cs"/>
          <w:rtl/>
        </w:rPr>
        <w:t>אחר שנדדה שנתו (בגלל המסתורין שבבקשה הבלתי</w:t>
      </w:r>
      <w:r w:rsidRPr="00DA786A">
        <w:rPr>
          <w:b/>
          <w:position w:val="5"/>
          <w:rtl/>
        </w:rPr>
        <w:noBreakHyphen/>
      </w:r>
      <w:r w:rsidRPr="00661576">
        <w:rPr>
          <w:rFonts w:hint="cs"/>
          <w:rtl/>
        </w:rPr>
        <w:t>צפויה של אסתר)</w:t>
      </w:r>
      <w:r>
        <w:rPr>
          <w:rFonts w:hint="cs"/>
          <w:rtl/>
        </w:rPr>
        <w:t>.</w:t>
      </w:r>
      <w:r w:rsidRPr="00661576">
        <w:rPr>
          <w:rFonts w:hint="cs"/>
          <w:rtl/>
        </w:rPr>
        <w:t xml:space="preserve"> </w:t>
      </w:r>
      <w:r>
        <w:rPr>
          <w:rFonts w:hint="cs"/>
          <w:rtl/>
        </w:rPr>
        <w:t>'</w:t>
      </w:r>
      <w:r w:rsidRPr="00661576">
        <w:rPr>
          <w:rFonts w:hint="cs"/>
          <w:rtl/>
        </w:rPr>
        <w:t>ספר הז</w:t>
      </w:r>
      <w:r>
        <w:rPr>
          <w:rFonts w:hint="cs"/>
          <w:rtl/>
        </w:rPr>
        <w:t>י</w:t>
      </w:r>
      <w:r w:rsidRPr="00661576">
        <w:rPr>
          <w:rFonts w:hint="cs"/>
          <w:rtl/>
        </w:rPr>
        <w:t>כרונות</w:t>
      </w:r>
      <w:r>
        <w:rPr>
          <w:rFonts w:hint="cs"/>
          <w:rtl/>
        </w:rPr>
        <w:t>'</w:t>
      </w:r>
      <w:r w:rsidRPr="00661576">
        <w:rPr>
          <w:rFonts w:hint="cs"/>
          <w:rtl/>
        </w:rPr>
        <w:t xml:space="preserve"> הציב את המלך בפני גילוי נאמנות בלתי</w:t>
      </w:r>
      <w:r w:rsidRPr="00DA786A">
        <w:rPr>
          <w:b/>
          <w:position w:val="5"/>
          <w:rtl/>
        </w:rPr>
        <w:noBreakHyphen/>
      </w:r>
      <w:r w:rsidRPr="00661576">
        <w:rPr>
          <w:rFonts w:hint="cs"/>
          <w:rtl/>
        </w:rPr>
        <w:t>מסויג של מרדכי היהודי בהסגרת הקושרים בגתן ותרש, וה</w:t>
      </w:r>
      <w:r>
        <w:rPr>
          <w:rFonts w:hint="cs"/>
          <w:rtl/>
        </w:rPr>
        <w:t>דבר</w:t>
      </w:r>
      <w:r w:rsidRPr="00661576">
        <w:rPr>
          <w:rFonts w:hint="cs"/>
          <w:rtl/>
        </w:rPr>
        <w:t xml:space="preserve"> היטה את כף המאזניים נגד הפחד </w:t>
      </w:r>
      <w:r>
        <w:rPr>
          <w:rFonts w:hint="cs"/>
          <w:rtl/>
        </w:rPr>
        <w:t>מ</w:t>
      </w:r>
      <w:r w:rsidRPr="00661576">
        <w:rPr>
          <w:rFonts w:hint="cs"/>
          <w:rtl/>
        </w:rPr>
        <w:t>היהודים שטיפח המן בלב המלך</w:t>
      </w:r>
      <w:r>
        <w:rPr>
          <w:rFonts w:hint="cs"/>
          <w:rtl/>
        </w:rPr>
        <w:t>.</w:t>
      </w:r>
      <w:r w:rsidRPr="00661576">
        <w:rPr>
          <w:rFonts w:hint="cs"/>
          <w:rtl/>
        </w:rPr>
        <w:t xml:space="preserve"> אדרב</w:t>
      </w:r>
      <w:r>
        <w:rPr>
          <w:rFonts w:hint="cs"/>
          <w:rtl/>
        </w:rPr>
        <w:t>א</w:t>
      </w:r>
      <w:r w:rsidRPr="00661576">
        <w:rPr>
          <w:rFonts w:hint="cs"/>
          <w:rtl/>
        </w:rPr>
        <w:t>, המן הפך בבת אחת לאיום על שלטונו</w:t>
      </w:r>
      <w:r>
        <w:rPr>
          <w:rFonts w:hint="cs"/>
          <w:rtl/>
        </w:rPr>
        <w:t>.</w:t>
      </w:r>
      <w:r w:rsidRPr="00661576">
        <w:rPr>
          <w:rFonts w:hint="cs"/>
          <w:rtl/>
        </w:rPr>
        <w:t xml:space="preserve"> בהנאה שקשה להסתירה בחן המלך את המן בבוקר, מה הוא חושב על עצמו ועל השלטון, והפיל אותו בבושת פנים לפני מרדכי היהודי הנאמן הרבה יותר. כל זה עוד לפני שאסתר חשפה "</w:t>
      </w:r>
      <w:r w:rsidRPr="003154D4">
        <w:rPr>
          <w:rtl/>
        </w:rPr>
        <w:t>אֶת עַמָּהּ וְאֶת מוֹלַדְתָּהּ</w:t>
      </w:r>
      <w:r>
        <w:rPr>
          <w:rFonts w:hint="cs"/>
          <w:rtl/>
        </w:rPr>
        <w:t xml:space="preserve">" </w:t>
      </w:r>
      <w:r w:rsidRPr="00661576">
        <w:rPr>
          <w:rFonts w:hint="cs"/>
          <w:rtl/>
        </w:rPr>
        <w:t>ואת הקשר שלה למרדכי היהודי.</w:t>
      </w:r>
    </w:p>
    <w:p w14:paraId="129DD71C" w14:textId="77777777" w:rsidR="00E0044E" w:rsidRPr="00661576" w:rsidRDefault="00E0044E" w:rsidP="00220583">
      <w:pPr>
        <w:rPr>
          <w:rtl/>
        </w:rPr>
      </w:pPr>
      <w:r w:rsidRPr="00661576">
        <w:rPr>
          <w:rFonts w:hint="cs"/>
          <w:rtl/>
        </w:rPr>
        <w:t>ההתלבטות של מלכי פרס ביחס ליהודים</w:t>
      </w:r>
      <w:r>
        <w:rPr>
          <w:rFonts w:hint="cs"/>
          <w:rtl/>
        </w:rPr>
        <w:t>,</w:t>
      </w:r>
      <w:r w:rsidRPr="00661576">
        <w:rPr>
          <w:rFonts w:hint="cs"/>
          <w:rtl/>
        </w:rPr>
        <w:t xml:space="preserve"> אם לתמוך בהם או בצורריהם, הנאמנות של היהודים מ</w:t>
      </w:r>
      <w:r>
        <w:rPr>
          <w:rFonts w:hint="cs"/>
          <w:rtl/>
        </w:rPr>
        <w:t>צד א</w:t>
      </w:r>
      <w:r w:rsidRPr="00661576">
        <w:rPr>
          <w:rFonts w:hint="cs"/>
          <w:rtl/>
        </w:rPr>
        <w:t>חד והחששות מפניהם מ</w:t>
      </w:r>
      <w:r>
        <w:rPr>
          <w:rFonts w:hint="cs"/>
          <w:rtl/>
        </w:rPr>
        <w:t>צד שני</w:t>
      </w:r>
      <w:r w:rsidRPr="00661576">
        <w:rPr>
          <w:rFonts w:hint="cs"/>
          <w:rtl/>
        </w:rPr>
        <w:t xml:space="preserve"> </w:t>
      </w:r>
      <w:r>
        <w:rPr>
          <w:rtl/>
        </w:rPr>
        <w:t>—</w:t>
      </w:r>
      <w:r>
        <w:rPr>
          <w:rFonts w:hint="cs"/>
          <w:rtl/>
        </w:rPr>
        <w:t xml:space="preserve"> כל אלו </w:t>
      </w:r>
      <w:r w:rsidRPr="00661576">
        <w:rPr>
          <w:rFonts w:hint="cs"/>
          <w:rtl/>
        </w:rPr>
        <w:t>הם אפוא הרקע לסיפור המגילה</w:t>
      </w:r>
      <w:r>
        <w:rPr>
          <w:rFonts w:hint="cs"/>
          <w:rtl/>
        </w:rPr>
        <w:t>.</w:t>
      </w:r>
      <w:r w:rsidRPr="00661576">
        <w:rPr>
          <w:rFonts w:hint="cs"/>
          <w:rtl/>
        </w:rPr>
        <w:t xml:space="preserve"> התלבטות זו נבעה מהתמסדות הגלות היהודית כתופעת קבע היסטורית עם הנהגה עצמאית, דווקא במקביל לבניית ירושלים והבית השני.</w:t>
      </w:r>
    </w:p>
    <w:p w14:paraId="4C51FBB4" w14:textId="77777777" w:rsidR="00E0044E" w:rsidRPr="00661576" w:rsidRDefault="00E0044E" w:rsidP="00220583">
      <w:pPr>
        <w:rPr>
          <w:rtl/>
        </w:rPr>
      </w:pPr>
      <w:r w:rsidRPr="00661576">
        <w:rPr>
          <w:rFonts w:hint="cs"/>
          <w:rtl/>
        </w:rPr>
        <w:t xml:space="preserve">הגלות היהודית </w:t>
      </w:r>
      <w:r>
        <w:rPr>
          <w:rFonts w:hint="cs"/>
          <w:rtl/>
        </w:rPr>
        <w:t>ה</w:t>
      </w:r>
      <w:r w:rsidRPr="00661576">
        <w:rPr>
          <w:rFonts w:hint="cs"/>
          <w:rtl/>
        </w:rPr>
        <w:t>מתבוללת באופן חיצוני</w:t>
      </w:r>
      <w:r>
        <w:rPr>
          <w:rFonts w:hint="cs"/>
          <w:rtl/>
        </w:rPr>
        <w:t xml:space="preserve"> בלבד</w:t>
      </w:r>
      <w:r w:rsidRPr="00661576">
        <w:rPr>
          <w:rFonts w:hint="cs"/>
          <w:rtl/>
        </w:rPr>
        <w:t xml:space="preserve"> ונשארת שונה מכל העמים עם קשרי איגרות ומכתבים, כמו גם קשרי מסחר וסיוע בין קהילות היהודים </w:t>
      </w:r>
      <w:r>
        <w:rPr>
          <w:rtl/>
        </w:rPr>
        <w:t>—</w:t>
      </w:r>
      <w:r w:rsidRPr="00661576">
        <w:rPr>
          <w:rFonts w:hint="cs"/>
          <w:rtl/>
        </w:rPr>
        <w:t xml:space="preserve"> זו</w:t>
      </w:r>
      <w:r>
        <w:rPr>
          <w:rFonts w:hint="cs"/>
          <w:rtl/>
        </w:rPr>
        <w:t>הי</w:t>
      </w:r>
      <w:r w:rsidRPr="00661576">
        <w:rPr>
          <w:rFonts w:hint="cs"/>
          <w:rtl/>
        </w:rPr>
        <w:t xml:space="preserve"> הורתה של החרדה מפני היהודים, שממנה צמחה שנאת היהודים </w:t>
      </w:r>
      <w:r>
        <w:rPr>
          <w:rFonts w:hint="cs"/>
          <w:rtl/>
        </w:rPr>
        <w:t>שהובילה</w:t>
      </w:r>
      <w:r w:rsidRPr="00661576">
        <w:rPr>
          <w:rFonts w:hint="cs"/>
          <w:rtl/>
        </w:rPr>
        <w:t xml:space="preserve"> לפרעות ולמאמצי ההשמדה לאורך הדורות.</w:t>
      </w:r>
    </w:p>
    <w:p w14:paraId="0031FA84" w14:textId="77777777" w:rsidR="00E0044E" w:rsidRPr="00661576" w:rsidRDefault="00E0044E" w:rsidP="00220583">
      <w:pPr>
        <w:pStyle w:val="31"/>
        <w:rPr>
          <w:rtl/>
        </w:rPr>
      </w:pPr>
      <w:r>
        <w:rPr>
          <w:rFonts w:hint="cs"/>
          <w:rtl/>
        </w:rPr>
        <w:t xml:space="preserve">ד. </w:t>
      </w:r>
      <w:r w:rsidRPr="00661576">
        <w:rPr>
          <w:rFonts w:hint="cs"/>
          <w:rtl/>
        </w:rPr>
        <w:t>תודעת הגלות של היהודים</w:t>
      </w:r>
    </w:p>
    <w:p w14:paraId="1864506E" w14:textId="77777777" w:rsidR="00E0044E" w:rsidRPr="00661576" w:rsidRDefault="00E0044E" w:rsidP="00220583">
      <w:pPr>
        <w:rPr>
          <w:rtl/>
        </w:rPr>
      </w:pPr>
      <w:r w:rsidRPr="00661576">
        <w:rPr>
          <w:rFonts w:hint="cs"/>
          <w:rtl/>
        </w:rPr>
        <w:t>גם התודעה העצמית של מרדכי ואסתר היא תודעה גלותית מובהקת</w:t>
      </w:r>
      <w:r>
        <w:rPr>
          <w:rFonts w:hint="cs"/>
          <w:rtl/>
        </w:rPr>
        <w:t>:</w:t>
      </w:r>
    </w:p>
    <w:p w14:paraId="5B6E4176" w14:textId="77777777" w:rsidR="00E0044E" w:rsidRPr="00661576" w:rsidRDefault="00E0044E" w:rsidP="00220583">
      <w:pPr>
        <w:rPr>
          <w:rtl/>
        </w:rPr>
      </w:pPr>
      <w:r w:rsidRPr="00661576">
        <w:rPr>
          <w:rFonts w:hint="cs"/>
          <w:rtl/>
        </w:rPr>
        <w:t>הישיבה בשער המלך כדי לדעת תמיד מה קורה ולעמ</w:t>
      </w:r>
      <w:r>
        <w:rPr>
          <w:rFonts w:hint="cs"/>
          <w:rtl/>
        </w:rPr>
        <w:t>וד על המשמר כדי להגן על היהודים.</w:t>
      </w:r>
    </w:p>
    <w:p w14:paraId="2FD2283D" w14:textId="77777777" w:rsidR="00E0044E" w:rsidRPr="00661576" w:rsidRDefault="00E0044E" w:rsidP="00220583">
      <w:pPr>
        <w:rPr>
          <w:rtl/>
        </w:rPr>
      </w:pPr>
      <w:r w:rsidRPr="00661576">
        <w:rPr>
          <w:rFonts w:hint="cs"/>
          <w:rtl/>
        </w:rPr>
        <w:t>נשיאת שם נכרי מובהק, ויחד עם זה התנהגות יהודית מוצהרת של סירוב להשתחוות לשום אל</w:t>
      </w:r>
      <w:r>
        <w:rPr>
          <w:rFonts w:hint="cs"/>
          <w:rtl/>
        </w:rPr>
        <w:t>יל, ובכלל זה אדם שמאליל את עצמו.</w:t>
      </w:r>
    </w:p>
    <w:p w14:paraId="2C5E6615" w14:textId="77777777" w:rsidR="00E0044E" w:rsidRPr="00661576" w:rsidRDefault="00E0044E" w:rsidP="00220583">
      <w:pPr>
        <w:rPr>
          <w:rtl/>
        </w:rPr>
      </w:pPr>
      <w:r w:rsidRPr="00661576">
        <w:rPr>
          <w:rFonts w:hint="cs"/>
          <w:rtl/>
        </w:rPr>
        <w:t>שיתוף הפעולה עם תחרות הבתולה היפה בעיני המלך, אך מבל</w:t>
      </w:r>
      <w:r>
        <w:rPr>
          <w:rFonts w:hint="cs"/>
          <w:rtl/>
        </w:rPr>
        <w:t>י לגלות את מוצאה היהודי של אסתר.</w:t>
      </w:r>
    </w:p>
    <w:p w14:paraId="3C7EF6C4" w14:textId="77777777" w:rsidR="00E0044E" w:rsidRPr="00661576" w:rsidRDefault="00E0044E" w:rsidP="00220583">
      <w:pPr>
        <w:rPr>
          <w:rtl/>
        </w:rPr>
      </w:pPr>
      <w:r w:rsidRPr="00661576">
        <w:rPr>
          <w:rFonts w:hint="cs"/>
          <w:rtl/>
        </w:rPr>
        <w:t>התחושה שאסתר המלכה היא תעודת ביטוח לחיי היהודים, ועל כן חובתה לסכן את חייה "</w:t>
      </w:r>
      <w:r w:rsidRPr="00EB5CBE">
        <w:rPr>
          <w:rtl/>
        </w:rPr>
        <w:t>בָּעֵת הַזֹּאת</w:t>
      </w:r>
      <w:r w:rsidRPr="00661576">
        <w:rPr>
          <w:rFonts w:hint="cs"/>
          <w:rtl/>
        </w:rPr>
        <w:t>" כי לשם כך נועדה, וזו שליחותה היהודית הנסתרת</w:t>
      </w:r>
      <w:r>
        <w:rPr>
          <w:rFonts w:hint="cs"/>
          <w:rtl/>
        </w:rPr>
        <w:t xml:space="preserve"> בבית המלך.</w:t>
      </w:r>
    </w:p>
    <w:p w14:paraId="6DCD8D73" w14:textId="77777777" w:rsidR="00E0044E" w:rsidRDefault="00E0044E" w:rsidP="00220583">
      <w:pPr>
        <w:rPr>
          <w:rtl/>
        </w:rPr>
      </w:pPr>
      <w:r w:rsidRPr="00661576">
        <w:rPr>
          <w:rFonts w:hint="cs"/>
          <w:rtl/>
        </w:rPr>
        <w:t>ויחד עם זה, הביטחון שאם אסתר תחריש מפחד, "</w:t>
      </w:r>
      <w:r w:rsidRPr="00EB5CBE">
        <w:rPr>
          <w:rtl/>
        </w:rPr>
        <w:t>רֶוַח וְהַצָּלָה יַעֲמוֹד לַיְּהוּדִים מִמָּקוֹם אַחֵר וְאַתְּ וּבֵית אָבִיךְ תֹּאבֵדוּ</w:t>
      </w:r>
      <w:r w:rsidRPr="00661576">
        <w:rPr>
          <w:rFonts w:hint="cs"/>
          <w:rtl/>
        </w:rPr>
        <w:t>" (ד', יד)</w:t>
      </w:r>
      <w:r>
        <w:rPr>
          <w:rFonts w:hint="cs"/>
          <w:rtl/>
        </w:rPr>
        <w:t>.</w:t>
      </w:r>
    </w:p>
    <w:p w14:paraId="01B8633A" w14:textId="77777777" w:rsidR="00E0044E" w:rsidRDefault="00E0044E" w:rsidP="00220583">
      <w:pPr>
        <w:rPr>
          <w:rtl/>
        </w:rPr>
      </w:pPr>
      <w:r w:rsidRPr="00661576">
        <w:rPr>
          <w:rFonts w:hint="cs"/>
          <w:rtl/>
        </w:rPr>
        <w:t>אך מעל לכ</w:t>
      </w:r>
      <w:r>
        <w:rPr>
          <w:rFonts w:hint="cs"/>
          <w:rtl/>
        </w:rPr>
        <w:t>ו</w:t>
      </w:r>
      <w:r w:rsidRPr="00661576">
        <w:rPr>
          <w:rFonts w:hint="cs"/>
          <w:rtl/>
        </w:rPr>
        <w:t xml:space="preserve">ל </w:t>
      </w:r>
      <w:r>
        <w:rPr>
          <w:rFonts w:hint="cs"/>
          <w:rtl/>
        </w:rPr>
        <w:t>עומדת</w:t>
      </w:r>
      <w:r w:rsidRPr="00661576">
        <w:rPr>
          <w:rFonts w:hint="cs"/>
          <w:rtl/>
        </w:rPr>
        <w:t xml:space="preserve"> הצהרתה המפורשת של אסתר המלכה באוזני המלך אחשורוש</w:t>
      </w:r>
      <w:r>
        <w:rPr>
          <w:rFonts w:hint="cs"/>
          <w:rtl/>
        </w:rPr>
        <w:t>:</w:t>
      </w:r>
      <w:r w:rsidRPr="00661576">
        <w:rPr>
          <w:rFonts w:hint="cs"/>
          <w:rtl/>
        </w:rPr>
        <w:t xml:space="preserve"> "</w:t>
      </w:r>
      <w:r w:rsidRPr="00EB5CBE">
        <w:rPr>
          <w:rtl/>
        </w:rPr>
        <w:t>כִּי נִמְכַּרְנוּ אֲנִי וְעַמִּי לְהַשְׁמִיד לַהֲרוֹג וּלְאַבֵּד וְאִלּוּ לַעֲבָדִים וְלִשְׁפָחוֹת נִמְכַּרְנוּ הֶחֱרַשְׁתִּי כִּי אֵין הַצָּר שֹׁוֶה בְּנֵזֶק הַמֶּלֶךְ</w:t>
      </w:r>
      <w:r w:rsidRPr="00661576">
        <w:rPr>
          <w:rFonts w:hint="cs"/>
          <w:rtl/>
        </w:rPr>
        <w:t>" (ז', ד)</w:t>
      </w:r>
      <w:r>
        <w:rPr>
          <w:rFonts w:hint="cs"/>
          <w:rtl/>
        </w:rPr>
        <w:t>.</w:t>
      </w:r>
      <w:r w:rsidRPr="00661576">
        <w:rPr>
          <w:rFonts w:hint="cs"/>
          <w:rtl/>
        </w:rPr>
        <w:t xml:space="preserve"> כאן מפורשת התודעה הגלותית כולה כוויתור גמור על חירות והשלמה כנועה עם עבדות, כאילו אין עוד שום חשיבות וערך ליציאת מצרים, ובלבד שלא יהרגו בנו ולא ישמידו אותנו</w:t>
      </w:r>
      <w:r>
        <w:rPr>
          <w:rFonts w:hint="cs"/>
          <w:rtl/>
        </w:rPr>
        <w:t>.</w:t>
      </w:r>
      <w:r w:rsidRPr="00661576">
        <w:rPr>
          <w:rFonts w:hint="cs"/>
          <w:rtl/>
        </w:rPr>
        <w:t xml:space="preserve"> </w:t>
      </w:r>
    </w:p>
    <w:p w14:paraId="19C351A8" w14:textId="77777777" w:rsidR="00E0044E" w:rsidRPr="00661576" w:rsidRDefault="00E0044E" w:rsidP="00220583">
      <w:pPr>
        <w:spacing w:before="120"/>
        <w:rPr>
          <w:rtl/>
        </w:rPr>
      </w:pPr>
      <w:r w:rsidRPr="00661576">
        <w:rPr>
          <w:rFonts w:hint="cs"/>
          <w:rtl/>
        </w:rPr>
        <w:t xml:space="preserve">כאן גם הבדל העומק בין פורים לפסח, בין נס של הצלה והישרדות בגלות ("שאין אומרים הלל על נס שבחוצה לארץ", מגילה יד ע"א), </w:t>
      </w:r>
      <w:r>
        <w:rPr>
          <w:rFonts w:hint="cs"/>
          <w:rtl/>
        </w:rPr>
        <w:t>ו</w:t>
      </w:r>
      <w:r w:rsidRPr="00661576">
        <w:rPr>
          <w:rFonts w:hint="cs"/>
          <w:rtl/>
        </w:rPr>
        <w:t xml:space="preserve">בין נס </w:t>
      </w:r>
      <w:r>
        <w:rPr>
          <w:rFonts w:hint="cs"/>
          <w:rtl/>
        </w:rPr>
        <w:t xml:space="preserve">של </w:t>
      </w:r>
      <w:r w:rsidRPr="00661576">
        <w:rPr>
          <w:rFonts w:hint="cs"/>
          <w:rtl/>
        </w:rPr>
        <w:t>חירות</w:t>
      </w:r>
      <w:r>
        <w:rPr>
          <w:rFonts w:hint="cs"/>
          <w:rtl/>
        </w:rPr>
        <w:t xml:space="preserve">, </w:t>
      </w:r>
      <w:r w:rsidRPr="00661576">
        <w:rPr>
          <w:rFonts w:hint="cs"/>
          <w:rtl/>
        </w:rPr>
        <w:t xml:space="preserve">עצמאות </w:t>
      </w:r>
      <w:r>
        <w:rPr>
          <w:rFonts w:hint="cs"/>
          <w:rtl/>
        </w:rPr>
        <w:t>ו</w:t>
      </w:r>
      <w:r w:rsidRPr="00661576">
        <w:rPr>
          <w:rFonts w:hint="cs"/>
          <w:rtl/>
        </w:rPr>
        <w:t>יציאה מן הגלות</w:t>
      </w:r>
      <w:r>
        <w:rPr>
          <w:rFonts w:hint="cs"/>
          <w:rtl/>
        </w:rPr>
        <w:t xml:space="preserve">. </w:t>
      </w:r>
      <w:r w:rsidRPr="00661576">
        <w:rPr>
          <w:rFonts w:hint="cs"/>
          <w:rtl/>
        </w:rPr>
        <w:t>בלשון התלמוד</w:t>
      </w:r>
      <w:r>
        <w:rPr>
          <w:rFonts w:hint="cs"/>
          <w:rtl/>
        </w:rPr>
        <w:t>:</w:t>
      </w:r>
      <w:r w:rsidRPr="00661576">
        <w:rPr>
          <w:rFonts w:hint="cs"/>
          <w:rtl/>
        </w:rPr>
        <w:t xml:space="preserve"> </w:t>
      </w:r>
      <w:r>
        <w:rPr>
          <w:rFonts w:hint="cs"/>
          <w:rtl/>
        </w:rPr>
        <w:t xml:space="preserve">"אכתי [= </w:t>
      </w:r>
      <w:r w:rsidRPr="00661576">
        <w:rPr>
          <w:rFonts w:hint="cs"/>
          <w:rtl/>
        </w:rPr>
        <w:t>עדיין</w:t>
      </w:r>
      <w:r>
        <w:rPr>
          <w:rFonts w:hint="cs"/>
          <w:rtl/>
        </w:rPr>
        <w:t>]</w:t>
      </w:r>
      <w:r w:rsidRPr="00661576">
        <w:rPr>
          <w:rFonts w:hint="cs"/>
          <w:rtl/>
        </w:rPr>
        <w:t xml:space="preserve"> עבדי אחשורוש</w:t>
      </w:r>
      <w:r>
        <w:rPr>
          <w:rFonts w:hint="cs"/>
          <w:rtl/>
        </w:rPr>
        <w:t xml:space="preserve"> אנן</w:t>
      </w:r>
      <w:r w:rsidRPr="00661576">
        <w:rPr>
          <w:rFonts w:hint="cs"/>
          <w:rtl/>
        </w:rPr>
        <w:t xml:space="preserve"> </w:t>
      </w:r>
      <w:r>
        <w:rPr>
          <w:rFonts w:hint="cs"/>
          <w:rtl/>
        </w:rPr>
        <w:t xml:space="preserve">[= </w:t>
      </w:r>
      <w:r w:rsidRPr="00661576">
        <w:rPr>
          <w:rFonts w:hint="cs"/>
          <w:rtl/>
        </w:rPr>
        <w:t>אנו</w:t>
      </w:r>
      <w:r>
        <w:rPr>
          <w:rFonts w:hint="cs"/>
          <w:rtl/>
        </w:rPr>
        <w:t>]"</w:t>
      </w:r>
      <w:r w:rsidRPr="00221818">
        <w:rPr>
          <w:rFonts w:hint="cs"/>
          <w:rtl/>
        </w:rPr>
        <w:t xml:space="preserve"> </w:t>
      </w:r>
      <w:r w:rsidRPr="00661576">
        <w:rPr>
          <w:rFonts w:hint="cs"/>
          <w:rtl/>
        </w:rPr>
        <w:t xml:space="preserve">(שם), </w:t>
      </w:r>
      <w:r w:rsidRPr="00221818">
        <w:rPr>
          <w:rFonts w:hint="cs"/>
          <w:rtl/>
        </w:rPr>
        <w:t>ואי</w:t>
      </w:r>
      <w:r w:rsidRPr="00DA786A">
        <w:rPr>
          <w:b/>
          <w:position w:val="5"/>
          <w:rtl/>
        </w:rPr>
        <w:noBreakHyphen/>
      </w:r>
      <w:r w:rsidRPr="00221818">
        <w:rPr>
          <w:rFonts w:hint="cs"/>
          <w:rtl/>
        </w:rPr>
        <w:t>אפשר</w:t>
      </w:r>
      <w:r w:rsidRPr="00661576">
        <w:rPr>
          <w:rFonts w:hint="cs"/>
          <w:rtl/>
        </w:rPr>
        <w:t xml:space="preserve"> לומר "</w:t>
      </w:r>
      <w:r w:rsidRPr="005846D4">
        <w:rPr>
          <w:rtl/>
        </w:rPr>
        <w:t>הַלְלוּ עַבְדֵי ה'</w:t>
      </w:r>
      <w:r w:rsidRPr="00EF677F">
        <w:rPr>
          <w:rFonts w:hint="cs"/>
          <w:spacing w:val="40"/>
          <w:rtl/>
        </w:rPr>
        <w:t>"</w:t>
      </w:r>
      <w:r>
        <w:rPr>
          <w:rFonts w:hint="cs"/>
          <w:rtl/>
        </w:rPr>
        <w:t xml:space="preserve"> (תהילים קי"ג, א)</w:t>
      </w:r>
      <w:r w:rsidRPr="00661576">
        <w:rPr>
          <w:rFonts w:hint="cs"/>
          <w:rtl/>
        </w:rPr>
        <w:t>, כי עבדי ה' הם רק היוצאים מעבדות לחירות (וצאצאיהם</w:t>
      </w:r>
      <w:r>
        <w:rPr>
          <w:rFonts w:hint="cs"/>
          <w:rtl/>
        </w:rPr>
        <w:t xml:space="preserve"> השומרים את זכר היציאה לחירות).</w:t>
      </w:r>
    </w:p>
    <w:p w14:paraId="75206C9A" w14:textId="77777777" w:rsidR="00E0044E" w:rsidRPr="00661576" w:rsidRDefault="00E0044E" w:rsidP="00220583">
      <w:pPr>
        <w:pStyle w:val="31"/>
        <w:rPr>
          <w:rtl/>
        </w:rPr>
      </w:pPr>
      <w:r>
        <w:rPr>
          <w:rFonts w:hint="cs"/>
          <w:rtl/>
        </w:rPr>
        <w:t xml:space="preserve">ה. </w:t>
      </w:r>
      <w:r w:rsidRPr="00661576">
        <w:rPr>
          <w:rFonts w:hint="cs"/>
          <w:rtl/>
        </w:rPr>
        <w:t>הסתר פנים ומגילת 'ההפך'</w:t>
      </w:r>
    </w:p>
    <w:p w14:paraId="77F3473A" w14:textId="77777777" w:rsidR="00E0044E" w:rsidRPr="00661576" w:rsidRDefault="00E0044E" w:rsidP="00220583">
      <w:pPr>
        <w:rPr>
          <w:rtl/>
        </w:rPr>
      </w:pPr>
      <w:r w:rsidRPr="00661576">
        <w:rPr>
          <w:rFonts w:hint="cs"/>
          <w:rtl/>
        </w:rPr>
        <w:t xml:space="preserve">כאן אנו פוגשים גם את עיקרה של מגילת אסתר, הספר היחיד בתנ"ך שאין בו שם ה' כלל, אפילו במקום המתבקש ביותר </w:t>
      </w:r>
      <w:r>
        <w:rPr>
          <w:rtl/>
        </w:rPr>
        <w:t>—</w:t>
      </w:r>
      <w:r w:rsidRPr="00661576">
        <w:rPr>
          <w:rFonts w:hint="cs"/>
          <w:rtl/>
        </w:rPr>
        <w:t xml:space="preserve"> "</w:t>
      </w:r>
      <w:r w:rsidRPr="00EB5CBE">
        <w:rPr>
          <w:rtl/>
        </w:rPr>
        <w:t xml:space="preserve">רֶוַח וְהַצָּלָה יַעֲמוֹד לַיְּהוּדִים </w:t>
      </w:r>
      <w:r w:rsidRPr="00DD1E53">
        <w:rPr>
          <w:b/>
          <w:bCs/>
          <w:rtl/>
        </w:rPr>
        <w:t>מִמָּקוֹם אַחֵר</w:t>
      </w:r>
      <w:r w:rsidRPr="00661576">
        <w:rPr>
          <w:rFonts w:hint="cs"/>
          <w:rtl/>
        </w:rPr>
        <w:t>" (ד', יד).</w:t>
      </w:r>
    </w:p>
    <w:p w14:paraId="4B0082DE" w14:textId="77777777" w:rsidR="00E0044E" w:rsidRPr="00661576" w:rsidRDefault="00E0044E" w:rsidP="00220583">
      <w:r w:rsidRPr="00661576">
        <w:rPr>
          <w:rFonts w:hint="cs"/>
          <w:rtl/>
        </w:rPr>
        <w:t xml:space="preserve">אסתר מבקשת שיצומו עליה שלושה ימים, </w:t>
      </w:r>
      <w:r>
        <w:rPr>
          <w:rFonts w:hint="cs"/>
          <w:rtl/>
        </w:rPr>
        <w:t>אך</w:t>
      </w:r>
      <w:r w:rsidRPr="00661576">
        <w:rPr>
          <w:rFonts w:hint="cs"/>
          <w:rtl/>
        </w:rPr>
        <w:t xml:space="preserve"> אין כל רמז לתפילה המלווה </w:t>
      </w:r>
      <w:r>
        <w:rPr>
          <w:rFonts w:hint="cs"/>
          <w:rtl/>
        </w:rPr>
        <w:t>את הצום</w:t>
      </w:r>
      <w:r w:rsidRPr="00661576">
        <w:rPr>
          <w:rFonts w:hint="cs"/>
          <w:rtl/>
        </w:rPr>
        <w:t>, לנוסח של בקשה או של תחנונים לפני ה'. המגילה גם אינה מציינת את העובדה שהצום חל, כנראה, בעיצומו של חג המצות.</w:t>
      </w:r>
      <w:r w:rsidRPr="00661576">
        <w:rPr>
          <w:rStyle w:val="a5"/>
          <w:rtl/>
        </w:rPr>
        <w:footnoteReference w:id="26"/>
      </w:r>
    </w:p>
    <w:p w14:paraId="6DA94FCB" w14:textId="77777777" w:rsidR="00E0044E" w:rsidRPr="00661576" w:rsidRDefault="00E0044E" w:rsidP="00220583">
      <w:pPr>
        <w:rPr>
          <w:rtl/>
        </w:rPr>
      </w:pPr>
      <w:r w:rsidRPr="00661576">
        <w:rPr>
          <w:rFonts w:hint="cs"/>
          <w:rtl/>
        </w:rPr>
        <w:t>במגילה אין גם ביטוי לתורת הגמול המקראית הקלסית: רעיון השכר והעונש, הבא לידי ביטוי לאורך כל סיפורי המקרא, איננו נרמז כלל במגילה, והקורא אינו מבין על שום מה ולמה נגזרה על היהודים גזרה קשה כל כך.</w:t>
      </w:r>
      <w:r w:rsidRPr="00661576">
        <w:rPr>
          <w:rStyle w:val="a5"/>
          <w:rtl/>
        </w:rPr>
        <w:footnoteReference w:id="27"/>
      </w:r>
      <w:r w:rsidRPr="00661576">
        <w:rPr>
          <w:rFonts w:hint="cs"/>
          <w:rtl/>
        </w:rPr>
        <w:t xml:space="preserve"> אין גם כל ביטוי להשגחה גלויה </w:t>
      </w:r>
      <w:r>
        <w:rPr>
          <w:rtl/>
        </w:rPr>
        <w:t>—</w:t>
      </w:r>
      <w:r w:rsidRPr="00661576">
        <w:rPr>
          <w:rFonts w:hint="cs"/>
          <w:rtl/>
        </w:rPr>
        <w:t xml:space="preserve"> העלילה מתנהלת כביכול באקראי, בפור ובמזל</w:t>
      </w:r>
      <w:r>
        <w:rPr>
          <w:rFonts w:hint="cs"/>
          <w:rtl/>
        </w:rPr>
        <w:t>,</w:t>
      </w:r>
      <w:r w:rsidRPr="00661576">
        <w:rPr>
          <w:rFonts w:hint="cs"/>
          <w:rtl/>
        </w:rPr>
        <w:t xml:space="preserve"> </w:t>
      </w:r>
      <w:r>
        <w:rPr>
          <w:rFonts w:hint="cs"/>
          <w:rtl/>
        </w:rPr>
        <w:t>ו</w:t>
      </w:r>
      <w:r w:rsidRPr="00661576">
        <w:rPr>
          <w:rFonts w:hint="cs"/>
          <w:rtl/>
        </w:rPr>
        <w:t>הפור הוא שהתהפך על ראשם של אויבי היהודים.</w:t>
      </w:r>
    </w:p>
    <w:p w14:paraId="13671416" w14:textId="77777777" w:rsidR="00E0044E" w:rsidRPr="00661576" w:rsidRDefault="00E0044E" w:rsidP="00220583">
      <w:pPr>
        <w:rPr>
          <w:rtl/>
        </w:rPr>
      </w:pPr>
      <w:r w:rsidRPr="00661576">
        <w:rPr>
          <w:rFonts w:hint="cs"/>
          <w:rtl/>
        </w:rPr>
        <w:t>גם הדרך שבה התגלגלה ההצלה בעייתית מנקודת מבט מקראית</w:t>
      </w:r>
      <w:r w:rsidRPr="00DA786A">
        <w:rPr>
          <w:b/>
          <w:position w:val="5"/>
          <w:rtl/>
        </w:rPr>
        <w:noBreakHyphen/>
      </w:r>
      <w:r>
        <w:rPr>
          <w:rtl/>
        </w:rPr>
        <w:br/>
      </w:r>
      <w:r w:rsidRPr="00661576">
        <w:rPr>
          <w:rFonts w:hint="cs"/>
          <w:rtl/>
        </w:rPr>
        <w:t>יהודית. איסופה של נערה יהוד</w:t>
      </w:r>
      <w:r>
        <w:rPr>
          <w:rFonts w:hint="cs"/>
          <w:rtl/>
        </w:rPr>
        <w:t>י</w:t>
      </w:r>
      <w:r w:rsidRPr="00661576">
        <w:rPr>
          <w:rFonts w:hint="cs"/>
          <w:rtl/>
        </w:rPr>
        <w:t>יה, ככל הנראה בעל כורחה, לתחרות יופי וזנות מעין זו המתוארת במגילה, יש בו משום חילול כבודה של בת ישראל, וצפוי היה שהדברים יתוארו בנימ</w:t>
      </w:r>
      <w:r>
        <w:rPr>
          <w:rFonts w:hint="cs"/>
          <w:rtl/>
        </w:rPr>
        <w:t>ה</w:t>
      </w:r>
      <w:r w:rsidRPr="00661576">
        <w:rPr>
          <w:rFonts w:hint="cs"/>
          <w:rtl/>
        </w:rPr>
        <w:t xml:space="preserve"> טרגית. תחת זאת, יש במגילה תיאורים מפורטים ונלהבים של העניין: "</w:t>
      </w:r>
      <w:r w:rsidRPr="005846D4">
        <w:rPr>
          <w:rtl/>
        </w:rPr>
        <w:t>שִׁשָּׁה חֳדָשִׁים בְּשֶׁמֶן הַמֹּר וְשִׁשָּׁה חֳדָשִׁים בַּבְּשָׂמִים וּבְתַמְרוּקֵי הַנָּשִׁים</w:t>
      </w:r>
      <w:r w:rsidRPr="00661576">
        <w:rPr>
          <w:rFonts w:hint="cs"/>
          <w:rtl/>
        </w:rPr>
        <w:t>" (ב', יב).</w:t>
      </w:r>
    </w:p>
    <w:p w14:paraId="747A54D9" w14:textId="77777777" w:rsidR="00E0044E" w:rsidRPr="00661576" w:rsidRDefault="00E0044E" w:rsidP="00220583">
      <w:r w:rsidRPr="00661576">
        <w:rPr>
          <w:rFonts w:hint="cs"/>
          <w:rtl/>
        </w:rPr>
        <w:t xml:space="preserve">כל ספרי התנ"ך, ובמיוחד ספרי הנבואה, אינם אלא סיפור תולדות דבר ה' אל האדם בכלל ואל ישראל עמו ונחלתו בפרט. אין אלו תולדות העולם העתיק, ואף לא תולדות עם ישראל במובן הרגיל של היסטוריה רצופה. יש שהמקרא פוסח על מאות שנים ועל תקופות שלמות, </w:t>
      </w:r>
      <w:r>
        <w:rPr>
          <w:rFonts w:hint="cs"/>
          <w:rtl/>
        </w:rPr>
        <w:t>שלא היה</w:t>
      </w:r>
      <w:r w:rsidRPr="00661576">
        <w:rPr>
          <w:rFonts w:hint="cs"/>
          <w:rtl/>
        </w:rPr>
        <w:t xml:space="preserve"> בהן דבר ה' שחשוב לספר </w:t>
      </w:r>
      <w:r>
        <w:rPr>
          <w:rFonts w:hint="cs"/>
          <w:rtl/>
        </w:rPr>
        <w:t>עליו</w:t>
      </w:r>
      <w:r w:rsidRPr="00661576">
        <w:rPr>
          <w:rFonts w:hint="cs"/>
          <w:rtl/>
        </w:rPr>
        <w:t>. התורה אינה מספרת לנ</w:t>
      </w:r>
      <w:r>
        <w:rPr>
          <w:rFonts w:hint="cs"/>
          <w:rtl/>
        </w:rPr>
        <w:t>ו דבר על שלושים ושמונה שנים שבהן</w:t>
      </w:r>
      <w:r w:rsidRPr="00661576">
        <w:rPr>
          <w:rFonts w:hint="cs"/>
          <w:rtl/>
        </w:rPr>
        <w:t xml:space="preserve"> לא </w:t>
      </w:r>
      <w:r>
        <w:rPr>
          <w:rFonts w:hint="cs"/>
          <w:rtl/>
        </w:rPr>
        <w:t>הגיע</w:t>
      </w:r>
      <w:r w:rsidRPr="00661576">
        <w:rPr>
          <w:rFonts w:hint="cs"/>
          <w:rtl/>
        </w:rPr>
        <w:t xml:space="preserve"> דבר ה' לבני ישראל במדבר, ואף אם היה דיבור למשה באותה תקופה </w:t>
      </w:r>
      <w:r>
        <w:rPr>
          <w:rtl/>
        </w:rPr>
        <w:t>—</w:t>
      </w:r>
      <w:r>
        <w:rPr>
          <w:rFonts w:hint="cs"/>
          <w:rtl/>
        </w:rPr>
        <w:t xml:space="preserve"> כנראה </w:t>
      </w:r>
      <w:r w:rsidRPr="00661576">
        <w:rPr>
          <w:rFonts w:hint="cs"/>
          <w:rtl/>
        </w:rPr>
        <w:t xml:space="preserve">לא היה ראוי שיספרו </w:t>
      </w:r>
      <w:r>
        <w:rPr>
          <w:rFonts w:hint="cs"/>
          <w:rtl/>
        </w:rPr>
        <w:t>עליו</w:t>
      </w:r>
      <w:r w:rsidRPr="00661576">
        <w:rPr>
          <w:rFonts w:hint="cs"/>
          <w:rtl/>
        </w:rPr>
        <w:t xml:space="preserve"> לדורות הבאים, ועל כן </w:t>
      </w:r>
      <w:r>
        <w:rPr>
          <w:rFonts w:hint="cs"/>
          <w:rtl/>
        </w:rPr>
        <w:t>הדבר אינו נזכר</w:t>
      </w:r>
      <w:r w:rsidRPr="00661576">
        <w:rPr>
          <w:rFonts w:hint="cs"/>
          <w:rtl/>
        </w:rPr>
        <w:t xml:space="preserve"> בתורה.</w:t>
      </w:r>
      <w:r w:rsidRPr="00661576">
        <w:rPr>
          <w:rStyle w:val="a5"/>
          <w:rtl/>
        </w:rPr>
        <w:footnoteReference w:id="28"/>
      </w:r>
      <w:r w:rsidRPr="00661576">
        <w:rPr>
          <w:rFonts w:hint="cs"/>
          <w:rtl/>
        </w:rPr>
        <w:t xml:space="preserve"> הפרשיות העוסקות בשנות המד</w:t>
      </w:r>
      <w:r>
        <w:rPr>
          <w:rFonts w:hint="cs"/>
          <w:rtl/>
        </w:rPr>
        <w:t>בר מתמקדות בשנת היציאה ממצרים, ב</w:t>
      </w:r>
      <w:r w:rsidRPr="00661576">
        <w:rPr>
          <w:rFonts w:hint="cs"/>
          <w:rtl/>
        </w:rPr>
        <w:t>שנה השנייה (שאף היא אינה שלמה) ו</w:t>
      </w:r>
      <w:r>
        <w:rPr>
          <w:rFonts w:hint="cs"/>
          <w:rtl/>
        </w:rPr>
        <w:t>ב</w:t>
      </w:r>
      <w:r w:rsidRPr="00661576">
        <w:rPr>
          <w:rFonts w:hint="cs"/>
          <w:rtl/>
        </w:rPr>
        <w:t>שנת הארבעים. גם מאות השנים של שעבוד מצרים</w:t>
      </w:r>
      <w:r>
        <w:rPr>
          <w:rFonts w:hint="cs"/>
          <w:rtl/>
        </w:rPr>
        <w:t xml:space="preserve"> אינן נזכרות בתורה בהרחבה. </w:t>
      </w:r>
      <w:r w:rsidRPr="00661576">
        <w:rPr>
          <w:rFonts w:hint="cs"/>
          <w:rtl/>
        </w:rPr>
        <w:t>פרק א' בספר שמות מכסה מאות שנים, לפני שהספר מתרכז בשנה שלפני יציאת מצרים ובשנה שלאחריה.</w:t>
      </w:r>
      <w:r>
        <w:rPr>
          <w:rStyle w:val="a5"/>
          <w:rtl/>
        </w:rPr>
        <w:footnoteReference w:id="29"/>
      </w:r>
    </w:p>
    <w:p w14:paraId="14160644" w14:textId="77777777" w:rsidR="00E0044E" w:rsidRPr="00661576" w:rsidRDefault="00E0044E" w:rsidP="00220583">
      <w:pPr>
        <w:rPr>
          <w:rtl/>
        </w:rPr>
      </w:pPr>
      <w:r>
        <w:rPr>
          <w:rFonts w:hint="cs"/>
          <w:rtl/>
        </w:rPr>
        <w:t xml:space="preserve">במובן זה </w:t>
      </w:r>
      <w:r w:rsidRPr="00661576">
        <w:rPr>
          <w:rFonts w:hint="cs"/>
          <w:rtl/>
        </w:rPr>
        <w:t xml:space="preserve">מגילת אסתר היא ההפך של התנ"ך </w:t>
      </w:r>
      <w:r w:rsidRPr="00B94F29">
        <w:rPr>
          <w:rtl/>
        </w:rPr>
        <w:t>כולו, כי אין בה שם ה', ואין בה דבר ה'.</w:t>
      </w:r>
      <w:r w:rsidRPr="00661576">
        <w:rPr>
          <w:rFonts w:hint="cs"/>
          <w:rtl/>
        </w:rPr>
        <w:t xml:space="preserve"> 'ספר הישר'</w:t>
      </w:r>
      <w:r w:rsidRPr="00D90C0C">
        <w:rPr>
          <w:rStyle w:val="a5"/>
          <w:rtl/>
        </w:rPr>
        <w:footnoteReference w:id="30"/>
      </w:r>
      <w:r w:rsidRPr="00661576">
        <w:rPr>
          <w:rFonts w:hint="cs"/>
          <w:rtl/>
        </w:rPr>
        <w:t xml:space="preserve"> מתאר את מלכות ה' והשגחתו </w:t>
      </w:r>
      <w:r>
        <w:rPr>
          <w:rtl/>
        </w:rPr>
        <w:t>—</w:t>
      </w:r>
      <w:r w:rsidRPr="00661576">
        <w:rPr>
          <w:rFonts w:hint="cs"/>
          <w:rtl/>
        </w:rPr>
        <w:t xml:space="preserve"> ואילו המגילה </w:t>
      </w:r>
      <w:r>
        <w:rPr>
          <w:rFonts w:hint="cs"/>
          <w:rtl/>
        </w:rPr>
        <w:t>מציירת</w:t>
      </w:r>
      <w:r w:rsidRPr="00661576">
        <w:rPr>
          <w:rFonts w:hint="cs"/>
          <w:rtl/>
        </w:rPr>
        <w:t xml:space="preserve"> באופן מכוון את מלכות 'ההפך' </w:t>
      </w:r>
      <w:r>
        <w:rPr>
          <w:rFonts w:hint="cs"/>
          <w:rtl/>
        </w:rPr>
        <w:t>ב</w:t>
      </w:r>
      <w:r w:rsidRPr="00661576">
        <w:rPr>
          <w:rFonts w:hint="cs"/>
          <w:rtl/>
        </w:rPr>
        <w:t>תיאור מוגזם ומוקצן מאוד. מלכות זו הפוכה מכל דבר שבקדושה ומכל דבר ששם שמים יכול להתקשר אליו, וזאת היא הגלות בחושך העמוק</w:t>
      </w:r>
      <w:r>
        <w:rPr>
          <w:rFonts w:hint="cs"/>
          <w:rtl/>
        </w:rPr>
        <w:t>:</w:t>
      </w:r>
      <w:r w:rsidRPr="00661576">
        <w:rPr>
          <w:rFonts w:hint="cs"/>
          <w:rtl/>
        </w:rPr>
        <w:t xml:space="preserve"> "</w:t>
      </w:r>
      <w:r>
        <w:rPr>
          <w:rtl/>
        </w:rPr>
        <w:t>בְּמַחֲשַׁכִּים הוֹשִׁיבַנִי כְּמֵתֵי עוֹלָם</w:t>
      </w:r>
      <w:r w:rsidRPr="00661576">
        <w:rPr>
          <w:rFonts w:hint="cs"/>
          <w:rtl/>
        </w:rPr>
        <w:t xml:space="preserve">" (איכה ג', ו) </w:t>
      </w:r>
      <w:r>
        <w:rPr>
          <w:rtl/>
        </w:rPr>
        <w:t>—</w:t>
      </w:r>
      <w:r>
        <w:rPr>
          <w:rFonts w:hint="cs"/>
          <w:rtl/>
        </w:rPr>
        <w:t xml:space="preserve"> "</w:t>
      </w:r>
      <w:r w:rsidRPr="00661576">
        <w:rPr>
          <w:rFonts w:hint="cs"/>
          <w:rtl/>
        </w:rPr>
        <w:t>זה תלמודה של בבל" (סנהדרין כד ע"א).</w:t>
      </w:r>
    </w:p>
    <w:p w14:paraId="2BFB14E1" w14:textId="77777777" w:rsidR="00E0044E" w:rsidRPr="00661576" w:rsidRDefault="00E0044E" w:rsidP="00220583">
      <w:pPr>
        <w:rPr>
          <w:rtl/>
        </w:rPr>
      </w:pPr>
      <w:r w:rsidRPr="00661576">
        <w:rPr>
          <w:rFonts w:hint="cs"/>
          <w:rtl/>
        </w:rPr>
        <w:t xml:space="preserve">ממלכת 'ההפך' מתוארת במגילת אסתר בצורה חומרית, גסה, שפלה ואלילית. המגילה מציירת </w:t>
      </w:r>
      <w:r w:rsidRPr="00B94F29">
        <w:rPr>
          <w:rtl/>
        </w:rPr>
        <w:t>מציאות חילונית חריפה עם משתאות יין ותאוות נשים מוקצנת,</w:t>
      </w:r>
      <w:r w:rsidRPr="00661576">
        <w:rPr>
          <w:rFonts w:hint="cs"/>
          <w:rtl/>
        </w:rPr>
        <w:t xml:space="preserve"> שבאופן מכוון נעדרים ממנה הערכים והמושגים האופייניים לתנ"ך כולו. גם תיאורם של היהודים בממלכת 'ההפך' מוקצן מאוד. יהודי שושן מתוארים כחלק בלתי</w:t>
      </w:r>
      <w:r w:rsidRPr="00DA786A">
        <w:rPr>
          <w:b/>
          <w:position w:val="5"/>
          <w:rtl/>
        </w:rPr>
        <w:noBreakHyphen/>
      </w:r>
      <w:r>
        <w:rPr>
          <w:rFonts w:hint="cs"/>
          <w:b/>
          <w:position w:val="5"/>
          <w:rtl/>
        </w:rPr>
        <w:br/>
      </w:r>
      <w:r w:rsidRPr="00661576">
        <w:rPr>
          <w:rFonts w:hint="cs"/>
          <w:rtl/>
        </w:rPr>
        <w:t xml:space="preserve">נפרד מתרבות אחשורוש, כאילו היו מתבוללים בתוך השמחה וההנאות של משתה אחשורוש </w:t>
      </w:r>
      <w:r>
        <w:rPr>
          <w:rFonts w:hint="cs"/>
          <w:rtl/>
        </w:rPr>
        <w:t xml:space="preserve">על </w:t>
      </w:r>
      <w:r w:rsidRPr="00661576">
        <w:rPr>
          <w:rFonts w:hint="cs"/>
          <w:rtl/>
        </w:rPr>
        <w:t>כל המשתמע ממנו.</w:t>
      </w:r>
      <w:r w:rsidRPr="00661576">
        <w:rPr>
          <w:rStyle w:val="a5"/>
          <w:rtl/>
        </w:rPr>
        <w:footnoteReference w:id="31"/>
      </w:r>
    </w:p>
    <w:p w14:paraId="5A5CBBBA" w14:textId="77777777" w:rsidR="00E0044E" w:rsidRPr="00661576" w:rsidRDefault="00E0044E" w:rsidP="00220583">
      <w:r w:rsidRPr="00661576">
        <w:rPr>
          <w:rFonts w:hint="cs"/>
          <w:rtl/>
        </w:rPr>
        <w:t>אמנם, ייתכן מא</w:t>
      </w:r>
      <w:r>
        <w:rPr>
          <w:rFonts w:hint="cs"/>
          <w:rtl/>
        </w:rPr>
        <w:t>ו</w:t>
      </w:r>
      <w:r w:rsidRPr="00661576">
        <w:rPr>
          <w:rFonts w:hint="cs"/>
          <w:rtl/>
        </w:rPr>
        <w:t>ד שבתיאורים אלה מציגה המגילה רק פן אחד מוקצן מחיי היהודים בשושן, והמציאות עצמה הייתה מורכבת יותר ורבת</w:t>
      </w:r>
      <w:r w:rsidRPr="00DA786A">
        <w:rPr>
          <w:b/>
          <w:position w:val="5"/>
          <w:rtl/>
        </w:rPr>
        <w:noBreakHyphen/>
      </w:r>
      <w:r w:rsidRPr="00661576">
        <w:rPr>
          <w:rFonts w:hint="cs"/>
          <w:rtl/>
        </w:rPr>
        <w:t>פנים. אין לי ספק למשל שמרדכי היהודי ואסתר ידעו לשון תפילה יהודית, ושם ה' לא היה זר להם.</w:t>
      </w:r>
      <w:r w:rsidRPr="00661576">
        <w:rPr>
          <w:rStyle w:val="a5"/>
          <w:rtl/>
        </w:rPr>
        <w:footnoteReference w:id="32"/>
      </w:r>
      <w:r w:rsidRPr="00661576">
        <w:rPr>
          <w:rFonts w:hint="cs"/>
          <w:rtl/>
        </w:rPr>
        <w:t xml:space="preserve"> </w:t>
      </w:r>
    </w:p>
    <w:p w14:paraId="329AAD0E" w14:textId="77777777" w:rsidR="00E0044E" w:rsidRPr="00661576" w:rsidRDefault="00E0044E" w:rsidP="00220583">
      <w:pPr>
        <w:rPr>
          <w:rtl/>
        </w:rPr>
      </w:pPr>
      <w:r w:rsidRPr="00661576">
        <w:rPr>
          <w:rFonts w:hint="cs"/>
          <w:rtl/>
        </w:rPr>
        <w:t xml:space="preserve">הבנת אופיה של </w:t>
      </w:r>
      <w:r>
        <w:rPr>
          <w:rFonts w:hint="cs"/>
          <w:rtl/>
        </w:rPr>
        <w:t>המגילה ההפוכה משם ה'</w:t>
      </w:r>
      <w:r w:rsidRPr="00661576">
        <w:rPr>
          <w:rFonts w:hint="cs"/>
          <w:rtl/>
        </w:rPr>
        <w:t xml:space="preserve"> מעלה את השאלה </w:t>
      </w:r>
      <w:r>
        <w:rPr>
          <w:rtl/>
        </w:rPr>
        <w:br/>
      </w:r>
      <w:r w:rsidRPr="00661576">
        <w:rPr>
          <w:rFonts w:hint="cs"/>
          <w:rtl/>
        </w:rPr>
        <w:t>איך נכללה מגילת אסתר בתנ"ך</w:t>
      </w:r>
      <w:r>
        <w:rPr>
          <w:rFonts w:hint="cs"/>
          <w:rtl/>
        </w:rPr>
        <w:t>.</w:t>
      </w:r>
      <w:r w:rsidRPr="00661576">
        <w:rPr>
          <w:rStyle w:val="a5"/>
          <w:rtl/>
        </w:rPr>
        <w:footnoteReference w:id="33"/>
      </w:r>
      <w:r w:rsidRPr="00661576">
        <w:rPr>
          <w:rFonts w:hint="cs"/>
          <w:rtl/>
        </w:rPr>
        <w:t xml:space="preserve"> התשובה לכך היא דווקא הצורך הרעיוני </w:t>
      </w:r>
      <w:r>
        <w:rPr>
          <w:rFonts w:hint="cs"/>
          <w:rtl/>
        </w:rPr>
        <w:t>בהעלאת</w:t>
      </w:r>
      <w:r w:rsidRPr="00661576">
        <w:rPr>
          <w:rFonts w:hint="cs"/>
          <w:rtl/>
        </w:rPr>
        <w:t xml:space="preserve"> השאלה מי שולט בעולם ההפך</w:t>
      </w:r>
      <w:r>
        <w:rPr>
          <w:rFonts w:hint="cs"/>
          <w:rtl/>
        </w:rPr>
        <w:t xml:space="preserve">. </w:t>
      </w:r>
      <w:r w:rsidRPr="00661576">
        <w:rPr>
          <w:rFonts w:hint="cs"/>
          <w:rtl/>
        </w:rPr>
        <w:t>אילו היה ביד</w:t>
      </w:r>
      <w:r>
        <w:rPr>
          <w:rFonts w:hint="cs"/>
          <w:rtl/>
        </w:rPr>
        <w:t>י</w:t>
      </w:r>
      <w:r w:rsidRPr="00661576">
        <w:rPr>
          <w:rFonts w:hint="cs"/>
          <w:rtl/>
        </w:rPr>
        <w:t>נו התנ"ך ללא מגילת אסתר, היינו מכירים את הקב"ה רק במקום ש</w:t>
      </w:r>
      <w:r>
        <w:rPr>
          <w:rFonts w:hint="cs"/>
          <w:rtl/>
        </w:rPr>
        <w:t xml:space="preserve">בו </w:t>
      </w:r>
      <w:r w:rsidRPr="00661576">
        <w:rPr>
          <w:rFonts w:hint="cs"/>
          <w:rtl/>
        </w:rPr>
        <w:t>ניתן לקרוא בשמו. המגילה באה להשלים חיסרון שאי</w:t>
      </w:r>
      <w:r w:rsidRPr="00DA786A">
        <w:rPr>
          <w:b/>
          <w:position w:val="5"/>
          <w:rtl/>
        </w:rPr>
        <w:noBreakHyphen/>
      </w:r>
      <w:r w:rsidRPr="00661576">
        <w:rPr>
          <w:rFonts w:hint="cs"/>
          <w:rtl/>
        </w:rPr>
        <w:t xml:space="preserve">אפשר בלעדיו </w:t>
      </w:r>
      <w:r>
        <w:rPr>
          <w:rtl/>
        </w:rPr>
        <w:t>—</w:t>
      </w:r>
      <w:r w:rsidRPr="00661576">
        <w:rPr>
          <w:rFonts w:hint="cs"/>
          <w:rtl/>
        </w:rPr>
        <w:t xml:space="preserve"> ללמד אותנו שהקב"ה נמצא במסתרים גם במקומות ש</w:t>
      </w:r>
      <w:r>
        <w:rPr>
          <w:rFonts w:hint="cs"/>
          <w:rtl/>
        </w:rPr>
        <w:t xml:space="preserve">בהם </w:t>
      </w:r>
      <w:r w:rsidRPr="00661576">
        <w:rPr>
          <w:rFonts w:hint="cs"/>
          <w:rtl/>
        </w:rPr>
        <w:t>אי</w:t>
      </w:r>
      <w:r w:rsidRPr="00DA786A">
        <w:rPr>
          <w:b/>
          <w:position w:val="5"/>
          <w:rtl/>
        </w:rPr>
        <w:noBreakHyphen/>
      </w:r>
      <w:r w:rsidRPr="00661576">
        <w:rPr>
          <w:rFonts w:hint="cs"/>
          <w:rtl/>
        </w:rPr>
        <w:t>אפשר לנקוב בשמו</w:t>
      </w:r>
      <w:r>
        <w:rPr>
          <w:rFonts w:hint="cs"/>
          <w:rtl/>
        </w:rPr>
        <w:t>,</w:t>
      </w:r>
      <w:r w:rsidRPr="00661576">
        <w:rPr>
          <w:rFonts w:hint="cs"/>
          <w:rtl/>
        </w:rPr>
        <w:t xml:space="preserve"> גם ב</w:t>
      </w:r>
      <w:r>
        <w:rPr>
          <w:rFonts w:hint="cs"/>
          <w:rtl/>
        </w:rPr>
        <w:t xml:space="preserve">מצבים </w:t>
      </w:r>
      <w:r w:rsidRPr="00661576">
        <w:rPr>
          <w:rFonts w:hint="cs"/>
          <w:rtl/>
        </w:rPr>
        <w:t>שבה</w:t>
      </w:r>
      <w:r>
        <w:rPr>
          <w:rFonts w:hint="cs"/>
          <w:rtl/>
        </w:rPr>
        <w:t>ם</w:t>
      </w:r>
      <w:r w:rsidRPr="00661576">
        <w:rPr>
          <w:rFonts w:hint="cs"/>
          <w:rtl/>
        </w:rPr>
        <w:t xml:space="preserve"> אי</w:t>
      </w:r>
      <w:r w:rsidRPr="00DA786A">
        <w:rPr>
          <w:b/>
          <w:position w:val="5"/>
          <w:rtl/>
        </w:rPr>
        <w:noBreakHyphen/>
      </w:r>
      <w:r w:rsidRPr="00661576">
        <w:rPr>
          <w:rFonts w:hint="cs"/>
          <w:rtl/>
        </w:rPr>
        <w:t>אפשר להזכיר כלל תפילה, הלכה או כל דבר שבקדושה. המגילה מראה את דרכי ההשגחה בממלכת 'ההפך', השגחה הפועלת בתוך דרכי 'ההפך' ובמושגי תרבות 'ההפך'</w:t>
      </w:r>
      <w:r>
        <w:rPr>
          <w:rFonts w:hint="cs"/>
          <w:rtl/>
        </w:rPr>
        <w:t>.</w:t>
      </w:r>
      <w:r w:rsidRPr="00661576">
        <w:rPr>
          <w:rFonts w:hint="cs"/>
          <w:rtl/>
        </w:rPr>
        <w:t xml:space="preserve"> פורים </w:t>
      </w:r>
      <w:r>
        <w:rPr>
          <w:rFonts w:hint="cs"/>
          <w:rtl/>
        </w:rPr>
        <w:t>נקרא "</w:t>
      </w:r>
      <w:r w:rsidRPr="005F14B9">
        <w:rPr>
          <w:rtl/>
        </w:rPr>
        <w:t>עַל שֵׁם הַפּוּר</w:t>
      </w:r>
      <w:r w:rsidRPr="00661576">
        <w:rPr>
          <w:rFonts w:hint="cs"/>
          <w:rtl/>
        </w:rPr>
        <w:t>" (ט', כו), כשעל פני הדברים הכ</w:t>
      </w:r>
      <w:r>
        <w:rPr>
          <w:rFonts w:hint="cs"/>
          <w:rtl/>
        </w:rPr>
        <w:t>ו</w:t>
      </w:r>
      <w:r w:rsidRPr="00661576">
        <w:rPr>
          <w:rFonts w:hint="cs"/>
          <w:rtl/>
        </w:rPr>
        <w:t>ל מתנהל בדרכי האינטריגות, המקרה ו"</w:t>
      </w:r>
      <w:r w:rsidRPr="005F14B9">
        <w:rPr>
          <w:rtl/>
        </w:rPr>
        <w:t>פּוּר הוּא הַגּוֹרָל</w:t>
      </w:r>
      <w:r w:rsidRPr="00661576">
        <w:rPr>
          <w:rFonts w:hint="cs"/>
          <w:rtl/>
        </w:rPr>
        <w:t>" (ג', ז; ט', כ</w:t>
      </w:r>
      <w:r>
        <w:rPr>
          <w:rFonts w:hint="cs"/>
          <w:rtl/>
        </w:rPr>
        <w:t>ד</w:t>
      </w:r>
      <w:r w:rsidRPr="00661576">
        <w:rPr>
          <w:rFonts w:hint="cs"/>
          <w:rtl/>
        </w:rPr>
        <w:t>).</w:t>
      </w:r>
    </w:p>
    <w:p w14:paraId="72EDCDCC" w14:textId="77777777" w:rsidR="00E0044E" w:rsidRPr="00661576" w:rsidRDefault="00E0044E" w:rsidP="00220583">
      <w:pPr>
        <w:rPr>
          <w:rtl/>
        </w:rPr>
      </w:pPr>
      <w:r w:rsidRPr="00661576">
        <w:rPr>
          <w:rFonts w:hint="cs"/>
          <w:rtl/>
        </w:rPr>
        <w:t>כאן אנו נפגשים בנקודה עמוקה הקשורה לתרבות הפרסית. האמונה הפרסית מחלקת את העולם לשתי רשויות של טוב ושל רע הנאבק</w:t>
      </w:r>
      <w:r>
        <w:rPr>
          <w:rFonts w:hint="cs"/>
          <w:rtl/>
        </w:rPr>
        <w:t>ות</w:t>
      </w:r>
      <w:r w:rsidRPr="00661576">
        <w:rPr>
          <w:rFonts w:hint="cs"/>
          <w:rtl/>
        </w:rPr>
        <w:t xml:space="preserve"> ביניה</w:t>
      </w:r>
      <w:r>
        <w:rPr>
          <w:rFonts w:hint="cs"/>
          <w:rtl/>
        </w:rPr>
        <w:t>ן</w:t>
      </w:r>
      <w:r w:rsidRPr="00661576">
        <w:rPr>
          <w:rFonts w:hint="cs"/>
          <w:rtl/>
        </w:rPr>
        <w:t>.</w:t>
      </w:r>
      <w:r w:rsidRPr="00443A71">
        <w:rPr>
          <w:rStyle w:val="a5"/>
          <w:rtl/>
        </w:rPr>
        <w:footnoteReference w:id="34"/>
      </w:r>
      <w:r w:rsidRPr="00661576">
        <w:rPr>
          <w:rFonts w:hint="cs"/>
          <w:rtl/>
        </w:rPr>
        <w:t xml:space="preserve"> המגילה באה ללמד בדרך 'ההפך' שהקב"ה הוא "</w:t>
      </w:r>
      <w:r>
        <w:rPr>
          <w:rFonts w:hint="cs"/>
          <w:rtl/>
        </w:rPr>
        <w:t>י</w:t>
      </w:r>
      <w:r w:rsidRPr="009F7C32">
        <w:rPr>
          <w:rtl/>
        </w:rPr>
        <w:t>וֹצֵר אוֹר וּבוֹרֵא חֹשֶׁךְ עֹשֶׂה שָׁלוֹם וּבוֹרֵא רָע</w:t>
      </w:r>
      <w:r w:rsidRPr="00661576">
        <w:rPr>
          <w:rFonts w:hint="cs"/>
          <w:rtl/>
        </w:rPr>
        <w:t>" (ישעיה</w:t>
      </w:r>
      <w:r>
        <w:rPr>
          <w:rFonts w:hint="cs"/>
          <w:rtl/>
        </w:rPr>
        <w:t>ו</w:t>
      </w:r>
      <w:r w:rsidRPr="00661576">
        <w:rPr>
          <w:rFonts w:hint="cs"/>
          <w:rtl/>
        </w:rPr>
        <w:t xml:space="preserve"> מ"ה, ז) </w:t>
      </w:r>
      <w:r>
        <w:rPr>
          <w:rtl/>
        </w:rPr>
        <w:t>—</w:t>
      </w:r>
      <w:r w:rsidRPr="00661576">
        <w:rPr>
          <w:rFonts w:hint="cs"/>
          <w:rtl/>
        </w:rPr>
        <w:t xml:space="preserve"> הקב"ה הוא </w:t>
      </w:r>
      <w:r>
        <w:rPr>
          <w:rFonts w:hint="cs"/>
          <w:rtl/>
        </w:rPr>
        <w:t>ש</w:t>
      </w:r>
      <w:r w:rsidRPr="00661576">
        <w:rPr>
          <w:rFonts w:hint="cs"/>
          <w:rtl/>
        </w:rPr>
        <w:t xml:space="preserve">מנהל גם את עולם 'ההפך' מתחת לכל ההסתרה. </w:t>
      </w:r>
      <w:r>
        <w:rPr>
          <w:rFonts w:hint="cs"/>
          <w:rtl/>
        </w:rPr>
        <w:t xml:space="preserve">כך </w:t>
      </w:r>
      <w:r w:rsidRPr="00661576">
        <w:rPr>
          <w:rFonts w:hint="cs"/>
          <w:rtl/>
        </w:rPr>
        <w:t>מצאנו בגמרא (חולין קלט ע"ב): "אסתר מן התורה מניין? 'ואנכי הסתר אסתיר [פני ביום ההוא]' (דברים ל"א, יח)". אסתר באה ללמדנו את השגחת ה' בזמן של הסתר פנים, בזמן שבו אי</w:t>
      </w:r>
      <w:r w:rsidRPr="00DA786A">
        <w:rPr>
          <w:b/>
          <w:position w:val="5"/>
          <w:rtl/>
        </w:rPr>
        <w:noBreakHyphen/>
      </w:r>
      <w:r>
        <w:rPr>
          <w:rFonts w:hint="cs"/>
          <w:rtl/>
        </w:rPr>
        <w:t>אפשר לראות את ההשגחה באופן גלוי על פני השטח.</w:t>
      </w:r>
    </w:p>
    <w:p w14:paraId="27FCF18A" w14:textId="77777777" w:rsidR="00E0044E" w:rsidRPr="00661576" w:rsidRDefault="00E0044E" w:rsidP="00220583">
      <w:pPr>
        <w:rPr>
          <w:rtl/>
        </w:rPr>
      </w:pPr>
      <w:r w:rsidRPr="00661576">
        <w:rPr>
          <w:rFonts w:hint="cs"/>
          <w:rtl/>
        </w:rPr>
        <w:t xml:space="preserve">הוכחה לטיעוננו זה ניתן להביא מההקבלה שבין ארמון המלך במגילה, שיש בו חצר חיצונה ופנימית, ובין בית המקדש, </w:t>
      </w:r>
      <w:r>
        <w:rPr>
          <w:rFonts w:hint="cs"/>
          <w:rtl/>
        </w:rPr>
        <w:t xml:space="preserve">שאף לגביו מוזכרות ביחזקאל בפירוש </w:t>
      </w:r>
      <w:r w:rsidRPr="00661576">
        <w:rPr>
          <w:rFonts w:hint="cs"/>
          <w:rtl/>
        </w:rPr>
        <w:t>חצר חיצונה וחצר פנימית.</w:t>
      </w:r>
      <w:r w:rsidRPr="001326FB">
        <w:rPr>
          <w:rStyle w:val="a5"/>
          <w:rtl/>
        </w:rPr>
        <w:footnoteReference w:id="35"/>
      </w:r>
    </w:p>
    <w:p w14:paraId="2DCAFA4C" w14:textId="77777777" w:rsidR="00E0044E" w:rsidRPr="00661576" w:rsidRDefault="00E0044E" w:rsidP="00220583">
      <w:pPr>
        <w:rPr>
          <w:rtl/>
        </w:rPr>
      </w:pPr>
      <w:r w:rsidRPr="00661576">
        <w:rPr>
          <w:rFonts w:hint="cs"/>
          <w:rtl/>
        </w:rPr>
        <w:t>המקרא מתאר את המשכן ואת בית ה' ובתוכם קודש קודשים, שאפילו הכוהן הגדול לא יבוא אליו "</w:t>
      </w:r>
      <w:r w:rsidRPr="00351D00">
        <w:rPr>
          <w:rtl/>
        </w:rPr>
        <w:t>בְכָל עֵת</w:t>
      </w:r>
      <w:r>
        <w:rPr>
          <w:rFonts w:hint="cs"/>
          <w:rtl/>
        </w:rPr>
        <w:t xml:space="preserve">... </w:t>
      </w:r>
      <w:r w:rsidRPr="00351D00">
        <w:rPr>
          <w:rtl/>
        </w:rPr>
        <w:t>וְלֹא יָמוּת</w:t>
      </w:r>
      <w:r w:rsidRPr="00661576">
        <w:rPr>
          <w:rFonts w:hint="cs"/>
          <w:rtl/>
        </w:rPr>
        <w:t xml:space="preserve">" (ויקרא ט"ז, ב), </w:t>
      </w:r>
      <w:r w:rsidRPr="0051308E">
        <w:rPr>
          <w:rtl/>
        </w:rPr>
        <w:t>לבד מאשר ביום הכיפורים שציווה עליו מלך מלכי המלכים, כאשר הוא נכנס לכפר על ישראל.</w:t>
      </w:r>
      <w:r>
        <w:rPr>
          <w:rFonts w:hint="cs"/>
          <w:rtl/>
        </w:rPr>
        <w:t xml:space="preserve"> מקביל, </w:t>
      </w:r>
      <w:r w:rsidRPr="00661576">
        <w:rPr>
          <w:rFonts w:hint="cs"/>
          <w:rtl/>
        </w:rPr>
        <w:t>בעולם 'ההפך' של המגילה מתואר מלך הרואה את עצמו כשליט העולם.</w:t>
      </w:r>
      <w:r w:rsidRPr="001326FB">
        <w:rPr>
          <w:rStyle w:val="a5"/>
          <w:rtl/>
        </w:rPr>
        <w:footnoteReference w:id="36"/>
      </w:r>
      <w:r w:rsidRPr="00661576">
        <w:rPr>
          <w:rFonts w:hint="cs"/>
          <w:rtl/>
        </w:rPr>
        <w:t xml:space="preserve"> בארמונו יש חצר פנימית</w:t>
      </w:r>
      <w:r>
        <w:rPr>
          <w:rFonts w:hint="cs"/>
          <w:rtl/>
        </w:rPr>
        <w:t>,</w:t>
      </w:r>
      <w:r w:rsidRPr="00661576">
        <w:rPr>
          <w:rFonts w:hint="cs"/>
          <w:rtl/>
        </w:rPr>
        <w:t xml:space="preserve"> שהנכנס אליה "</w:t>
      </w:r>
      <w:r w:rsidRPr="00351D00">
        <w:rPr>
          <w:rtl/>
        </w:rPr>
        <w:t>אַחַת דָּתוֹ לְהָמִית</w:t>
      </w:r>
      <w:r w:rsidRPr="00661576">
        <w:rPr>
          <w:rFonts w:hint="cs"/>
          <w:rtl/>
        </w:rPr>
        <w:t xml:space="preserve">" (ד', יא), אם לא יושיט לו </w:t>
      </w:r>
      <w:r>
        <w:rPr>
          <w:rFonts w:hint="cs"/>
          <w:rtl/>
        </w:rPr>
        <w:t>'</w:t>
      </w:r>
      <w:r w:rsidRPr="00661576">
        <w:rPr>
          <w:rFonts w:hint="cs"/>
          <w:rtl/>
        </w:rPr>
        <w:t>המלך</w:t>
      </w:r>
      <w:r>
        <w:rPr>
          <w:rFonts w:hint="cs"/>
          <w:rtl/>
        </w:rPr>
        <w:t>'</w:t>
      </w:r>
      <w:r w:rsidRPr="00661576">
        <w:rPr>
          <w:rFonts w:hint="cs"/>
          <w:rtl/>
        </w:rPr>
        <w:t xml:space="preserve"> את שרביט הזהב. אסתר נכנסת אליה בסכנת נפשות ומתוך צום כדי להציל את עמה.</w:t>
      </w:r>
    </w:p>
    <w:p w14:paraId="5EF1142B" w14:textId="77777777" w:rsidR="00E0044E" w:rsidRDefault="00E0044E" w:rsidP="00220583">
      <w:pPr>
        <w:rPr>
          <w:rtl/>
        </w:rPr>
      </w:pPr>
      <w:r w:rsidRPr="00661576">
        <w:rPr>
          <w:rFonts w:hint="cs"/>
          <w:rtl/>
        </w:rPr>
        <w:t>אסתר היא היפוכו של הכ</w:t>
      </w:r>
      <w:r>
        <w:rPr>
          <w:rFonts w:hint="cs"/>
          <w:rtl/>
        </w:rPr>
        <w:t>ו</w:t>
      </w:r>
      <w:r w:rsidRPr="00661576">
        <w:rPr>
          <w:rFonts w:hint="cs"/>
          <w:rtl/>
        </w:rPr>
        <w:t>הן: מלכה, א</w:t>
      </w:r>
      <w:r>
        <w:rPr>
          <w:rFonts w:hint="cs"/>
          <w:rtl/>
        </w:rPr>
        <w:t>י</w:t>
      </w:r>
      <w:r w:rsidRPr="00661576">
        <w:rPr>
          <w:rFonts w:hint="cs"/>
          <w:rtl/>
        </w:rPr>
        <w:t>שה הלובשת בגדי מלכות</w:t>
      </w:r>
      <w:r>
        <w:rPr>
          <w:rFonts w:hint="cs"/>
          <w:rtl/>
        </w:rPr>
        <w:t>,</w:t>
      </w:r>
      <w:r w:rsidRPr="00661576">
        <w:rPr>
          <w:rFonts w:hint="cs"/>
          <w:rtl/>
        </w:rPr>
        <w:t xml:space="preserve"> בגדי תפארת ופיתוי, מול הכ</w:t>
      </w:r>
      <w:r>
        <w:rPr>
          <w:rFonts w:hint="cs"/>
          <w:rtl/>
        </w:rPr>
        <w:t>ו</w:t>
      </w:r>
      <w:r w:rsidRPr="00661576">
        <w:rPr>
          <w:rFonts w:hint="cs"/>
          <w:rtl/>
        </w:rPr>
        <w:t xml:space="preserve">הן הגדול הלובש בגדי לבן פשוטים, בגדי מלאך משרת. </w:t>
      </w:r>
    </w:p>
    <w:p w14:paraId="619F984D" w14:textId="77777777" w:rsidR="00E0044E" w:rsidRPr="00661576" w:rsidRDefault="00E0044E" w:rsidP="00220583">
      <w:pPr>
        <w:rPr>
          <w:rtl/>
        </w:rPr>
      </w:pPr>
      <w:r w:rsidRPr="00661576">
        <w:rPr>
          <w:rFonts w:hint="cs"/>
          <w:rtl/>
        </w:rPr>
        <w:t>יש הקבלה גם בין הכניסות: הכ</w:t>
      </w:r>
      <w:r>
        <w:rPr>
          <w:rFonts w:hint="cs"/>
          <w:rtl/>
        </w:rPr>
        <w:t>ו</w:t>
      </w:r>
      <w:r w:rsidRPr="00661576">
        <w:rPr>
          <w:rFonts w:hint="cs"/>
          <w:rtl/>
        </w:rPr>
        <w:t>הן הגדול נכנס שתי פעמים עיקריות (השלישית היא רק להוציא את הכף והמחתה): האחת כדי להקטיר ולפרוס מסך של ענן קטורת מכסה, והשנייה לצורך ה</w:t>
      </w:r>
      <w:r>
        <w:rPr>
          <w:rFonts w:hint="cs"/>
          <w:rtl/>
        </w:rPr>
        <w:t>ַ</w:t>
      </w:r>
      <w:r w:rsidRPr="00661576">
        <w:rPr>
          <w:rFonts w:hint="cs"/>
          <w:rtl/>
        </w:rPr>
        <w:t>ז</w:t>
      </w:r>
      <w:r>
        <w:rPr>
          <w:rFonts w:hint="cs"/>
          <w:rtl/>
        </w:rPr>
        <w:t>ָ</w:t>
      </w:r>
      <w:r w:rsidRPr="00661576">
        <w:rPr>
          <w:rFonts w:hint="cs"/>
          <w:rtl/>
        </w:rPr>
        <w:t>א</w:t>
      </w:r>
      <w:r>
        <w:rPr>
          <w:rFonts w:hint="cs"/>
          <w:rtl/>
        </w:rPr>
        <w:t>ַ</w:t>
      </w:r>
      <w:r w:rsidRPr="00661576">
        <w:rPr>
          <w:rFonts w:hint="cs"/>
          <w:rtl/>
        </w:rPr>
        <w:t xml:space="preserve">ת הדמים המכפרת. אסתר גם היא נכנסת פעמיים: הכניסה הראשונה לצורך זימון המשתה שמטרתו לערפל ולטשטש, והשנייה </w:t>
      </w:r>
      <w:r>
        <w:rPr>
          <w:rtl/>
        </w:rPr>
        <w:t>—</w:t>
      </w:r>
      <w:r w:rsidRPr="00661576">
        <w:rPr>
          <w:rFonts w:hint="cs"/>
          <w:rtl/>
        </w:rPr>
        <w:t xml:space="preserve"> לאחר תליית המן, בשעה שהגזרה טרם בוטלה </w:t>
      </w:r>
      <w:r>
        <w:rPr>
          <w:rtl/>
        </w:rPr>
        <w:t>—</w:t>
      </w:r>
      <w:r w:rsidRPr="00661576">
        <w:rPr>
          <w:rFonts w:hint="cs"/>
          <w:rtl/>
        </w:rPr>
        <w:t xml:space="preserve"> כדי להתחנן ולהציל את עמה.</w:t>
      </w:r>
      <w:r w:rsidRPr="002560FB">
        <w:rPr>
          <w:rStyle w:val="a5"/>
          <w:rtl/>
        </w:rPr>
        <w:footnoteReference w:id="37"/>
      </w:r>
    </w:p>
    <w:p w14:paraId="42A2A447" w14:textId="77777777" w:rsidR="00E0044E" w:rsidRPr="00661576" w:rsidRDefault="00E0044E" w:rsidP="00220583">
      <w:pPr>
        <w:rPr>
          <w:rtl/>
        </w:rPr>
      </w:pPr>
      <w:r w:rsidRPr="00661576">
        <w:rPr>
          <w:rFonts w:hint="cs"/>
          <w:rtl/>
        </w:rPr>
        <w:t xml:space="preserve">מגילת אסתר משלימה אפוא את התנ"ך. היא נכתבה במכוון בצורה חילונית ומוקצנת כל כך כדי ללמדנו שהשגחת ה' נמצאת גם במקומות ובמצבים הרחוקים מקדושה, וכי יד ה' היא המנהלת את העולם גם במקומות של הסתר פנים </w:t>
      </w:r>
      <w:r>
        <w:rPr>
          <w:rtl/>
        </w:rPr>
        <w:t>—</w:t>
      </w:r>
      <w:r w:rsidRPr="00661576">
        <w:rPr>
          <w:rFonts w:hint="cs"/>
          <w:rtl/>
        </w:rPr>
        <w:t xml:space="preserve"> "</w:t>
      </w:r>
      <w:r w:rsidRPr="00351D00">
        <w:rPr>
          <w:rtl/>
        </w:rPr>
        <w:t>וַאֲנִי בְתוֹךְ הַגּוֹלָה</w:t>
      </w:r>
      <w:r w:rsidRPr="00661576">
        <w:rPr>
          <w:rFonts w:hint="cs"/>
          <w:rtl/>
        </w:rPr>
        <w:t>" (יחזקאל א'</w:t>
      </w:r>
      <w:r>
        <w:rPr>
          <w:rFonts w:hint="cs"/>
          <w:rtl/>
        </w:rPr>
        <w:t>,</w:t>
      </w:r>
      <w:r w:rsidRPr="00661576">
        <w:rPr>
          <w:rFonts w:hint="cs"/>
          <w:rtl/>
        </w:rPr>
        <w:t xml:space="preserve"> א).</w:t>
      </w:r>
      <w:r w:rsidRPr="00E31804">
        <w:rPr>
          <w:rStyle w:val="a5"/>
          <w:rtl/>
        </w:rPr>
        <w:footnoteReference w:id="38"/>
      </w:r>
    </w:p>
    <w:p w14:paraId="74851D9E" w14:textId="77777777" w:rsidR="00E0044E" w:rsidRPr="00661576" w:rsidRDefault="00E0044E" w:rsidP="00220583">
      <w:pPr>
        <w:pStyle w:val="31"/>
        <w:rPr>
          <w:rtl/>
        </w:rPr>
      </w:pPr>
      <w:r>
        <w:rPr>
          <w:rFonts w:hint="cs"/>
          <w:rtl/>
        </w:rPr>
        <w:t xml:space="preserve">ו. </w:t>
      </w:r>
      <w:r w:rsidRPr="00661576">
        <w:rPr>
          <w:rFonts w:hint="cs"/>
          <w:rtl/>
        </w:rPr>
        <w:t xml:space="preserve">זכות להתגונן לפי החוק </w:t>
      </w:r>
      <w:r>
        <w:rPr>
          <w:rtl/>
        </w:rPr>
        <w:t>—</w:t>
      </w:r>
      <w:r w:rsidRPr="00661576">
        <w:rPr>
          <w:rFonts w:hint="cs"/>
          <w:rtl/>
        </w:rPr>
        <w:t xml:space="preserve"> ליום אחד</w:t>
      </w:r>
    </w:p>
    <w:p w14:paraId="31CE30D5" w14:textId="77777777" w:rsidR="00E0044E" w:rsidRPr="00661576" w:rsidRDefault="00E0044E" w:rsidP="00220583">
      <w:pPr>
        <w:rPr>
          <w:rtl/>
        </w:rPr>
      </w:pPr>
      <w:r w:rsidRPr="00661576">
        <w:rPr>
          <w:rFonts w:hint="cs"/>
          <w:rtl/>
        </w:rPr>
        <w:t xml:space="preserve">גם </w:t>
      </w:r>
      <w:r>
        <w:rPr>
          <w:rFonts w:hint="cs"/>
          <w:rtl/>
        </w:rPr>
        <w:t>ל</w:t>
      </w:r>
      <w:r w:rsidRPr="00661576">
        <w:rPr>
          <w:rFonts w:hint="cs"/>
          <w:rtl/>
        </w:rPr>
        <w:t xml:space="preserve">אחר תליית המן לא נרגעה אסתר, </w:t>
      </w:r>
      <w:r>
        <w:rPr>
          <w:rFonts w:hint="cs"/>
          <w:rtl/>
        </w:rPr>
        <w:t>שכן</w:t>
      </w:r>
      <w:r w:rsidRPr="00661576">
        <w:rPr>
          <w:rFonts w:hint="cs"/>
          <w:rtl/>
        </w:rPr>
        <w:t xml:space="preserve"> הספרים שכתב נותרו בתוקף, והסכנה </w:t>
      </w:r>
      <w:r>
        <w:rPr>
          <w:rFonts w:hint="cs"/>
          <w:rtl/>
        </w:rPr>
        <w:t xml:space="preserve">המרחפת </w:t>
      </w:r>
      <w:r w:rsidRPr="00661576">
        <w:rPr>
          <w:rFonts w:hint="cs"/>
          <w:rtl/>
        </w:rPr>
        <w:t>על ראש היהודים יצאה לדרך ביורוקרטית ועלולה הייתה להתבצע ביעילות של האימפריה. ניסיונה הנועז של אסתר המלכה "</w:t>
      </w:r>
      <w:r>
        <w:rPr>
          <w:rtl/>
        </w:rPr>
        <w:t>לְהָשִׁיב אֶת הַסְּפָרִים מַחֲשֶׁבֶת הָמָן</w:t>
      </w:r>
      <w:r w:rsidRPr="00661576">
        <w:rPr>
          <w:rFonts w:hint="cs"/>
          <w:rtl/>
        </w:rPr>
        <w:t xml:space="preserve">..." (ח', </w:t>
      </w:r>
      <w:r>
        <w:rPr>
          <w:rFonts w:hint="cs"/>
          <w:rtl/>
        </w:rPr>
        <w:t>ה</w:t>
      </w:r>
      <w:r w:rsidRPr="00661576">
        <w:rPr>
          <w:rFonts w:hint="cs"/>
          <w:rtl/>
        </w:rPr>
        <w:t xml:space="preserve">) ולמחוק את הגזרה הרעה כאילו לא הייתה </w:t>
      </w:r>
      <w:r>
        <w:rPr>
          <w:rtl/>
        </w:rPr>
        <w:t>—</w:t>
      </w:r>
      <w:r w:rsidRPr="00661576">
        <w:rPr>
          <w:rFonts w:hint="cs"/>
          <w:rtl/>
        </w:rPr>
        <w:t xml:space="preserve"> נכשל! למרות הכניסה הנוספת בסכנת נפשות אל החצר הפנימית של המלך הסביר לה אחשורוש מה </w:t>
      </w:r>
      <w:r>
        <w:rPr>
          <w:rFonts w:hint="cs"/>
          <w:rtl/>
        </w:rPr>
        <w:t xml:space="preserve">נמצא </w:t>
      </w:r>
      <w:r w:rsidRPr="00661576">
        <w:rPr>
          <w:rFonts w:hint="cs"/>
          <w:rtl/>
        </w:rPr>
        <w:t>מעבר ל</w:t>
      </w:r>
      <w:r>
        <w:rPr>
          <w:rFonts w:hint="cs"/>
          <w:rtl/>
        </w:rPr>
        <w:t>"</w:t>
      </w:r>
      <w:r w:rsidRPr="00551F4E">
        <w:rPr>
          <w:rtl/>
        </w:rPr>
        <w:t>חֲצִי הַמַּלְכוּת</w:t>
      </w:r>
      <w:r w:rsidRPr="00661576">
        <w:rPr>
          <w:rFonts w:hint="cs"/>
          <w:rtl/>
        </w:rPr>
        <w:t xml:space="preserve">" (ה', ג, ו; ז', ב) </w:t>
      </w:r>
      <w:r>
        <w:rPr>
          <w:rtl/>
        </w:rPr>
        <w:t>—</w:t>
      </w:r>
      <w:r>
        <w:rPr>
          <w:rFonts w:hint="cs"/>
          <w:rtl/>
        </w:rPr>
        <w:t xml:space="preserve"> </w:t>
      </w:r>
      <w:r w:rsidRPr="00661576">
        <w:rPr>
          <w:rFonts w:hint="cs"/>
          <w:rtl/>
        </w:rPr>
        <w:t>"</w:t>
      </w:r>
      <w:r>
        <w:rPr>
          <w:rtl/>
        </w:rPr>
        <w:t>כִּי כְתָב אֲשֶׁר נִכְתָּב בְּשֵׁם הַמֶּלֶךְ וְנַחְתּוֹם בְּטַבַּעַת הַמֶּלֶךְ אֵין לְהָשִׁיב</w:t>
      </w:r>
      <w:r w:rsidRPr="00661576">
        <w:rPr>
          <w:rFonts w:hint="cs"/>
          <w:rtl/>
        </w:rPr>
        <w:t>" (ח', ח)</w:t>
      </w:r>
      <w:r>
        <w:rPr>
          <w:rFonts w:hint="cs"/>
          <w:rtl/>
        </w:rPr>
        <w:t>.</w:t>
      </w:r>
      <w:r w:rsidRPr="00661576">
        <w:rPr>
          <w:rFonts w:hint="cs"/>
          <w:rtl/>
        </w:rPr>
        <w:t xml:space="preserve"> במילים אחרות</w:t>
      </w:r>
      <w:r>
        <w:rPr>
          <w:rFonts w:hint="cs"/>
          <w:rtl/>
        </w:rPr>
        <w:t>,</w:t>
      </w:r>
      <w:r w:rsidRPr="00661576">
        <w:rPr>
          <w:rFonts w:hint="cs"/>
          <w:rtl/>
        </w:rPr>
        <w:t xml:space="preserve"> אי</w:t>
      </w:r>
      <w:r w:rsidRPr="00DA786A">
        <w:rPr>
          <w:b/>
          <w:position w:val="5"/>
          <w:rtl/>
        </w:rPr>
        <w:noBreakHyphen/>
      </w:r>
      <w:r w:rsidRPr="00661576">
        <w:rPr>
          <w:rFonts w:hint="cs"/>
          <w:rtl/>
        </w:rPr>
        <w:t xml:space="preserve">אפשר לנהל אימפריה גדולה, </w:t>
      </w:r>
      <w:r>
        <w:rPr>
          <w:rFonts w:hint="cs"/>
          <w:rtl/>
        </w:rPr>
        <w:t>מאה עשרים ושבע</w:t>
      </w:r>
      <w:r w:rsidRPr="00661576">
        <w:rPr>
          <w:rFonts w:hint="cs"/>
          <w:rtl/>
        </w:rPr>
        <w:t xml:space="preserve"> מדינה, אם כל </w:t>
      </w:r>
      <w:r w:rsidRPr="0051308E">
        <w:rPr>
          <w:rtl/>
        </w:rPr>
        <w:t>פֶּחָה</w:t>
      </w:r>
      <w:r>
        <w:rPr>
          <w:rFonts w:hint="cs"/>
          <w:rtl/>
        </w:rPr>
        <w:t xml:space="preserve"> </w:t>
      </w:r>
      <w:r w:rsidRPr="00661576">
        <w:rPr>
          <w:rFonts w:hint="cs"/>
          <w:rtl/>
        </w:rPr>
        <w:t>פרסי וכל מנהיג מקומי יחשוב שאפשר "</w:t>
      </w:r>
      <w:r w:rsidRPr="00551F4E">
        <w:rPr>
          <w:rtl/>
        </w:rPr>
        <w:t>לְהָשִׁיב אֶת הַסְּפָרִים</w:t>
      </w:r>
      <w:r w:rsidRPr="00661576">
        <w:rPr>
          <w:rFonts w:hint="cs"/>
          <w:rtl/>
        </w:rPr>
        <w:t>", כי שום פקודה שקשה לקבל אותה</w:t>
      </w:r>
      <w:r>
        <w:rPr>
          <w:rFonts w:hint="cs"/>
          <w:rtl/>
        </w:rPr>
        <w:t xml:space="preserve"> לא תתבצע.</w:t>
      </w:r>
    </w:p>
    <w:p w14:paraId="4E342DB9" w14:textId="77777777" w:rsidR="00E0044E" w:rsidRPr="00661576" w:rsidRDefault="00E0044E" w:rsidP="00220583">
      <w:pPr>
        <w:rPr>
          <w:rtl/>
        </w:rPr>
      </w:pPr>
      <w:r w:rsidRPr="00661576">
        <w:rPr>
          <w:rFonts w:hint="cs"/>
          <w:rtl/>
        </w:rPr>
        <w:t xml:space="preserve">הפתרון של אחשורוש היה אופייני לו ול'ממלכת הטבעת' </w:t>
      </w:r>
      <w:r>
        <w:rPr>
          <w:rtl/>
        </w:rPr>
        <w:t>—</w:t>
      </w:r>
      <w:r w:rsidRPr="00661576">
        <w:rPr>
          <w:rFonts w:hint="cs"/>
          <w:rtl/>
        </w:rPr>
        <w:t xml:space="preserve"> הסרת האחריות מעליו</w:t>
      </w:r>
      <w:r>
        <w:rPr>
          <w:rFonts w:hint="cs"/>
          <w:rtl/>
        </w:rPr>
        <w:t>:</w:t>
      </w:r>
      <w:r w:rsidRPr="00661576">
        <w:rPr>
          <w:rFonts w:hint="cs"/>
          <w:rtl/>
        </w:rPr>
        <w:t xml:space="preserve"> "</w:t>
      </w:r>
      <w:r>
        <w:rPr>
          <w:rtl/>
        </w:rPr>
        <w:t>וְאַתֶּם כִּתְבוּ עַל הַיְּהוּדִים כַּטּוֹב בְּעֵינֵיכֶם בְּשֵׁם הַמֶּלֶךְ וְחִתְמוּ בְּטַבַּעַת הַמֶּלֶךְ</w:t>
      </w:r>
      <w:r w:rsidRPr="00661576">
        <w:rPr>
          <w:rFonts w:hint="cs"/>
          <w:rtl/>
        </w:rPr>
        <w:t>" (ח', ח). ממצב חריג זה נולד הרעיון של זכות חוקית ממלכתית להתגוננות יהודית מול פורעים ופוגרומים</w:t>
      </w:r>
      <w:r>
        <w:rPr>
          <w:rFonts w:hint="cs"/>
          <w:rtl/>
        </w:rPr>
        <w:t>:</w:t>
      </w:r>
      <w:r w:rsidRPr="00661576">
        <w:rPr>
          <w:rFonts w:hint="cs"/>
          <w:rtl/>
        </w:rPr>
        <w:t xml:space="preserve"> "</w:t>
      </w:r>
      <w:r>
        <w:rPr>
          <w:rtl/>
        </w:rPr>
        <w:t>אֲשֶׁר נָתַן הַמֶּלֶךְ לַיְּהוּדִים אֲשֶׁר בְּכָל עִיר וָעִיר לְהִקָּהֵל וְלַעֲמֹד עַל נַפְשָׁם לְהַשְׁמִיד וְלַהֲרֹג וּלְאַבֵּד אֶת כָּל חֵיל עַם וּמְדִינָה הַצָּרִים אֹתָם</w:t>
      </w:r>
      <w:r>
        <w:rPr>
          <w:rFonts w:hint="cs"/>
          <w:rtl/>
        </w:rPr>
        <w:t>...</w:t>
      </w:r>
      <w:r>
        <w:rPr>
          <w:rtl/>
        </w:rPr>
        <w:t xml:space="preserve"> בְּיוֹם אֶחָד</w:t>
      </w:r>
      <w:r w:rsidRPr="00661576">
        <w:rPr>
          <w:rFonts w:hint="cs"/>
          <w:rtl/>
        </w:rPr>
        <w:t>..." (</w:t>
      </w:r>
      <w:r>
        <w:rPr>
          <w:rFonts w:hint="cs"/>
          <w:rtl/>
        </w:rPr>
        <w:t>ח'</w:t>
      </w:r>
      <w:r w:rsidRPr="00661576">
        <w:rPr>
          <w:rFonts w:hint="cs"/>
          <w:rtl/>
        </w:rPr>
        <w:t>, יא</w:t>
      </w:r>
      <w:r>
        <w:rPr>
          <w:rtl/>
        </w:rPr>
        <w:noBreakHyphen/>
      </w:r>
      <w:r w:rsidRPr="00661576">
        <w:rPr>
          <w:rFonts w:hint="cs"/>
          <w:rtl/>
        </w:rPr>
        <w:t>יב)</w:t>
      </w:r>
      <w:r>
        <w:rPr>
          <w:rFonts w:hint="cs"/>
          <w:rtl/>
        </w:rPr>
        <w:t>.</w:t>
      </w:r>
      <w:r w:rsidRPr="00661576">
        <w:rPr>
          <w:rFonts w:hint="cs"/>
          <w:rtl/>
        </w:rPr>
        <w:t xml:space="preserve"> הפקודה נוסחה בד</w:t>
      </w:r>
      <w:r>
        <w:rPr>
          <w:rFonts w:hint="cs"/>
          <w:rtl/>
        </w:rPr>
        <w:t>י</w:t>
      </w:r>
      <w:r w:rsidRPr="00661576">
        <w:rPr>
          <w:rFonts w:hint="cs"/>
          <w:rtl/>
        </w:rPr>
        <w:t>וק באותן מילים נוראות של פקודת ההשמדה, ואי</w:t>
      </w:r>
      <w:r>
        <w:rPr>
          <w:rFonts w:hint="cs"/>
          <w:rtl/>
        </w:rPr>
        <w:t>נ</w:t>
      </w:r>
      <w:r w:rsidRPr="00661576">
        <w:rPr>
          <w:rFonts w:hint="cs"/>
          <w:rtl/>
        </w:rPr>
        <w:t>ה מתירה ליהודים אלא להתגונן מפני אויביהם באותו יום אחד שבו הורשו אויבי היהודים לצור עליהם ולהשמידם</w:t>
      </w:r>
      <w:r>
        <w:rPr>
          <w:rFonts w:hint="cs"/>
          <w:rtl/>
        </w:rPr>
        <w:t>.</w:t>
      </w:r>
      <w:r w:rsidRPr="00661576">
        <w:rPr>
          <w:rFonts w:hint="cs"/>
          <w:rtl/>
        </w:rPr>
        <w:t xml:space="preserve"> השלטון החליט להסיר את ידיו ולהשעות את החוק הממלכתי ביחס ליהודים ליום אחד</w:t>
      </w:r>
      <w:r>
        <w:rPr>
          <w:rFonts w:hint="cs"/>
          <w:rtl/>
        </w:rPr>
        <w:t>:</w:t>
      </w:r>
      <w:r w:rsidRPr="00661576">
        <w:rPr>
          <w:rFonts w:hint="cs"/>
          <w:rtl/>
        </w:rPr>
        <w:t xml:space="preserve"> לאויבי היהודים </w:t>
      </w:r>
      <w:r>
        <w:rPr>
          <w:rFonts w:hint="cs"/>
          <w:rtl/>
        </w:rPr>
        <w:t xml:space="preserve">יהיה מותר להשמיד, </w:t>
      </w:r>
      <w:r w:rsidRPr="00661576">
        <w:rPr>
          <w:rFonts w:hint="cs"/>
          <w:rtl/>
        </w:rPr>
        <w:t>להרוג ולאבד</w:t>
      </w:r>
      <w:r>
        <w:rPr>
          <w:rFonts w:hint="cs"/>
          <w:rtl/>
        </w:rPr>
        <w:t xml:space="preserve"> אותם</w:t>
      </w:r>
      <w:r w:rsidRPr="00661576">
        <w:rPr>
          <w:rFonts w:hint="cs"/>
          <w:rtl/>
        </w:rPr>
        <w:t xml:space="preserve">, וליהודים </w:t>
      </w:r>
      <w:r>
        <w:rPr>
          <w:rFonts w:hint="cs"/>
          <w:rtl/>
        </w:rPr>
        <w:t xml:space="preserve">יהיה </w:t>
      </w:r>
      <w:r w:rsidRPr="00661576">
        <w:rPr>
          <w:rFonts w:hint="cs"/>
          <w:rtl/>
        </w:rPr>
        <w:t>מותר להתגונן</w:t>
      </w:r>
      <w:r>
        <w:rPr>
          <w:rFonts w:hint="cs"/>
          <w:rtl/>
        </w:rPr>
        <w:t xml:space="preserve"> ואף להשמיד, </w:t>
      </w:r>
      <w:r w:rsidRPr="00661576">
        <w:rPr>
          <w:rFonts w:hint="cs"/>
          <w:rtl/>
        </w:rPr>
        <w:t>להרוג ולאבד את "</w:t>
      </w:r>
      <w:r>
        <w:rPr>
          <w:rtl/>
        </w:rPr>
        <w:t>הַצָּרִים אֹתָם</w:t>
      </w:r>
      <w:r w:rsidRPr="00661576">
        <w:rPr>
          <w:rFonts w:hint="cs"/>
          <w:rtl/>
        </w:rPr>
        <w:t xml:space="preserve">", ורק אותם </w:t>
      </w:r>
      <w:r>
        <w:rPr>
          <w:rtl/>
        </w:rPr>
        <w:t>—</w:t>
      </w:r>
      <w:r w:rsidRPr="00661576">
        <w:rPr>
          <w:rFonts w:hint="cs"/>
          <w:rtl/>
        </w:rPr>
        <w:t xml:space="preserve"> החוק לא יתערב לשום צד ביום הזה!</w:t>
      </w:r>
    </w:p>
    <w:p w14:paraId="42CB03F3" w14:textId="77777777" w:rsidR="00E0044E" w:rsidRPr="00661576" w:rsidRDefault="00E0044E" w:rsidP="00220583">
      <w:pPr>
        <w:rPr>
          <w:rtl/>
        </w:rPr>
      </w:pPr>
      <w:r w:rsidRPr="00661576">
        <w:rPr>
          <w:rFonts w:hint="cs"/>
          <w:rtl/>
        </w:rPr>
        <w:t>גזרת המן אפשרה רק לפורעים להשמיד ולהרוג, ואילו ספרי מרדכי ואסתר יצרו שוויון</w:t>
      </w:r>
      <w:r>
        <w:rPr>
          <w:rFonts w:hint="cs"/>
          <w:rtl/>
        </w:rPr>
        <w:t xml:space="preserve"> בין הצדדים</w:t>
      </w:r>
      <w:r w:rsidRPr="00661576">
        <w:rPr>
          <w:rFonts w:hint="cs"/>
          <w:rtl/>
        </w:rPr>
        <w:t xml:space="preserve">, כי ליהודים הותר להתגונן (לא לתקוף ביזמתם, </w:t>
      </w:r>
      <w:r>
        <w:rPr>
          <w:rFonts w:hint="cs"/>
          <w:rtl/>
        </w:rPr>
        <w:t xml:space="preserve">אלא </w:t>
      </w:r>
      <w:r w:rsidRPr="00661576">
        <w:rPr>
          <w:rFonts w:hint="cs"/>
          <w:rtl/>
        </w:rPr>
        <w:t>רק לפגוע במי שהתארגנו לתקוף אותם). מסתבר שליהודים זה הספיק כדי לנצח בגדול.</w:t>
      </w:r>
    </w:p>
    <w:p w14:paraId="016350C8" w14:textId="77777777" w:rsidR="00E0044E" w:rsidRPr="00661576" w:rsidRDefault="00E0044E" w:rsidP="00220583">
      <w:pPr>
        <w:pStyle w:val="31"/>
        <w:rPr>
          <w:rtl/>
        </w:rPr>
      </w:pPr>
      <w:r>
        <w:rPr>
          <w:rFonts w:hint="cs"/>
          <w:rtl/>
        </w:rPr>
        <w:t xml:space="preserve">ז. </w:t>
      </w:r>
      <w:r w:rsidRPr="00661576">
        <w:rPr>
          <w:rFonts w:hint="cs"/>
          <w:rtl/>
        </w:rPr>
        <w:t>הסתר פנים וחורבן הגולה</w:t>
      </w:r>
    </w:p>
    <w:p w14:paraId="5A1EB16A" w14:textId="77777777" w:rsidR="00E0044E" w:rsidRPr="00661576" w:rsidRDefault="00E0044E" w:rsidP="00220583">
      <w:pPr>
        <w:rPr>
          <w:rtl/>
        </w:rPr>
      </w:pPr>
      <w:r w:rsidRPr="00661576">
        <w:rPr>
          <w:rFonts w:hint="cs"/>
          <w:rtl/>
        </w:rPr>
        <w:t xml:space="preserve">מימי הקלגסים הרומיים בארץ ישראל ועד הפרעות והפוגרומים במזרח אירופה בדורות האחרונים פעלה תמיד אותה השיטה </w:t>
      </w:r>
      <w:r>
        <w:rPr>
          <w:rtl/>
        </w:rPr>
        <w:t>—</w:t>
      </w:r>
      <w:r w:rsidRPr="00661576">
        <w:rPr>
          <w:rFonts w:hint="cs"/>
          <w:rtl/>
        </w:rPr>
        <w:t xml:space="preserve"> השלטון מסתלק מהשטח ליום אחד או לכמה ימים, </w:t>
      </w:r>
      <w:r>
        <w:rPr>
          <w:rFonts w:hint="cs"/>
          <w:rtl/>
        </w:rPr>
        <w:t>והפורעים מכלים ביהודים את חמתם.</w:t>
      </w:r>
    </w:p>
    <w:p w14:paraId="66892884" w14:textId="77777777" w:rsidR="00E0044E" w:rsidRPr="00661576" w:rsidRDefault="00E0044E" w:rsidP="00220583">
      <w:pPr>
        <w:rPr>
          <w:rtl/>
        </w:rPr>
      </w:pPr>
      <w:r w:rsidRPr="00661576">
        <w:rPr>
          <w:rFonts w:hint="cs"/>
          <w:rtl/>
        </w:rPr>
        <w:t xml:space="preserve">פלורוס, הנציב הרומי הפרובוקטיבי שגרם לחורבן ירושלים, </w:t>
      </w:r>
      <w:r>
        <w:rPr>
          <w:rtl/>
        </w:rPr>
        <w:br/>
      </w:r>
      <w:r w:rsidRPr="00661576">
        <w:rPr>
          <w:rFonts w:hint="cs"/>
          <w:rtl/>
        </w:rPr>
        <w:t>רכב עם חייליו מקיסריה לסבסטיה ל'סוף</w:t>
      </w:r>
      <w:r>
        <w:rPr>
          <w:rFonts w:hint="cs"/>
          <w:rtl/>
        </w:rPr>
        <w:t xml:space="preserve"> </w:t>
      </w:r>
      <w:r w:rsidRPr="00661576">
        <w:rPr>
          <w:rFonts w:hint="cs"/>
          <w:rtl/>
        </w:rPr>
        <w:t>שבוע', ובקיסריה כמעט התחולל טבח ביהודים</w:t>
      </w:r>
      <w:r>
        <w:rPr>
          <w:rFonts w:hint="cs"/>
          <w:rtl/>
        </w:rPr>
        <w:t>.</w:t>
      </w:r>
      <w:r>
        <w:rPr>
          <w:rStyle w:val="a5"/>
          <w:rtl/>
        </w:rPr>
        <w:footnoteReference w:id="39"/>
      </w:r>
      <w:r w:rsidRPr="00661576">
        <w:rPr>
          <w:rFonts w:hint="cs"/>
          <w:rtl/>
        </w:rPr>
        <w:t xml:space="preserve"> כעבור זמן מה פתח הטבח בקיסריה שרשרת </w:t>
      </w:r>
      <w:r>
        <w:rPr>
          <w:rtl/>
        </w:rPr>
        <w:br/>
      </w:r>
      <w:r w:rsidRPr="00661576">
        <w:rPr>
          <w:rFonts w:hint="cs"/>
          <w:rtl/>
        </w:rPr>
        <w:t>של פרעות וטבח ביהודים בערים המעורבות.</w:t>
      </w:r>
      <w:r>
        <w:rPr>
          <w:rStyle w:val="a5"/>
          <w:rtl/>
        </w:rPr>
        <w:footnoteReference w:id="40"/>
      </w:r>
      <w:r w:rsidRPr="00661576">
        <w:rPr>
          <w:rFonts w:hint="cs"/>
          <w:rtl/>
        </w:rPr>
        <w:t xml:space="preserve"> אויבי היהודים הבינו תמיד את רמזי השלטונות.</w:t>
      </w:r>
    </w:p>
    <w:p w14:paraId="36E442AB" w14:textId="77777777" w:rsidR="00E0044E" w:rsidRPr="00661576" w:rsidRDefault="00E0044E" w:rsidP="00220583">
      <w:pPr>
        <w:rPr>
          <w:rtl/>
        </w:rPr>
      </w:pPr>
      <w:r w:rsidRPr="00661576">
        <w:rPr>
          <w:rFonts w:hint="cs"/>
          <w:rtl/>
        </w:rPr>
        <w:t xml:space="preserve">רוב רובם של מעשי הטבח והפוגרומים במשך הדורות לא </w:t>
      </w:r>
      <w:r>
        <w:rPr>
          <w:rFonts w:hint="cs"/>
          <w:rtl/>
        </w:rPr>
        <w:t>נעשו ביזמת השלטון או בביצועו; השלטון רק</w:t>
      </w:r>
      <w:r w:rsidRPr="00661576">
        <w:rPr>
          <w:rFonts w:hint="cs"/>
          <w:rtl/>
        </w:rPr>
        <w:t xml:space="preserve"> סילק את ידיו ונתן לפורעים יד חופשית בפירוש או ברמזים ברורים.</w:t>
      </w:r>
      <w:r>
        <w:rPr>
          <w:rFonts w:hint="cs"/>
          <w:rtl/>
        </w:rPr>
        <w:t xml:space="preserve"> </w:t>
      </w:r>
      <w:r w:rsidRPr="00661576">
        <w:rPr>
          <w:rFonts w:hint="cs"/>
          <w:rtl/>
        </w:rPr>
        <w:t xml:space="preserve">דבר אחד מנס המגילה כמעט ולא קרה עוד </w:t>
      </w:r>
      <w:r>
        <w:rPr>
          <w:rtl/>
        </w:rPr>
        <w:t>—</w:t>
      </w:r>
      <w:r w:rsidRPr="00661576">
        <w:rPr>
          <w:rFonts w:hint="cs"/>
          <w:rtl/>
        </w:rPr>
        <w:t xml:space="preserve"> גם היהודים המקורבים לשלטונות בדרך כלל לא קיבלו עבור היהודים זכות חוקית להתגונן</w:t>
      </w:r>
      <w:r>
        <w:rPr>
          <w:rFonts w:hint="cs"/>
          <w:rtl/>
        </w:rPr>
        <w:t xml:space="preserve"> בפני אויביהם</w:t>
      </w:r>
      <w:r w:rsidRPr="00661576">
        <w:rPr>
          <w:rFonts w:hint="cs"/>
          <w:rtl/>
        </w:rPr>
        <w:t>.</w:t>
      </w:r>
      <w:r w:rsidRPr="00E31804">
        <w:rPr>
          <w:rStyle w:val="a5"/>
          <w:rtl/>
        </w:rPr>
        <w:footnoteReference w:id="41"/>
      </w:r>
    </w:p>
    <w:p w14:paraId="6DDE777B" w14:textId="77777777" w:rsidR="00E0044E" w:rsidRPr="00661576" w:rsidRDefault="00E0044E" w:rsidP="00220583">
      <w:pPr>
        <w:rPr>
          <w:rtl/>
        </w:rPr>
      </w:pPr>
      <w:r w:rsidRPr="00661576">
        <w:rPr>
          <w:rFonts w:hint="cs"/>
          <w:rtl/>
        </w:rPr>
        <w:t>כל זה עד שקם המן הנאצי והחל לבצע בעצמו, בכוח השלטון וביעילות הגרמנית הידועה, את "</w:t>
      </w:r>
      <w:r w:rsidRPr="000420EB">
        <w:rPr>
          <w:rtl/>
        </w:rPr>
        <w:t>מַחֲשֶׁבֶת הָמָן בֶּן הַמְּדָתָא הָאֲגָגִי אֲשֶׁר כָּתַב לְאַבֵּד אֶת הַיְּהוּדִים אֲשֶׁר בְּכָל מְדִינוֹת הַמֶּלֶךְ</w:t>
      </w:r>
      <w:r>
        <w:rPr>
          <w:rFonts w:hint="cs"/>
          <w:rtl/>
        </w:rPr>
        <w:t>" (ח', ה), "</w:t>
      </w:r>
      <w:r w:rsidRPr="000420EB">
        <w:rPr>
          <w:rtl/>
        </w:rPr>
        <w:t>לְהַשְׁמִיד לַהֲרֹג וּלְאַבֵּד אֶת כָּל הַיְּהוּדִים מִנַּעַר וְעַד זָקֵן טַף וְנָשִׁים</w:t>
      </w:r>
      <w:r w:rsidRPr="00661576">
        <w:rPr>
          <w:rFonts w:hint="cs"/>
          <w:rtl/>
        </w:rPr>
        <w:t>..." (ג', יג), ולא ליום אחד אלא לשנים רבות וארוכות</w:t>
      </w:r>
      <w:r>
        <w:rPr>
          <w:rFonts w:hint="cs"/>
          <w:rtl/>
        </w:rPr>
        <w:t>.</w:t>
      </w:r>
      <w:r w:rsidRPr="00661576">
        <w:rPr>
          <w:rFonts w:hint="cs"/>
          <w:rtl/>
        </w:rPr>
        <w:t xml:space="preserve"> </w:t>
      </w:r>
      <w:r>
        <w:rPr>
          <w:rFonts w:hint="cs"/>
          <w:rtl/>
        </w:rPr>
        <w:t xml:space="preserve">היה זה למעשה </w:t>
      </w:r>
      <w:r w:rsidRPr="00661576">
        <w:rPr>
          <w:rFonts w:hint="cs"/>
          <w:rtl/>
        </w:rPr>
        <w:t xml:space="preserve">חורבן הגולה </w:t>
      </w:r>
      <w:r>
        <w:rPr>
          <w:rtl/>
        </w:rPr>
        <w:t>—</w:t>
      </w:r>
      <w:r>
        <w:rPr>
          <w:rFonts w:hint="cs"/>
          <w:rtl/>
        </w:rPr>
        <w:t xml:space="preserve"> </w:t>
      </w:r>
      <w:r w:rsidRPr="00661576">
        <w:rPr>
          <w:rFonts w:hint="cs"/>
          <w:rtl/>
        </w:rPr>
        <w:t>השמדה יסודית ומקיפה של שליש העם היהודי ושל כל היהודים שחיו בכפרים ובעיירות בארצות אירופה</w:t>
      </w:r>
      <w:r>
        <w:rPr>
          <w:rFonts w:hint="cs"/>
          <w:rtl/>
        </w:rPr>
        <w:t>.</w:t>
      </w:r>
      <w:r w:rsidRPr="00E31804">
        <w:rPr>
          <w:rStyle w:val="a5"/>
          <w:rtl/>
        </w:rPr>
        <w:footnoteReference w:id="42"/>
      </w:r>
      <w:r w:rsidRPr="00661576">
        <w:rPr>
          <w:rFonts w:hint="cs"/>
          <w:rtl/>
        </w:rPr>
        <w:t xml:space="preserve"> אחרי השואה נותרו רק קהילות יהודיות בערים גדולות ובינו</w:t>
      </w:r>
      <w:r>
        <w:rPr>
          <w:rFonts w:hint="cs"/>
          <w:rtl/>
        </w:rPr>
        <w:t>ניות.</w:t>
      </w:r>
    </w:p>
    <w:p w14:paraId="0A9A8FF7" w14:textId="77777777" w:rsidR="00E0044E" w:rsidRDefault="00E0044E" w:rsidP="00220583">
      <w:pPr>
        <w:rPr>
          <w:rtl/>
        </w:rPr>
      </w:pPr>
      <w:r>
        <w:rPr>
          <w:rFonts w:hint="cs"/>
          <w:rtl/>
        </w:rPr>
        <w:t xml:space="preserve">מעבר לכך, </w:t>
      </w:r>
      <w:r w:rsidRPr="00661576">
        <w:rPr>
          <w:rFonts w:hint="cs"/>
          <w:rtl/>
        </w:rPr>
        <w:t>לגולה היהודית מבבל עד אירופה הי</w:t>
      </w:r>
      <w:r>
        <w:rPr>
          <w:rFonts w:hint="cs"/>
          <w:rtl/>
        </w:rPr>
        <w:t>ו</w:t>
      </w:r>
      <w:r w:rsidRPr="00661576">
        <w:rPr>
          <w:rFonts w:hint="cs"/>
          <w:rtl/>
        </w:rPr>
        <w:t xml:space="preserve"> שפה יהודית (ערבית</w:t>
      </w:r>
      <w:r w:rsidRPr="00DA786A">
        <w:rPr>
          <w:b/>
          <w:position w:val="5"/>
          <w:rtl/>
        </w:rPr>
        <w:noBreakHyphen/>
      </w:r>
      <w:r w:rsidRPr="00661576">
        <w:rPr>
          <w:rFonts w:hint="cs"/>
          <w:rtl/>
        </w:rPr>
        <w:t xml:space="preserve">יהודית, לדינו או יידיש) ותרבות יהודית אוטונומית בחסות המלכים, </w:t>
      </w:r>
      <w:r>
        <w:rPr>
          <w:rFonts w:hint="cs"/>
          <w:rtl/>
        </w:rPr>
        <w:t>הקיסרים, החליפים וראשי המדינות, ואילו אחרי השואה היהודים שנותרו ברחבי העולם הם אזרחים מלאים ה</w:t>
      </w:r>
      <w:r w:rsidRPr="00661576">
        <w:rPr>
          <w:rFonts w:hint="cs"/>
          <w:rtl/>
        </w:rPr>
        <w:t>משתלבים בתרבויות הערים והמדינות (עם שיעור התבוללות גבוה).</w:t>
      </w:r>
      <w:r>
        <w:rPr>
          <w:rFonts w:hint="cs"/>
          <w:rtl/>
        </w:rPr>
        <w:t xml:space="preserve"> השואה הביאה אפוא לחורבן הגולה היהודית, ו</w:t>
      </w:r>
      <w:r w:rsidRPr="00661576">
        <w:rPr>
          <w:rFonts w:hint="cs"/>
          <w:rtl/>
        </w:rPr>
        <w:t>יום הזיכרון לשואה הוא היפוכו של 'חג פורים' כחג ההצלה של הגולה.</w:t>
      </w:r>
    </w:p>
    <w:p w14:paraId="6691A7F5" w14:textId="77777777" w:rsidR="00E0044E" w:rsidRPr="00661576" w:rsidRDefault="00E0044E" w:rsidP="00220583">
      <w:pPr>
        <w:rPr>
          <w:rtl/>
        </w:rPr>
      </w:pPr>
      <w:r>
        <w:rPr>
          <w:rFonts w:hint="cs"/>
          <w:rtl/>
        </w:rPr>
        <w:t>לאמ</w:t>
      </w:r>
      <w:r w:rsidRPr="00661576">
        <w:rPr>
          <w:rFonts w:hint="cs"/>
          <w:rtl/>
        </w:rPr>
        <w:t xml:space="preserve">תו של דבר, הגולה היהודית החלה להתפורר </w:t>
      </w:r>
      <w:r>
        <w:rPr>
          <w:rFonts w:hint="cs"/>
          <w:rtl/>
        </w:rPr>
        <w:t>זמן רב</w:t>
      </w:r>
      <w:r w:rsidRPr="00661576">
        <w:rPr>
          <w:rFonts w:hint="cs"/>
          <w:rtl/>
        </w:rPr>
        <w:t xml:space="preserve"> קודם לכן, עם רוחות האמנציפציה, אך היא חרבה כליל בשואה </w:t>
      </w:r>
      <w:r>
        <w:rPr>
          <w:rtl/>
        </w:rPr>
        <w:t>—</w:t>
      </w:r>
      <w:r w:rsidRPr="00661576">
        <w:rPr>
          <w:rFonts w:hint="cs"/>
          <w:rtl/>
        </w:rPr>
        <w:t xml:space="preserve"> החורבן השלישי של העם היהודי! </w:t>
      </w:r>
    </w:p>
    <w:p w14:paraId="7CE548CD" w14:textId="77777777" w:rsidR="00E0044E" w:rsidRPr="00661576" w:rsidRDefault="00E0044E" w:rsidP="00220583">
      <w:pPr>
        <w:rPr>
          <w:rtl/>
        </w:rPr>
      </w:pPr>
      <w:r w:rsidRPr="00661576">
        <w:rPr>
          <w:rFonts w:hint="cs"/>
          <w:rtl/>
        </w:rPr>
        <w:t xml:space="preserve">כיוון שאבד הצידוק הפנימי של ההישרדות וההצלה בגולה, </w:t>
      </w:r>
      <w:r>
        <w:rPr>
          <w:rtl/>
        </w:rPr>
        <w:br/>
      </w:r>
      <w:r w:rsidRPr="00661576">
        <w:rPr>
          <w:rFonts w:hint="cs"/>
          <w:rtl/>
        </w:rPr>
        <w:t xml:space="preserve">אין לה עוד זכות קיום. שום שתדלנות פוליטית ושום </w:t>
      </w:r>
      <w:r>
        <w:rPr>
          <w:rFonts w:hint="cs"/>
          <w:rtl/>
        </w:rPr>
        <w:t>'</w:t>
      </w:r>
      <w:r w:rsidRPr="00661576">
        <w:rPr>
          <w:rFonts w:hint="cs"/>
          <w:rtl/>
        </w:rPr>
        <w:t xml:space="preserve">אסתר </w:t>
      </w:r>
      <w:r>
        <w:rPr>
          <w:rtl/>
        </w:rPr>
        <w:br/>
      </w:r>
      <w:r w:rsidRPr="00661576">
        <w:rPr>
          <w:rFonts w:hint="cs"/>
          <w:rtl/>
        </w:rPr>
        <w:t>המלכה</w:t>
      </w:r>
      <w:r>
        <w:rPr>
          <w:rFonts w:hint="cs"/>
          <w:rtl/>
        </w:rPr>
        <w:t>'</w:t>
      </w:r>
      <w:r w:rsidRPr="00661576">
        <w:rPr>
          <w:rFonts w:hint="cs"/>
          <w:rtl/>
        </w:rPr>
        <w:t xml:space="preserve"> לא יכלו להשפיע </w:t>
      </w:r>
      <w:r>
        <w:rPr>
          <w:rFonts w:hint="cs"/>
          <w:rtl/>
        </w:rPr>
        <w:t xml:space="preserve">על </w:t>
      </w:r>
      <w:r w:rsidRPr="00661576">
        <w:rPr>
          <w:rFonts w:hint="cs"/>
          <w:rtl/>
        </w:rPr>
        <w:t>המן הנאצי</w:t>
      </w:r>
      <w:r>
        <w:rPr>
          <w:rFonts w:hint="cs"/>
          <w:rtl/>
        </w:rPr>
        <w:t xml:space="preserve"> ולבלום אותו</w:t>
      </w:r>
      <w:r w:rsidRPr="00661576">
        <w:rPr>
          <w:rFonts w:hint="cs"/>
          <w:rtl/>
        </w:rPr>
        <w:t xml:space="preserve">. מכאן צמחה </w:t>
      </w:r>
      <w:r>
        <w:rPr>
          <w:rFonts w:hint="cs"/>
          <w:rtl/>
        </w:rPr>
        <w:t>ה</w:t>
      </w:r>
      <w:r w:rsidRPr="00661576">
        <w:rPr>
          <w:rFonts w:hint="cs"/>
          <w:rtl/>
        </w:rPr>
        <w:t xml:space="preserve">הכרעה </w:t>
      </w:r>
      <w:r>
        <w:rPr>
          <w:rFonts w:hint="cs"/>
          <w:rtl/>
        </w:rPr>
        <w:t>ה</w:t>
      </w:r>
      <w:r w:rsidRPr="00661576">
        <w:rPr>
          <w:rFonts w:hint="cs"/>
          <w:rtl/>
        </w:rPr>
        <w:t>דרמטית של האומות המאוחדות</w:t>
      </w:r>
      <w:r>
        <w:rPr>
          <w:rFonts w:hint="cs"/>
          <w:rtl/>
        </w:rPr>
        <w:t>.</w:t>
      </w:r>
      <w:r w:rsidRPr="00E31804">
        <w:rPr>
          <w:rStyle w:val="a5"/>
          <w:rtl/>
        </w:rPr>
        <w:footnoteReference w:id="43"/>
      </w:r>
      <w:r w:rsidRPr="00661576">
        <w:rPr>
          <w:rFonts w:hint="cs"/>
          <w:rtl/>
        </w:rPr>
        <w:t xml:space="preserve"> הקמת מדינה יהודית</w:t>
      </w:r>
      <w:r>
        <w:rPr>
          <w:rFonts w:hint="cs"/>
          <w:rtl/>
        </w:rPr>
        <w:t xml:space="preserve"> בארץ ישראל </w:t>
      </w:r>
      <w:r w:rsidRPr="00661576">
        <w:rPr>
          <w:rFonts w:hint="cs"/>
          <w:rtl/>
        </w:rPr>
        <w:t>פירושה קודם כ</w:t>
      </w:r>
      <w:r>
        <w:rPr>
          <w:rFonts w:hint="cs"/>
          <w:rtl/>
        </w:rPr>
        <w:t>ו</w:t>
      </w:r>
      <w:r w:rsidRPr="00661576">
        <w:rPr>
          <w:rFonts w:hint="cs"/>
          <w:rtl/>
        </w:rPr>
        <w:t>ל זכות חוקית ליהודים להתגונן על פי החוק הבינלאומי, ולא ליום אחד אלא בקביעות.</w:t>
      </w:r>
    </w:p>
    <w:p w14:paraId="0326E8C5" w14:textId="77777777" w:rsidR="00E0044E" w:rsidRDefault="00E0044E" w:rsidP="00220583">
      <w:pPr>
        <w:rPr>
          <w:rtl/>
        </w:rPr>
      </w:pPr>
      <w:r w:rsidRPr="00661576">
        <w:rPr>
          <w:rFonts w:hint="cs"/>
          <w:rtl/>
        </w:rPr>
        <w:t xml:space="preserve">יום העצמאות תפס את מקום הפורים כחג של הצלה ויציאה </w:t>
      </w:r>
      <w:r>
        <w:rPr>
          <w:rtl/>
        </w:rPr>
        <w:br/>
      </w:r>
      <w:r w:rsidRPr="00661576">
        <w:rPr>
          <w:rFonts w:hint="cs"/>
          <w:rtl/>
        </w:rPr>
        <w:t xml:space="preserve">מן הגולה. בפורים נותר לנו לקרוא במגילת הגלות ולזכור את </w:t>
      </w:r>
      <w:r>
        <w:rPr>
          <w:rtl/>
        </w:rPr>
        <w:br/>
      </w:r>
      <w:r w:rsidRPr="00661576">
        <w:rPr>
          <w:rFonts w:hint="cs"/>
          <w:rtl/>
        </w:rPr>
        <w:t xml:space="preserve">הסתר הפנים </w:t>
      </w:r>
      <w:r>
        <w:rPr>
          <w:rFonts w:hint="cs"/>
          <w:rtl/>
        </w:rPr>
        <w:t>ה</w:t>
      </w:r>
      <w:r w:rsidRPr="00661576">
        <w:rPr>
          <w:rFonts w:hint="cs"/>
          <w:rtl/>
        </w:rPr>
        <w:t>מאפיין את 'מגילת ההפך' ואת הגולה בכלל</w:t>
      </w:r>
      <w:r>
        <w:rPr>
          <w:rFonts w:hint="cs"/>
          <w:rtl/>
        </w:rPr>
        <w:t>.</w:t>
      </w:r>
      <w:r>
        <w:rPr>
          <w:rStyle w:val="a5"/>
          <w:rtl/>
        </w:rPr>
        <w:footnoteReference w:id="44"/>
      </w:r>
      <w:r w:rsidRPr="00661576">
        <w:rPr>
          <w:rFonts w:hint="cs"/>
          <w:rtl/>
        </w:rPr>
        <w:t xml:space="preserve"> הקריאה במגילת אסתר תלמדנו כי על פי ההיגיון של המגילה עצמה</w:t>
      </w:r>
      <w:r>
        <w:rPr>
          <w:rFonts w:hint="cs"/>
          <w:rtl/>
        </w:rPr>
        <w:t xml:space="preserve"> </w:t>
      </w:r>
      <w:r>
        <w:rPr>
          <w:rtl/>
        </w:rPr>
        <w:t>—</w:t>
      </w:r>
      <w:r>
        <w:rPr>
          <w:rFonts w:hint="cs"/>
          <w:rtl/>
        </w:rPr>
        <w:t xml:space="preserve"> </w:t>
      </w:r>
      <w:r w:rsidRPr="00661576">
        <w:rPr>
          <w:rFonts w:hint="cs"/>
          <w:rtl/>
        </w:rPr>
        <w:t xml:space="preserve">תפקידה ההיסטורי </w:t>
      </w:r>
      <w:r>
        <w:rPr>
          <w:rFonts w:hint="cs"/>
          <w:rtl/>
        </w:rPr>
        <w:t xml:space="preserve">הסתיים. </w:t>
      </w:r>
      <w:r w:rsidRPr="00661576">
        <w:rPr>
          <w:rFonts w:hint="cs"/>
          <w:rtl/>
        </w:rPr>
        <w:t>לא נחריש עוד אם 'רק לעבדות נימכר', ו</w:t>
      </w:r>
      <w:r>
        <w:rPr>
          <w:rFonts w:hint="cs"/>
          <w:rtl/>
        </w:rPr>
        <w:t xml:space="preserve">זכותנו החוקית לעמוד על נפשנו אינה </w:t>
      </w:r>
      <w:r w:rsidRPr="00661576">
        <w:rPr>
          <w:rFonts w:hint="cs"/>
          <w:rtl/>
        </w:rPr>
        <w:t xml:space="preserve">ליום אחד </w:t>
      </w:r>
      <w:r>
        <w:rPr>
          <w:rFonts w:hint="cs"/>
          <w:rtl/>
        </w:rPr>
        <w:t>בלבד.</w:t>
      </w:r>
      <w:r w:rsidRPr="00661576">
        <w:rPr>
          <w:rFonts w:hint="cs"/>
          <w:rtl/>
        </w:rPr>
        <w:t xml:space="preserve"> </w:t>
      </w:r>
    </w:p>
    <w:p w14:paraId="06BC90A2" w14:textId="77777777" w:rsidR="00E0044E" w:rsidRPr="00661576" w:rsidRDefault="00E0044E" w:rsidP="00220583">
      <w:pPr>
        <w:rPr>
          <w:rtl/>
        </w:rPr>
      </w:pPr>
      <w:r w:rsidRPr="00661576">
        <w:rPr>
          <w:rFonts w:hint="cs"/>
          <w:rtl/>
        </w:rPr>
        <w:t xml:space="preserve">בהחלטה היסטורית מופלאה הכירו אומות העולם במסקנה העולה מחורבן הגלות היהודית בשואה </w:t>
      </w:r>
      <w:r>
        <w:rPr>
          <w:rtl/>
        </w:rPr>
        <w:t>—</w:t>
      </w:r>
      <w:r w:rsidRPr="00661576">
        <w:rPr>
          <w:rFonts w:hint="cs"/>
          <w:rtl/>
        </w:rPr>
        <w:t xml:space="preserve"> מדינה יהודית ריבונית ועצמאית בארץ אבותינו, ארץ ישראל.</w:t>
      </w:r>
      <w:r w:rsidRPr="00E31804">
        <w:rPr>
          <w:rStyle w:val="a5"/>
          <w:rtl/>
        </w:rPr>
        <w:footnoteReference w:id="45"/>
      </w:r>
    </w:p>
    <w:p w14:paraId="0B0539C6" w14:textId="77777777" w:rsidR="00E0044E" w:rsidRDefault="00E0044E" w:rsidP="00E0044E">
      <w:pPr>
        <w:pStyle w:val="13"/>
        <w:rPr>
          <w:rtl/>
        </w:rPr>
      </w:pPr>
      <w:r w:rsidRPr="004640EF">
        <w:rPr>
          <w:rFonts w:ascii="MF FrankRuhl" w:hAnsi="MF FrankRuhl" w:cs="MF FrankRuhl"/>
          <w:sz w:val="23"/>
          <w:szCs w:val="23"/>
          <w:rtl/>
        </w:rPr>
        <w:t>חוזרים אנו מפורים לפסח, לוקחים מנס פורים רק את הזכות החוקית לעמוד על נפשנו, יוצאים מארצות נדודים וגולה ומחוללים את נס קיבוץ הגלויות במדינת קיבוץ הגלויות.</w:t>
      </w:r>
      <w:r w:rsidRPr="00E31804">
        <w:rPr>
          <w:rStyle w:val="a5"/>
          <w:rtl/>
        </w:rPr>
        <w:footnoteReference w:id="46"/>
      </w:r>
    </w:p>
    <w:tbl>
      <w:tblPr>
        <w:tblpPr w:leftFromText="180" w:rightFromText="180" w:vertAnchor="text" w:horzAnchor="margin" w:tblpY="107"/>
        <w:bidiVisual/>
        <w:tblW w:w="4678" w:type="dxa"/>
        <w:tblLayout w:type="fixed"/>
        <w:tblLook w:val="0000" w:firstRow="0" w:lastRow="0" w:firstColumn="0" w:lastColumn="0" w:noHBand="0" w:noVBand="0"/>
      </w:tblPr>
      <w:tblGrid>
        <w:gridCol w:w="283"/>
        <w:gridCol w:w="4111"/>
        <w:gridCol w:w="284"/>
      </w:tblGrid>
      <w:tr w:rsidR="0003325C" w14:paraId="7C010201" w14:textId="77777777" w:rsidTr="0003325C">
        <w:trPr>
          <w:cantSplit/>
        </w:trPr>
        <w:tc>
          <w:tcPr>
            <w:tcW w:w="283" w:type="dxa"/>
            <w:tcBorders>
              <w:top w:val="nil"/>
              <w:left w:val="nil"/>
              <w:bottom w:val="nil"/>
              <w:right w:val="nil"/>
            </w:tcBorders>
          </w:tcPr>
          <w:p w14:paraId="20D618BF" w14:textId="77777777" w:rsidR="0003325C" w:rsidRDefault="0003325C" w:rsidP="0003325C">
            <w:pPr>
              <w:pStyle w:val="ab"/>
              <w:contextualSpacing/>
            </w:pPr>
            <w:r>
              <w:rPr>
                <w:rtl/>
              </w:rPr>
              <w:t>*</w:t>
            </w:r>
          </w:p>
        </w:tc>
        <w:tc>
          <w:tcPr>
            <w:tcW w:w="4111" w:type="dxa"/>
            <w:tcBorders>
              <w:top w:val="nil"/>
              <w:left w:val="nil"/>
              <w:bottom w:val="nil"/>
              <w:right w:val="nil"/>
            </w:tcBorders>
          </w:tcPr>
          <w:p w14:paraId="508016C6" w14:textId="77777777" w:rsidR="0003325C" w:rsidRDefault="0003325C" w:rsidP="0003325C">
            <w:pPr>
              <w:pStyle w:val="ab"/>
              <w:contextualSpacing/>
            </w:pPr>
            <w:r>
              <w:rPr>
                <w:rtl/>
              </w:rPr>
              <w:t>**********************************************************</w:t>
            </w:r>
          </w:p>
        </w:tc>
        <w:tc>
          <w:tcPr>
            <w:tcW w:w="284" w:type="dxa"/>
            <w:tcBorders>
              <w:top w:val="nil"/>
              <w:left w:val="nil"/>
              <w:bottom w:val="nil"/>
              <w:right w:val="nil"/>
            </w:tcBorders>
          </w:tcPr>
          <w:p w14:paraId="5CF69D65" w14:textId="77777777" w:rsidR="0003325C" w:rsidRDefault="0003325C" w:rsidP="0003325C">
            <w:pPr>
              <w:pStyle w:val="ab"/>
              <w:contextualSpacing/>
            </w:pPr>
            <w:r>
              <w:rPr>
                <w:rtl/>
              </w:rPr>
              <w:t>*</w:t>
            </w:r>
          </w:p>
        </w:tc>
      </w:tr>
      <w:tr w:rsidR="0003325C" w14:paraId="6BFDD360" w14:textId="77777777" w:rsidTr="0003325C">
        <w:trPr>
          <w:cantSplit/>
        </w:trPr>
        <w:tc>
          <w:tcPr>
            <w:tcW w:w="283" w:type="dxa"/>
            <w:tcBorders>
              <w:top w:val="nil"/>
              <w:left w:val="nil"/>
              <w:bottom w:val="nil"/>
              <w:right w:val="nil"/>
            </w:tcBorders>
          </w:tcPr>
          <w:p w14:paraId="4DB6EA28" w14:textId="77777777" w:rsidR="0003325C" w:rsidRDefault="0003325C" w:rsidP="0003325C">
            <w:pPr>
              <w:pStyle w:val="ab"/>
              <w:contextualSpacing/>
            </w:pPr>
            <w:r>
              <w:rPr>
                <w:rtl/>
              </w:rPr>
              <w:t xml:space="preserve">* * * * * * * </w:t>
            </w:r>
          </w:p>
        </w:tc>
        <w:tc>
          <w:tcPr>
            <w:tcW w:w="4111" w:type="dxa"/>
            <w:tcBorders>
              <w:top w:val="nil"/>
              <w:left w:val="nil"/>
              <w:bottom w:val="nil"/>
              <w:right w:val="nil"/>
            </w:tcBorders>
          </w:tcPr>
          <w:p w14:paraId="7D41DBDE" w14:textId="0C703005" w:rsidR="0003325C" w:rsidRDefault="0003325C" w:rsidP="00E0044E">
            <w:pPr>
              <w:pStyle w:val="ab"/>
              <w:contextualSpacing/>
              <w:rPr>
                <w:rtl/>
              </w:rPr>
            </w:pPr>
            <w:r>
              <w:rPr>
                <w:rtl/>
              </w:rPr>
              <w:t>כל הזכויות שמורות לישיבת הר עציון</w:t>
            </w:r>
            <w:r>
              <w:rPr>
                <w:rFonts w:hint="cs"/>
                <w:rtl/>
              </w:rPr>
              <w:t xml:space="preserve"> ולרב </w:t>
            </w:r>
            <w:r w:rsidR="00E0044E">
              <w:rPr>
                <w:rFonts w:hint="cs"/>
                <w:rtl/>
              </w:rPr>
              <w:t>יואל בן נון</w:t>
            </w:r>
          </w:p>
          <w:p w14:paraId="629CBD98" w14:textId="6025A2FA" w:rsidR="0003325C" w:rsidRDefault="0003325C" w:rsidP="00E0044E">
            <w:pPr>
              <w:pStyle w:val="ab"/>
              <w:contextualSpacing/>
              <w:rPr>
                <w:rtl/>
              </w:rPr>
            </w:pPr>
            <w:r>
              <w:rPr>
                <w:rtl/>
              </w:rPr>
              <w:t xml:space="preserve">עורך: </w:t>
            </w:r>
            <w:r w:rsidR="00E0044E">
              <w:rPr>
                <w:rFonts w:hint="cs"/>
                <w:rtl/>
              </w:rPr>
              <w:t>מתן גלידאי</w:t>
            </w:r>
            <w:r>
              <w:rPr>
                <w:rFonts w:hint="cs"/>
                <w:rtl/>
              </w:rPr>
              <w:t>, תשע"</w:t>
            </w:r>
            <w:r w:rsidR="00E0044E">
              <w:rPr>
                <w:rFonts w:hint="cs"/>
                <w:rtl/>
              </w:rPr>
              <w:t>ה</w:t>
            </w:r>
          </w:p>
          <w:p w14:paraId="32226A6E" w14:textId="77777777" w:rsidR="0003325C" w:rsidRDefault="0003325C" w:rsidP="0003325C">
            <w:pPr>
              <w:pStyle w:val="ab"/>
              <w:contextualSpacing/>
              <w:rPr>
                <w:rtl/>
              </w:rPr>
            </w:pPr>
            <w:r>
              <w:rPr>
                <w:rtl/>
              </w:rPr>
              <w:t>*******************************************************</w:t>
            </w:r>
          </w:p>
          <w:p w14:paraId="6D59BB40" w14:textId="77777777" w:rsidR="0003325C" w:rsidRDefault="0003325C" w:rsidP="0003325C">
            <w:pPr>
              <w:pStyle w:val="ab"/>
              <w:contextualSpacing/>
              <w:rPr>
                <w:rtl/>
              </w:rPr>
            </w:pPr>
            <w:r>
              <w:rPr>
                <w:rtl/>
              </w:rPr>
              <w:t xml:space="preserve">בית המדרש הוירטואלי </w:t>
            </w:r>
          </w:p>
          <w:p w14:paraId="2671766B" w14:textId="77777777" w:rsidR="0003325C" w:rsidRPr="005734F1" w:rsidRDefault="0003325C" w:rsidP="0003325C">
            <w:pPr>
              <w:pStyle w:val="ab"/>
              <w:contextualSpacing/>
              <w:rPr>
                <w:rtl/>
              </w:rPr>
            </w:pPr>
            <w:r w:rsidRPr="005734F1">
              <w:rPr>
                <w:rtl/>
              </w:rPr>
              <w:t xml:space="preserve">מיסודו של </w:t>
            </w:r>
          </w:p>
          <w:p w14:paraId="69D8BD90" w14:textId="77777777" w:rsidR="0003325C" w:rsidRPr="005734F1" w:rsidRDefault="0003325C" w:rsidP="0003325C">
            <w:pPr>
              <w:pStyle w:val="ab"/>
              <w:contextualSpacing/>
            </w:pPr>
            <w:r w:rsidRPr="005734F1">
              <w:t>The Israel Koschitzky Virtual Beit Midrash</w:t>
            </w:r>
          </w:p>
          <w:p w14:paraId="3AED1D39" w14:textId="589DBAAE" w:rsidR="0003325C" w:rsidRDefault="0003325C" w:rsidP="0003325C">
            <w:pPr>
              <w:pStyle w:val="ab"/>
              <w:contextualSpacing/>
              <w:rPr>
                <w:noProof w:val="0"/>
                <w:rtl/>
              </w:rPr>
            </w:pPr>
            <w:r>
              <w:rPr>
                <w:noProof w:val="0"/>
                <w:rtl/>
              </w:rPr>
              <w:t>האתר בעברית:</w:t>
            </w:r>
            <w:r>
              <w:rPr>
                <w:noProof w:val="0"/>
                <w:rtl/>
              </w:rPr>
              <w:tab/>
            </w:r>
            <w:r w:rsidR="00E0044E" w:rsidRPr="00E0044E">
              <w:t>http://etzion.org.il</w:t>
            </w:r>
          </w:p>
          <w:p w14:paraId="3586DA5E" w14:textId="77777777" w:rsidR="0003325C" w:rsidRDefault="0003325C" w:rsidP="0003325C">
            <w:pPr>
              <w:pStyle w:val="ab"/>
              <w:contextualSpacing/>
              <w:rPr>
                <w:noProof w:val="0"/>
                <w:rtl/>
              </w:rPr>
            </w:pPr>
            <w:r>
              <w:rPr>
                <w:noProof w:val="0"/>
                <w:rtl/>
              </w:rPr>
              <w:t>האתר באנגלית:</w:t>
            </w:r>
            <w:r>
              <w:rPr>
                <w:noProof w:val="0"/>
                <w:rtl/>
              </w:rPr>
              <w:tab/>
            </w:r>
            <w:hyperlink r:id="rId8" w:history="1">
              <w:r>
                <w:rPr>
                  <w:rStyle w:val="Hyperlink"/>
                </w:rPr>
                <w:t>http://www.vbm-torah.org</w:t>
              </w:r>
            </w:hyperlink>
          </w:p>
          <w:p w14:paraId="117406A4" w14:textId="77777777" w:rsidR="0003325C" w:rsidRDefault="0003325C" w:rsidP="0003325C">
            <w:pPr>
              <w:pStyle w:val="ab"/>
              <w:contextualSpacing/>
              <w:rPr>
                <w:rtl/>
              </w:rPr>
            </w:pPr>
          </w:p>
          <w:p w14:paraId="2B2F87CA" w14:textId="77777777" w:rsidR="0003325C" w:rsidRDefault="0003325C" w:rsidP="0003325C">
            <w:pPr>
              <w:pStyle w:val="ab"/>
              <w:contextualSpacing/>
              <w:rPr>
                <w:rtl/>
              </w:rPr>
            </w:pPr>
            <w:r>
              <w:rPr>
                <w:rtl/>
              </w:rPr>
              <w:t xml:space="preserve">משרדי בית המדרש הוירטואלי: 02-9937300 שלוחה 5 </w:t>
            </w:r>
          </w:p>
          <w:p w14:paraId="59790B6D" w14:textId="77777777" w:rsidR="0003325C" w:rsidRDefault="0003325C" w:rsidP="0003325C">
            <w:pPr>
              <w:pStyle w:val="ab"/>
              <w:contextualSpacing/>
              <w:rPr>
                <w:noProof w:val="0"/>
              </w:rPr>
            </w:pPr>
            <w:r>
              <w:rPr>
                <w:noProof w:val="0"/>
                <w:rtl/>
              </w:rPr>
              <w:t>דוא</w:t>
            </w:r>
            <w:r>
              <w:rPr>
                <w:rFonts w:hint="cs"/>
                <w:noProof w:val="0"/>
                <w:rtl/>
              </w:rPr>
              <w:t>"</w:t>
            </w:r>
            <w:r>
              <w:rPr>
                <w:noProof w:val="0"/>
                <w:rtl/>
              </w:rPr>
              <w:t xml:space="preserve">ל: </w:t>
            </w:r>
            <w:hyperlink r:id="rId9" w:history="1">
              <w:r>
                <w:rPr>
                  <w:rStyle w:val="Hyperlink"/>
                </w:rPr>
                <w:t>office@etzion.org.il</w:t>
              </w:r>
            </w:hyperlink>
          </w:p>
          <w:p w14:paraId="13B83389" w14:textId="77777777" w:rsidR="0003325C" w:rsidRDefault="0003325C" w:rsidP="0003325C">
            <w:pPr>
              <w:pStyle w:val="ab"/>
              <w:contextualSpacing/>
            </w:pPr>
          </w:p>
        </w:tc>
        <w:tc>
          <w:tcPr>
            <w:tcW w:w="284" w:type="dxa"/>
            <w:tcBorders>
              <w:top w:val="nil"/>
              <w:left w:val="nil"/>
              <w:bottom w:val="nil"/>
              <w:right w:val="nil"/>
            </w:tcBorders>
          </w:tcPr>
          <w:p w14:paraId="1C9DC791" w14:textId="77777777" w:rsidR="0003325C" w:rsidRDefault="0003325C" w:rsidP="0003325C">
            <w:pPr>
              <w:pStyle w:val="ab"/>
              <w:contextualSpacing/>
            </w:pPr>
            <w:r>
              <w:rPr>
                <w:rtl/>
              </w:rPr>
              <w:t xml:space="preserve">* * * * * * * </w:t>
            </w:r>
          </w:p>
        </w:tc>
      </w:tr>
    </w:tbl>
    <w:p w14:paraId="189912E7" w14:textId="77777777" w:rsidR="00144C37" w:rsidRDefault="00144C37" w:rsidP="00D159EB">
      <w:pPr>
        <w:contextualSpacing/>
        <w:rPr>
          <w:rtl/>
        </w:rPr>
      </w:pPr>
      <w:bookmarkStart w:id="6" w:name="6"/>
      <w:bookmarkEnd w:id="6"/>
    </w:p>
    <w:sectPr w:rsidR="00144C37" w:rsidSect="006F016B">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0F049" w14:textId="77777777" w:rsidR="00991E43" w:rsidRDefault="00991E43" w:rsidP="00405665">
      <w:r>
        <w:separator/>
      </w:r>
    </w:p>
  </w:endnote>
  <w:endnote w:type="continuationSeparator" w:id="0">
    <w:p w14:paraId="21A5099B" w14:textId="77777777" w:rsidR="00991E43" w:rsidRDefault="00991E43"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panose1 w:val="00000000000000000000"/>
    <w:charset w:val="B1"/>
    <w:family w:val="roman"/>
    <w:notTrueType/>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MF FrankRuhl">
    <w:altName w:val="Times New Roman"/>
    <w:charset w:val="00"/>
    <w:family w:val="roman"/>
    <w:pitch w:val="variable"/>
    <w:sig w:usb0="00000000" w:usb1="5000004A" w:usb2="0000002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8C355" w14:textId="77777777" w:rsidR="00991E43" w:rsidRDefault="00991E43" w:rsidP="00405665">
      <w:r>
        <w:separator/>
      </w:r>
    </w:p>
  </w:footnote>
  <w:footnote w:type="continuationSeparator" w:id="0">
    <w:p w14:paraId="5EC05AAF" w14:textId="77777777" w:rsidR="00991E43" w:rsidRDefault="00991E43" w:rsidP="00405665">
      <w:r>
        <w:continuationSeparator/>
      </w:r>
    </w:p>
  </w:footnote>
  <w:footnote w:id="1">
    <w:p w14:paraId="36A67383" w14:textId="32EE2DE7" w:rsidR="00E0044E" w:rsidRDefault="00E0044E">
      <w:pPr>
        <w:pStyle w:val="a3"/>
        <w:rPr>
          <w:rFonts w:hint="cs"/>
        </w:rPr>
      </w:pPr>
      <w:r>
        <w:rPr>
          <w:rStyle w:val="a5"/>
          <w:rFonts w:eastAsia="Narkisim"/>
          <w:rtl/>
        </w:rPr>
        <w:t>*</w:t>
      </w:r>
      <w:r>
        <w:rPr>
          <w:rtl/>
        </w:rPr>
        <w:t xml:space="preserve"> </w:t>
      </w:r>
      <w:r>
        <w:rPr>
          <w:rtl/>
        </w:rPr>
        <w:tab/>
      </w:r>
      <w:r>
        <w:rPr>
          <w:rFonts w:hint="cs"/>
          <w:rtl/>
        </w:rPr>
        <w:t xml:space="preserve">מאמר זה הופיע לראשונה בספר "זכור ושמור" </w:t>
      </w:r>
      <w:r>
        <w:rPr>
          <w:rtl/>
        </w:rPr>
        <w:t>–</w:t>
      </w:r>
      <w:r>
        <w:rPr>
          <w:rFonts w:hint="cs"/>
          <w:rtl/>
        </w:rPr>
        <w:t xml:space="preserve"> טבע והיסטוריה נפגשים בשבת ובלוח החגים, הוצאת מכללת הרצוג </w:t>
      </w:r>
      <w:r>
        <w:rPr>
          <w:rtl/>
        </w:rPr>
        <w:t>–</w:t>
      </w:r>
      <w:r>
        <w:rPr>
          <w:rFonts w:hint="cs"/>
          <w:rtl/>
        </w:rPr>
        <w:t xml:space="preserve"> תבונות, תשע"ה. אנו מודים למחבר על הסכמתו לפרסם פה את המאמר.</w:t>
      </w:r>
      <w:bookmarkStart w:id="1" w:name="_GoBack"/>
      <w:bookmarkEnd w:id="1"/>
    </w:p>
  </w:footnote>
  <w:footnote w:id="2">
    <w:p w14:paraId="62861DC3" w14:textId="77777777" w:rsidR="00E0044E" w:rsidRPr="00661576" w:rsidRDefault="00E0044E" w:rsidP="00E0044E">
      <w:pPr>
        <w:pStyle w:val="a3"/>
        <w:rPr>
          <w:rtl/>
        </w:rPr>
      </w:pPr>
      <w:r w:rsidRPr="00B26C45">
        <w:rPr>
          <w:rFonts w:ascii="MF FrankRuhl" w:hAnsi="MF FrankRuhl"/>
          <w:rtl/>
        </w:rPr>
        <w:footnoteRef/>
      </w:r>
      <w:r w:rsidRPr="00B26C45">
        <w:rPr>
          <w:rFonts w:ascii="MF FrankRuhl" w:hAnsi="MF FrankRuhl"/>
          <w:rtl/>
        </w:rPr>
        <w:t>.</w:t>
      </w:r>
      <w:r w:rsidRPr="00B26C45">
        <w:rPr>
          <w:rFonts w:ascii="MF FrankRuhl" w:hAnsi="MF FrankRuhl"/>
          <w:rtl/>
        </w:rPr>
        <w:tab/>
      </w:r>
      <w:r w:rsidRPr="00661576">
        <w:rPr>
          <w:rFonts w:hint="cs"/>
          <w:rtl/>
        </w:rPr>
        <w:t>אמנם</w:t>
      </w:r>
      <w:r>
        <w:rPr>
          <w:rFonts w:hint="cs"/>
          <w:rtl/>
        </w:rPr>
        <w:t>,</w:t>
      </w:r>
      <w:r w:rsidRPr="00661576">
        <w:rPr>
          <w:rFonts w:hint="cs"/>
          <w:rtl/>
        </w:rPr>
        <w:t xml:space="preserve"> לפי רבים מהמדרשים ירושלים ובית המקדש עוד לא נבנו בזמן המגילה, ואחשורוש ה</w:t>
      </w:r>
      <w:r>
        <w:rPr>
          <w:rFonts w:hint="cs"/>
          <w:rtl/>
        </w:rPr>
        <w:t>נזכר</w:t>
      </w:r>
      <w:r w:rsidRPr="00661576">
        <w:rPr>
          <w:rFonts w:hint="cs"/>
          <w:rtl/>
        </w:rPr>
        <w:t xml:space="preserve"> בה קדם לכורש (עיי</w:t>
      </w:r>
      <w:r>
        <w:rPr>
          <w:rFonts w:hint="cs"/>
          <w:rtl/>
        </w:rPr>
        <w:t>נו</w:t>
      </w:r>
      <w:r w:rsidRPr="00661576">
        <w:rPr>
          <w:rFonts w:hint="cs"/>
          <w:rtl/>
        </w:rPr>
        <w:t xml:space="preserve"> על כך במאמרו של י' מדן, 'מבוא למאמרו של ח' חפץ על מלכות פרס ומדי', </w:t>
      </w:r>
      <w:r w:rsidRPr="00DD396A">
        <w:rPr>
          <w:rFonts w:hint="cs"/>
          <w:b/>
          <w:bCs/>
          <w:rtl/>
        </w:rPr>
        <w:t>מגדים</w:t>
      </w:r>
      <w:r w:rsidRPr="00661576">
        <w:rPr>
          <w:rFonts w:hint="cs"/>
          <w:rtl/>
        </w:rPr>
        <w:t xml:space="preserve"> יד</w:t>
      </w:r>
      <w:r>
        <w:rPr>
          <w:rFonts w:hint="cs"/>
          <w:rtl/>
        </w:rPr>
        <w:t xml:space="preserve">, </w:t>
      </w:r>
      <w:r w:rsidRPr="00661576">
        <w:rPr>
          <w:rFonts w:hint="cs"/>
          <w:rtl/>
        </w:rPr>
        <w:t>תשנ"א, עמ' 5</w:t>
      </w:r>
      <w:r>
        <w:rPr>
          <w:rFonts w:hint="cs"/>
          <w:rtl/>
        </w:rPr>
        <w:t>3</w:t>
      </w:r>
      <w:r>
        <w:rPr>
          <w:rtl/>
        </w:rPr>
        <w:noBreakHyphen/>
      </w:r>
      <w:r w:rsidRPr="00661576">
        <w:rPr>
          <w:rFonts w:hint="cs"/>
          <w:rtl/>
        </w:rPr>
        <w:t>5</w:t>
      </w:r>
      <w:r>
        <w:rPr>
          <w:rFonts w:hint="cs"/>
          <w:rtl/>
        </w:rPr>
        <w:t>5</w:t>
      </w:r>
      <w:r w:rsidRPr="00661576">
        <w:rPr>
          <w:rFonts w:hint="cs"/>
          <w:rtl/>
        </w:rPr>
        <w:t>). אולם עמדה זו קשה מאוד במישור הפשט ההיסטורי, כי מנבואת ישעיהו (מ"ה, א</w:t>
      </w:r>
      <w:r>
        <w:rPr>
          <w:rtl/>
        </w:rPr>
        <w:noBreakHyphen/>
      </w:r>
      <w:r w:rsidRPr="00661576">
        <w:rPr>
          <w:rFonts w:hint="cs"/>
          <w:rtl/>
        </w:rPr>
        <w:t>ז) ברור שכורש הוא שכבש את בבל, ולפני כורש לא הייתה ממלכת פרס ומדי יכולה להשתרע "</w:t>
      </w:r>
      <w:r w:rsidRPr="00DD396A">
        <w:rPr>
          <w:rtl/>
        </w:rPr>
        <w:t>מֵהֹדּוּ וְעַד כּוּשׁ</w:t>
      </w:r>
      <w:r w:rsidRPr="00661576">
        <w:rPr>
          <w:rFonts w:hint="cs"/>
          <w:rtl/>
        </w:rPr>
        <w:t xml:space="preserve">". נוסף </w:t>
      </w:r>
      <w:r>
        <w:rPr>
          <w:rFonts w:hint="cs"/>
          <w:rtl/>
        </w:rPr>
        <w:t>ע</w:t>
      </w:r>
      <w:r w:rsidRPr="00661576">
        <w:rPr>
          <w:rFonts w:hint="cs"/>
          <w:rtl/>
        </w:rPr>
        <w:t>ל</w:t>
      </w:r>
      <w:r>
        <w:rPr>
          <w:rFonts w:hint="cs"/>
          <w:rtl/>
        </w:rPr>
        <w:t xml:space="preserve"> </w:t>
      </w:r>
      <w:r w:rsidRPr="00661576">
        <w:rPr>
          <w:rFonts w:hint="cs"/>
          <w:rtl/>
        </w:rPr>
        <w:t>כך, בעזרא (ד', ה</w:t>
      </w:r>
      <w:r>
        <w:rPr>
          <w:rtl/>
        </w:rPr>
        <w:noBreakHyphen/>
      </w:r>
      <w:r w:rsidRPr="00661576">
        <w:rPr>
          <w:rFonts w:hint="cs"/>
          <w:rtl/>
        </w:rPr>
        <w:t>ז) אנו מוצאים את סדרם של מלכי פרס: כורש, דרי</w:t>
      </w:r>
      <w:r>
        <w:rPr>
          <w:rFonts w:hint="cs"/>
          <w:rtl/>
        </w:rPr>
        <w:t>ו</w:t>
      </w:r>
      <w:r w:rsidRPr="00661576">
        <w:rPr>
          <w:rFonts w:hint="cs"/>
          <w:rtl/>
        </w:rPr>
        <w:t>וש, אחשורוש וארתחש</w:t>
      </w:r>
      <w:r>
        <w:rPr>
          <w:rFonts w:hint="cs"/>
          <w:rtl/>
        </w:rPr>
        <w:t>ס</w:t>
      </w:r>
      <w:r w:rsidRPr="00661576">
        <w:rPr>
          <w:rFonts w:hint="cs"/>
          <w:rtl/>
        </w:rPr>
        <w:t>תא. סדר זה מתאים גם למה שאנו יודעים מתעודות ההיסטוריה הפרסית (פרט לכנבוזי בנו של כורש שלא נזכר בעזרא, שכן לא היה לו קשר לבית המקדש ולירושלים)</w:t>
      </w:r>
      <w:r>
        <w:rPr>
          <w:rFonts w:hint="cs"/>
          <w:rtl/>
        </w:rPr>
        <w:t>.</w:t>
      </w:r>
      <w:r w:rsidRPr="00661576">
        <w:rPr>
          <w:rFonts w:hint="cs"/>
          <w:rtl/>
        </w:rPr>
        <w:t xml:space="preserve"> על כל הנושא ראו</w:t>
      </w:r>
      <w:r>
        <w:rPr>
          <w:rFonts w:hint="cs"/>
          <w:rtl/>
        </w:rPr>
        <w:t>:</w:t>
      </w:r>
      <w:r w:rsidRPr="00661576">
        <w:rPr>
          <w:rFonts w:hint="cs"/>
          <w:rtl/>
        </w:rPr>
        <w:t xml:space="preserve"> ח' תדמור, ערך </w:t>
      </w:r>
      <w:r>
        <w:rPr>
          <w:rFonts w:hint="cs"/>
          <w:rtl/>
        </w:rPr>
        <w:t>'</w:t>
      </w:r>
      <w:r w:rsidRPr="00661576">
        <w:rPr>
          <w:rFonts w:hint="cs"/>
          <w:rtl/>
        </w:rPr>
        <w:t>כרונולוגיה</w:t>
      </w:r>
      <w:r>
        <w:rPr>
          <w:rFonts w:hint="cs"/>
          <w:rtl/>
        </w:rPr>
        <w:t>'</w:t>
      </w:r>
      <w:r w:rsidRPr="00661576">
        <w:rPr>
          <w:rFonts w:hint="cs"/>
          <w:rtl/>
        </w:rPr>
        <w:t xml:space="preserve">, </w:t>
      </w:r>
      <w:r w:rsidRPr="009710DB">
        <w:rPr>
          <w:rFonts w:hint="cs"/>
          <w:b/>
          <w:bCs/>
          <w:rtl/>
        </w:rPr>
        <w:t>אנציקלופדיה מקראית</w:t>
      </w:r>
      <w:r w:rsidRPr="00661576">
        <w:rPr>
          <w:rFonts w:hint="cs"/>
          <w:rtl/>
        </w:rPr>
        <w:t xml:space="preserve"> ד, ירושלים תשכ"ג, </w:t>
      </w:r>
      <w:r>
        <w:rPr>
          <w:rFonts w:hint="cs"/>
          <w:rtl/>
        </w:rPr>
        <w:t>טורים 304</w:t>
      </w:r>
      <w:r>
        <w:rPr>
          <w:rtl/>
        </w:rPr>
        <w:noBreakHyphen/>
      </w:r>
      <w:r>
        <w:rPr>
          <w:rFonts w:hint="cs"/>
          <w:rtl/>
        </w:rPr>
        <w:t>305.</w:t>
      </w:r>
    </w:p>
    <w:p w14:paraId="4E309F4E" w14:textId="77777777" w:rsidR="00E0044E" w:rsidRPr="00661576" w:rsidRDefault="00E0044E" w:rsidP="00E0044E">
      <w:pPr>
        <w:pStyle w:val="a3"/>
        <w:rPr>
          <w:rtl/>
        </w:rPr>
      </w:pPr>
      <w:r>
        <w:rPr>
          <w:rFonts w:hint="cs"/>
          <w:rtl/>
        </w:rPr>
        <w:tab/>
      </w:r>
      <w:r w:rsidRPr="00661576">
        <w:rPr>
          <w:rFonts w:hint="cs"/>
          <w:rtl/>
        </w:rPr>
        <w:t xml:space="preserve">ההשערה המקובלת כיום </w:t>
      </w:r>
      <w:r>
        <w:rPr>
          <w:rFonts w:hint="cs"/>
          <w:rtl/>
        </w:rPr>
        <w:t xml:space="preserve">היא </w:t>
      </w:r>
      <w:r w:rsidRPr="00661576">
        <w:rPr>
          <w:rFonts w:hint="cs"/>
          <w:rtl/>
        </w:rPr>
        <w:t>שאחשורוש של המגילה הוא בנו של דרי</w:t>
      </w:r>
      <w:r>
        <w:rPr>
          <w:rFonts w:hint="cs"/>
          <w:rtl/>
        </w:rPr>
        <w:t>ו</w:t>
      </w:r>
      <w:r w:rsidRPr="00661576">
        <w:rPr>
          <w:rFonts w:hint="cs"/>
          <w:rtl/>
        </w:rPr>
        <w:t>וש</w:t>
      </w:r>
      <w:r>
        <w:rPr>
          <w:rFonts w:hint="cs"/>
          <w:rtl/>
        </w:rPr>
        <w:t>,</w:t>
      </w:r>
      <w:r w:rsidRPr="00661576">
        <w:rPr>
          <w:rFonts w:hint="cs"/>
          <w:rtl/>
        </w:rPr>
        <w:t xml:space="preserve"> הנקרא במקורות היווני</w:t>
      </w:r>
      <w:r>
        <w:rPr>
          <w:rFonts w:hint="cs"/>
          <w:rtl/>
        </w:rPr>
        <w:t>י</w:t>
      </w:r>
      <w:r w:rsidRPr="00661576">
        <w:rPr>
          <w:rFonts w:hint="cs"/>
          <w:rtl/>
        </w:rPr>
        <w:t>ם כסרכס ובמקורות הפרסיים חשיַרשַ (ראו למשל</w:t>
      </w:r>
      <w:r>
        <w:rPr>
          <w:rFonts w:hint="cs"/>
          <w:rtl/>
        </w:rPr>
        <w:t>:</w:t>
      </w:r>
      <w:r w:rsidRPr="00661576">
        <w:rPr>
          <w:rFonts w:hint="cs"/>
          <w:rtl/>
        </w:rPr>
        <w:t xml:space="preserve"> מ"צ סגל, </w:t>
      </w:r>
      <w:r w:rsidRPr="009710DB">
        <w:rPr>
          <w:rFonts w:hint="cs"/>
          <w:b/>
          <w:bCs/>
          <w:rtl/>
        </w:rPr>
        <w:t>מבוא למקרא</w:t>
      </w:r>
      <w:r>
        <w:rPr>
          <w:rFonts w:hint="cs"/>
          <w:rtl/>
        </w:rPr>
        <w:t xml:space="preserve"> ב</w:t>
      </w:r>
      <w:r w:rsidRPr="00661576">
        <w:rPr>
          <w:rFonts w:hint="cs"/>
          <w:rtl/>
        </w:rPr>
        <w:t xml:space="preserve">, ירושלים תשל"ז, עמ' 723; ג"ח כהן, </w:t>
      </w:r>
      <w:r>
        <w:rPr>
          <w:rFonts w:hint="cs"/>
          <w:b/>
          <w:bCs/>
          <w:rtl/>
        </w:rPr>
        <w:t>פירוש דעת מקרא למגילת אסתר</w:t>
      </w:r>
      <w:r>
        <w:rPr>
          <w:rFonts w:hint="cs"/>
          <w:rtl/>
        </w:rPr>
        <w:t xml:space="preserve">, </w:t>
      </w:r>
      <w:r w:rsidRPr="00661576">
        <w:rPr>
          <w:rFonts w:hint="cs"/>
          <w:rtl/>
        </w:rPr>
        <w:t>י</w:t>
      </w:r>
      <w:r>
        <w:rPr>
          <w:rFonts w:hint="cs"/>
          <w:rtl/>
        </w:rPr>
        <w:t>רושלים תשל"ד, מבוא, עמ' 4</w:t>
      </w:r>
      <w:r>
        <w:rPr>
          <w:rtl/>
        </w:rPr>
        <w:noBreakHyphen/>
      </w:r>
      <w:r>
        <w:rPr>
          <w:rFonts w:hint="cs"/>
          <w:rtl/>
        </w:rPr>
        <w:t>6).</w:t>
      </w:r>
      <w:r w:rsidRPr="00661576">
        <w:rPr>
          <w:rFonts w:hint="cs"/>
          <w:rtl/>
        </w:rPr>
        <w:t xml:space="preserve"> אכן, שם זה מזכיר מאוד את נוסח הכתיב בסוף המגילה</w:t>
      </w:r>
      <w:r>
        <w:rPr>
          <w:rFonts w:hint="cs"/>
          <w:rtl/>
        </w:rPr>
        <w:t>:</w:t>
      </w:r>
      <w:r w:rsidRPr="00661576">
        <w:rPr>
          <w:rFonts w:hint="cs"/>
          <w:rtl/>
        </w:rPr>
        <w:t xml:space="preserve"> "</w:t>
      </w:r>
      <w:r w:rsidRPr="005B1D50">
        <w:rPr>
          <w:rtl/>
        </w:rPr>
        <w:t xml:space="preserve">וַיָּשֶׂם הַמֶּלֶךְ אחשרש </w:t>
      </w:r>
      <w:r>
        <w:rPr>
          <w:rFonts w:hint="cs"/>
          <w:rtl/>
        </w:rPr>
        <w:t>[</w:t>
      </w:r>
      <w:r w:rsidRPr="005B1D50">
        <w:rPr>
          <w:rtl/>
        </w:rPr>
        <w:t xml:space="preserve">אֲחַשְׁוֵרוֹשׁ </w:t>
      </w:r>
      <w:r>
        <w:rPr>
          <w:rFonts w:hint="cs"/>
          <w:rtl/>
        </w:rPr>
        <w:t xml:space="preserve">קרי] </w:t>
      </w:r>
      <w:r w:rsidRPr="005B1D50">
        <w:rPr>
          <w:rtl/>
        </w:rPr>
        <w:t>מַס עַל הָאָרֶץ</w:t>
      </w:r>
      <w:r w:rsidRPr="00661576">
        <w:rPr>
          <w:rFonts w:hint="cs"/>
          <w:rtl/>
        </w:rPr>
        <w:t>"</w:t>
      </w:r>
      <w:r>
        <w:rPr>
          <w:rFonts w:hint="cs"/>
          <w:rtl/>
        </w:rPr>
        <w:t xml:space="preserve"> (י', א</w:t>
      </w:r>
      <w:r w:rsidRPr="00661576">
        <w:rPr>
          <w:rFonts w:hint="cs"/>
          <w:rtl/>
        </w:rPr>
        <w:t>).</w:t>
      </w:r>
    </w:p>
  </w:footnote>
  <w:footnote w:id="3">
    <w:p w14:paraId="3A5C41A3" w14:textId="77777777" w:rsidR="00E0044E" w:rsidRDefault="00E0044E" w:rsidP="00E0044E">
      <w:pPr>
        <w:pStyle w:val="a3"/>
        <w:rPr>
          <w:rtl/>
        </w:rPr>
      </w:pPr>
      <w:r w:rsidRPr="00B26C45">
        <w:rPr>
          <w:rFonts w:ascii="MF FrankRuhl" w:hAnsi="MF FrankRuhl"/>
          <w:rtl/>
        </w:rPr>
        <w:footnoteRef/>
      </w:r>
      <w:r w:rsidRPr="00B26C45">
        <w:rPr>
          <w:rFonts w:ascii="MF FrankRuhl" w:hAnsi="MF FrankRuhl"/>
          <w:rtl/>
        </w:rPr>
        <w:t>.</w:t>
      </w:r>
      <w:r w:rsidRPr="00B26C45">
        <w:rPr>
          <w:rFonts w:ascii="MF FrankRuhl" w:hAnsi="MF FrankRuhl"/>
          <w:rtl/>
        </w:rPr>
        <w:tab/>
      </w:r>
      <w:r w:rsidRPr="00661576">
        <w:rPr>
          <w:rFonts w:hint="cs"/>
          <w:rtl/>
        </w:rPr>
        <w:t xml:space="preserve">פשט הכתוב הוא שמדובר </w:t>
      </w:r>
      <w:r w:rsidRPr="004C0406">
        <w:rPr>
          <w:rtl/>
        </w:rPr>
        <w:t>באדם אחר בעל אותו שם</w:t>
      </w:r>
      <w:r w:rsidRPr="00661576">
        <w:rPr>
          <w:rFonts w:hint="cs"/>
          <w:rtl/>
        </w:rPr>
        <w:t xml:space="preserve">, וכך משתמע גם מהשם נחמיה </w:t>
      </w:r>
      <w:r>
        <w:rPr>
          <w:rFonts w:hint="cs"/>
          <w:rtl/>
        </w:rPr>
        <w:t xml:space="preserve">המוזכר </w:t>
      </w:r>
      <w:r w:rsidRPr="004C0406">
        <w:rPr>
          <w:rtl/>
        </w:rPr>
        <w:t>באותו הפסוק, שהרי נחמיה ה</w:t>
      </w:r>
      <w:r>
        <w:rPr>
          <w:rtl/>
        </w:rPr>
        <w:t>מוכר לנו שירת את המלך ארתחש</w:t>
      </w:r>
      <w:r>
        <w:rPr>
          <w:rFonts w:hint="cs"/>
          <w:rtl/>
        </w:rPr>
        <w:t>ס</w:t>
      </w:r>
      <w:r w:rsidRPr="004C0406">
        <w:rPr>
          <w:rtl/>
        </w:rPr>
        <w:t>תא המאוחר יותר לכל הדעות. אולם הגמרא</w:t>
      </w:r>
      <w:r w:rsidRPr="00661576">
        <w:rPr>
          <w:rFonts w:hint="cs"/>
          <w:rtl/>
        </w:rPr>
        <w:t xml:space="preserve"> (מגילה טו ע"א) </w:t>
      </w:r>
      <w:r>
        <w:rPr>
          <w:rFonts w:hint="cs"/>
          <w:rtl/>
        </w:rPr>
        <w:t>הבינה</w:t>
      </w:r>
      <w:r w:rsidRPr="00661576">
        <w:rPr>
          <w:rFonts w:hint="cs"/>
          <w:rtl/>
        </w:rPr>
        <w:t xml:space="preserve"> שזהו אותו </w:t>
      </w:r>
      <w:r>
        <w:rPr>
          <w:rFonts w:hint="cs"/>
          <w:rtl/>
        </w:rPr>
        <w:t>'</w:t>
      </w:r>
      <w:r w:rsidRPr="00661576">
        <w:rPr>
          <w:rFonts w:hint="cs"/>
          <w:rtl/>
        </w:rPr>
        <w:t>מרדכי היהודי</w:t>
      </w:r>
      <w:r>
        <w:rPr>
          <w:rFonts w:hint="cs"/>
          <w:rtl/>
        </w:rPr>
        <w:t>'</w:t>
      </w:r>
      <w:r w:rsidRPr="00661576">
        <w:rPr>
          <w:rFonts w:hint="cs"/>
          <w:rtl/>
        </w:rPr>
        <w:t xml:space="preserve"> של המגילה</w:t>
      </w:r>
      <w:r>
        <w:rPr>
          <w:rFonts w:hint="cs"/>
          <w:rtl/>
        </w:rPr>
        <w:t>,</w:t>
      </w:r>
      <w:r w:rsidRPr="00661576">
        <w:rPr>
          <w:rFonts w:hint="cs"/>
          <w:rtl/>
        </w:rPr>
        <w:t xml:space="preserve"> וכ</w:t>
      </w:r>
      <w:r>
        <w:rPr>
          <w:rFonts w:hint="cs"/>
          <w:rtl/>
        </w:rPr>
        <w:t xml:space="preserve">ך כתבו גם </w:t>
      </w:r>
      <w:r w:rsidRPr="00661576">
        <w:rPr>
          <w:rFonts w:hint="cs"/>
          <w:rtl/>
        </w:rPr>
        <w:t xml:space="preserve">רש"י וראב"ע </w:t>
      </w:r>
      <w:r>
        <w:rPr>
          <w:rFonts w:hint="cs"/>
          <w:rtl/>
        </w:rPr>
        <w:t xml:space="preserve">(בפירושם </w:t>
      </w:r>
      <w:r w:rsidRPr="00661576">
        <w:rPr>
          <w:rFonts w:hint="cs"/>
          <w:rtl/>
        </w:rPr>
        <w:t xml:space="preserve">לעזרא </w:t>
      </w:r>
      <w:r>
        <w:rPr>
          <w:rFonts w:hint="cs"/>
          <w:rtl/>
        </w:rPr>
        <w:t>שם</w:t>
      </w:r>
      <w:r w:rsidRPr="00661576">
        <w:rPr>
          <w:rFonts w:hint="cs"/>
          <w:rtl/>
        </w:rPr>
        <w:t>)</w:t>
      </w:r>
      <w:r>
        <w:rPr>
          <w:rFonts w:hint="cs"/>
          <w:rtl/>
        </w:rPr>
        <w:t>. לפי דעה זו, לאחר עלייתו לארץ חזר מרדכי</w:t>
      </w:r>
      <w:r w:rsidRPr="00661576">
        <w:rPr>
          <w:rFonts w:hint="cs"/>
          <w:rtl/>
        </w:rPr>
        <w:t xml:space="preserve"> לשושן והתמסר לפוליטיקת ההישרדות של הגולה. דעה זו משתלבת בהסתייגות חלק מן החכמים</w:t>
      </w:r>
      <w:r w:rsidRPr="005B1D50">
        <w:rPr>
          <w:rFonts w:hint="cs"/>
          <w:rtl/>
        </w:rPr>
        <w:t xml:space="preserve"> </w:t>
      </w:r>
      <w:r w:rsidRPr="00661576">
        <w:rPr>
          <w:rFonts w:hint="cs"/>
          <w:rtl/>
        </w:rPr>
        <w:t xml:space="preserve">מהמעבר של מרדכי מתלמוד תורה (בירושלים) </w:t>
      </w:r>
      <w:r>
        <w:rPr>
          <w:rFonts w:hint="cs"/>
          <w:rtl/>
        </w:rPr>
        <w:t xml:space="preserve">לפוליטיקה של הצלת נפשות (בשושן), כדברי הגמרא במגילה טז ע"ב </w:t>
      </w:r>
      <w:r w:rsidRPr="00661576">
        <w:rPr>
          <w:rFonts w:hint="cs"/>
          <w:rtl/>
        </w:rPr>
        <w:t>("שפירשו ממנו מקצת סנהדרין")</w:t>
      </w:r>
      <w:r>
        <w:rPr>
          <w:rFonts w:hint="cs"/>
          <w:rtl/>
        </w:rPr>
        <w:t>.</w:t>
      </w:r>
    </w:p>
  </w:footnote>
  <w:footnote w:id="4">
    <w:p w14:paraId="004EDCF1" w14:textId="77777777" w:rsidR="00E0044E" w:rsidRDefault="00E0044E" w:rsidP="00E0044E">
      <w:pPr>
        <w:pStyle w:val="a3"/>
      </w:pPr>
      <w:r w:rsidRPr="00B26C45">
        <w:rPr>
          <w:rFonts w:ascii="MF FrankRuhl" w:hAnsi="MF FrankRuhl"/>
          <w:rtl/>
        </w:rPr>
        <w:footnoteRef/>
      </w:r>
      <w:r w:rsidRPr="00B26C45">
        <w:rPr>
          <w:rFonts w:ascii="MF FrankRuhl" w:hAnsi="MF FrankRuhl"/>
          <w:rtl/>
        </w:rPr>
        <w:t>.</w:t>
      </w:r>
      <w:r w:rsidRPr="00B26C45">
        <w:rPr>
          <w:rFonts w:ascii="MF FrankRuhl" w:hAnsi="MF FrankRuhl"/>
          <w:rtl/>
        </w:rPr>
        <w:tab/>
      </w:r>
      <w:r>
        <w:rPr>
          <w:rFonts w:hint="cs"/>
          <w:rtl/>
        </w:rPr>
        <w:t xml:space="preserve">ראו: </w:t>
      </w:r>
      <w:r w:rsidRPr="00661576">
        <w:rPr>
          <w:rFonts w:hint="cs"/>
          <w:rtl/>
        </w:rPr>
        <w:t>ויקרא כ"ה, כט</w:t>
      </w:r>
      <w:r>
        <w:rPr>
          <w:rtl/>
        </w:rPr>
        <w:noBreakHyphen/>
      </w:r>
      <w:r w:rsidRPr="00661576">
        <w:rPr>
          <w:rFonts w:hint="cs"/>
          <w:rtl/>
        </w:rPr>
        <w:t>לא</w:t>
      </w:r>
      <w:r>
        <w:rPr>
          <w:rFonts w:hint="cs"/>
          <w:rtl/>
        </w:rPr>
        <w:t>;</w:t>
      </w:r>
      <w:r w:rsidRPr="00661576">
        <w:rPr>
          <w:rFonts w:hint="cs"/>
          <w:rtl/>
        </w:rPr>
        <w:t xml:space="preserve"> ערכין לב ע"א</w:t>
      </w:r>
      <w:r>
        <w:rPr>
          <w:rFonts w:hint="cs"/>
          <w:rtl/>
        </w:rPr>
        <w:t>.</w:t>
      </w:r>
    </w:p>
  </w:footnote>
  <w:footnote w:id="5">
    <w:p w14:paraId="6C7EAB0B" w14:textId="77777777" w:rsidR="00E0044E" w:rsidRDefault="00E0044E" w:rsidP="00E0044E">
      <w:pPr>
        <w:pStyle w:val="a3"/>
        <w:rPr>
          <w:rtl/>
        </w:rPr>
      </w:pPr>
      <w:r w:rsidRPr="00B26C45">
        <w:rPr>
          <w:rFonts w:ascii="MF FrankRuhl" w:hAnsi="MF FrankRuhl"/>
          <w:rtl/>
        </w:rPr>
        <w:footnoteRef/>
      </w:r>
      <w:r w:rsidRPr="00B26C45">
        <w:rPr>
          <w:rFonts w:ascii="MF FrankRuhl" w:hAnsi="MF FrankRuhl"/>
          <w:rtl/>
        </w:rPr>
        <w:t>.</w:t>
      </w:r>
      <w:r w:rsidRPr="00B26C45">
        <w:rPr>
          <w:rFonts w:ascii="MF FrankRuhl" w:hAnsi="MF FrankRuhl"/>
          <w:rtl/>
        </w:rPr>
        <w:tab/>
      </w:r>
      <w:r>
        <w:rPr>
          <w:rFonts w:ascii="MF FrankRuhl" w:hAnsi="MF FrankRuhl" w:hint="cs"/>
          <w:rtl/>
        </w:rPr>
        <w:t xml:space="preserve">ראו: </w:t>
      </w:r>
      <w:r w:rsidRPr="00661576">
        <w:rPr>
          <w:rFonts w:hint="cs"/>
          <w:rtl/>
        </w:rPr>
        <w:t>מגילה ז ע"א</w:t>
      </w:r>
      <w:r>
        <w:rPr>
          <w:rFonts w:hint="cs"/>
          <w:rtl/>
        </w:rPr>
        <w:t>;</w:t>
      </w:r>
      <w:r w:rsidRPr="00661576">
        <w:rPr>
          <w:rFonts w:hint="cs"/>
          <w:rtl/>
        </w:rPr>
        <w:t xml:space="preserve"> ירושלמי מגילה פ</w:t>
      </w:r>
      <w:r>
        <w:rPr>
          <w:rFonts w:hint="cs"/>
          <w:rtl/>
        </w:rPr>
        <w:t>"</w:t>
      </w:r>
      <w:r w:rsidRPr="00661576">
        <w:rPr>
          <w:rFonts w:hint="cs"/>
          <w:rtl/>
        </w:rPr>
        <w:t>א</w:t>
      </w:r>
      <w:r>
        <w:rPr>
          <w:rFonts w:hint="cs"/>
          <w:rtl/>
        </w:rPr>
        <w:t>, ע ע"ד.</w:t>
      </w:r>
    </w:p>
  </w:footnote>
  <w:footnote w:id="6">
    <w:p w14:paraId="5274A641" w14:textId="77777777" w:rsidR="00E0044E" w:rsidRPr="00661576" w:rsidRDefault="00E0044E" w:rsidP="00E0044E">
      <w:pPr>
        <w:pStyle w:val="a3"/>
        <w:rPr>
          <w:rtl/>
        </w:rPr>
      </w:pPr>
      <w:r w:rsidRPr="00B26C45">
        <w:rPr>
          <w:rFonts w:ascii="MF FrankRuhl" w:hAnsi="MF FrankRuhl"/>
          <w:rtl/>
        </w:rPr>
        <w:footnoteRef/>
      </w:r>
      <w:r w:rsidRPr="00B26C45">
        <w:rPr>
          <w:rFonts w:ascii="MF FrankRuhl" w:hAnsi="MF FrankRuhl"/>
          <w:rtl/>
        </w:rPr>
        <w:t>.</w:t>
      </w:r>
      <w:r w:rsidRPr="00B26C45">
        <w:rPr>
          <w:rFonts w:ascii="MF FrankRuhl" w:hAnsi="MF FrankRuhl"/>
          <w:rtl/>
        </w:rPr>
        <w:tab/>
      </w:r>
      <w:r w:rsidRPr="00661576">
        <w:rPr>
          <w:rFonts w:hint="cs"/>
          <w:rtl/>
        </w:rPr>
        <w:t xml:space="preserve">ראו מאמרי 'אנשי כנסת הגדולה הם חותמי האמנה במעמד עזרא ונחמיה', </w:t>
      </w:r>
      <w:r w:rsidRPr="004E48C4">
        <w:rPr>
          <w:rFonts w:hint="cs"/>
          <w:b/>
          <w:bCs/>
          <w:rtl/>
        </w:rPr>
        <w:t>משלב</w:t>
      </w:r>
      <w:r w:rsidRPr="00661576">
        <w:rPr>
          <w:rFonts w:hint="cs"/>
          <w:rtl/>
        </w:rPr>
        <w:t xml:space="preserve"> לו</w:t>
      </w:r>
      <w:r>
        <w:rPr>
          <w:rFonts w:hint="cs"/>
          <w:rtl/>
        </w:rPr>
        <w:t>,</w:t>
      </w:r>
      <w:r w:rsidRPr="00661576">
        <w:rPr>
          <w:rFonts w:hint="cs"/>
          <w:rtl/>
        </w:rPr>
        <w:t xml:space="preserve"> תשס"א, עמ' </w:t>
      </w:r>
      <w:r>
        <w:rPr>
          <w:rFonts w:hint="cs"/>
          <w:rtl/>
        </w:rPr>
        <w:t>15</w:t>
      </w:r>
      <w:r>
        <w:rPr>
          <w:rtl/>
        </w:rPr>
        <w:noBreakHyphen/>
      </w:r>
      <w:r>
        <w:rPr>
          <w:rFonts w:hint="cs"/>
          <w:rtl/>
        </w:rPr>
        <w:t>20</w:t>
      </w:r>
      <w:r w:rsidRPr="00661576">
        <w:rPr>
          <w:rFonts w:hint="cs"/>
          <w:rtl/>
        </w:rPr>
        <w:t>.</w:t>
      </w:r>
    </w:p>
  </w:footnote>
  <w:footnote w:id="7">
    <w:p w14:paraId="601AEAFF" w14:textId="77777777" w:rsidR="00E0044E" w:rsidRDefault="00E0044E" w:rsidP="00E0044E">
      <w:pPr>
        <w:pStyle w:val="a3"/>
        <w:rPr>
          <w:rtl/>
        </w:rPr>
      </w:pPr>
      <w:r w:rsidRPr="00B26C45">
        <w:rPr>
          <w:rFonts w:ascii="MF FrankRuhl" w:hAnsi="MF FrankRuhl"/>
          <w:rtl/>
        </w:rPr>
        <w:footnoteRef/>
      </w:r>
      <w:r w:rsidRPr="00B26C45">
        <w:rPr>
          <w:rFonts w:ascii="MF FrankRuhl" w:hAnsi="MF FrankRuhl"/>
          <w:rtl/>
        </w:rPr>
        <w:t>.</w:t>
      </w:r>
      <w:r w:rsidRPr="00B26C45">
        <w:rPr>
          <w:rFonts w:ascii="MF FrankRuhl" w:hAnsi="MF FrankRuhl"/>
          <w:rtl/>
        </w:rPr>
        <w:tab/>
      </w:r>
      <w:r>
        <w:rPr>
          <w:rFonts w:hint="cs"/>
          <w:rtl/>
        </w:rPr>
        <w:t>"</w:t>
      </w:r>
      <w:r w:rsidRPr="00DD396A">
        <w:rPr>
          <w:rtl/>
        </w:rPr>
        <w:t>חלקו כבוד לארץ ישראל שהיתה חריבה באותן הימים ותלו אותה מימות יהושע בן נון</w:t>
      </w:r>
      <w:r>
        <w:rPr>
          <w:rFonts w:hint="cs"/>
          <w:rtl/>
        </w:rPr>
        <w:t xml:space="preserve">" (ירושלמי מגילה פ"א, ע ע"א). בניגוד למשתמע מן המגילה, שהגדרת </w:t>
      </w:r>
      <w:r w:rsidRPr="00661576">
        <w:rPr>
          <w:rFonts w:hint="cs"/>
          <w:rtl/>
        </w:rPr>
        <w:t>עיר שאיננה מ</w:t>
      </w:r>
      <w:r>
        <w:rPr>
          <w:rFonts w:hint="cs"/>
          <w:rtl/>
        </w:rPr>
        <w:t>'</w:t>
      </w:r>
      <w:r w:rsidRPr="00661576">
        <w:rPr>
          <w:rFonts w:hint="cs"/>
          <w:rtl/>
        </w:rPr>
        <w:t>ערי הפרזות</w:t>
      </w:r>
      <w:r>
        <w:rPr>
          <w:rFonts w:hint="cs"/>
          <w:rtl/>
        </w:rPr>
        <w:t xml:space="preserve">' היא </w:t>
      </w:r>
      <w:r w:rsidRPr="00661576">
        <w:rPr>
          <w:rFonts w:hint="cs"/>
          <w:rtl/>
        </w:rPr>
        <w:t xml:space="preserve">על פי שושן, כפי שסבר גם ר' יהושע בן קרחה </w:t>
      </w:r>
      <w:r>
        <w:rPr>
          <w:rFonts w:hint="cs"/>
          <w:rtl/>
        </w:rPr>
        <w:t xml:space="preserve">(מגילה ב ע"ב). </w:t>
      </w:r>
      <w:r w:rsidRPr="00661576">
        <w:rPr>
          <w:rFonts w:hint="cs"/>
          <w:rtl/>
        </w:rPr>
        <w:t xml:space="preserve">במגילה עצמה לא נתפרש מה עשו יהודים בערים שאינן </w:t>
      </w:r>
      <w:r>
        <w:rPr>
          <w:rFonts w:hint="cs"/>
          <w:rtl/>
        </w:rPr>
        <w:t>'</w:t>
      </w:r>
      <w:r w:rsidRPr="00661576">
        <w:rPr>
          <w:rFonts w:hint="cs"/>
          <w:rtl/>
        </w:rPr>
        <w:t>פרזות</w:t>
      </w:r>
      <w:r>
        <w:rPr>
          <w:rFonts w:hint="cs"/>
          <w:rtl/>
        </w:rPr>
        <w:t>'</w:t>
      </w:r>
      <w:r w:rsidRPr="00661576">
        <w:rPr>
          <w:rFonts w:hint="cs"/>
          <w:rtl/>
        </w:rPr>
        <w:t xml:space="preserve"> ואינן שושן</w:t>
      </w:r>
      <w:r>
        <w:rPr>
          <w:rFonts w:hint="cs"/>
          <w:rtl/>
        </w:rPr>
        <w:t>;</w:t>
      </w:r>
      <w:r w:rsidRPr="00661576">
        <w:rPr>
          <w:rFonts w:hint="cs"/>
          <w:rtl/>
        </w:rPr>
        <w:t xml:space="preserve"> וראו </w:t>
      </w:r>
      <w:r>
        <w:rPr>
          <w:rFonts w:hint="cs"/>
          <w:rtl/>
        </w:rPr>
        <w:t>עוד ב</w:t>
      </w:r>
      <w:r w:rsidRPr="00661576">
        <w:rPr>
          <w:rFonts w:hint="cs"/>
          <w:rtl/>
        </w:rPr>
        <w:t xml:space="preserve">מאמרי </w:t>
      </w:r>
      <w:r>
        <w:rPr>
          <w:rFonts w:hint="cs"/>
          <w:rtl/>
        </w:rPr>
        <w:t>שנזכר בהערה הקודמת.</w:t>
      </w:r>
    </w:p>
  </w:footnote>
  <w:footnote w:id="8">
    <w:p w14:paraId="03B61B3F" w14:textId="77777777" w:rsidR="00E0044E" w:rsidRPr="00661576" w:rsidRDefault="00E0044E" w:rsidP="00E0044E">
      <w:pPr>
        <w:pStyle w:val="a3"/>
        <w:rPr>
          <w:rtl/>
        </w:rPr>
      </w:pPr>
      <w:r w:rsidRPr="00B26C45">
        <w:rPr>
          <w:rFonts w:ascii="MF FrankRuhl" w:hAnsi="MF FrankRuhl"/>
          <w:rtl/>
        </w:rPr>
        <w:footnoteRef/>
      </w:r>
      <w:r w:rsidRPr="00B26C45">
        <w:rPr>
          <w:rFonts w:ascii="MF FrankRuhl" w:hAnsi="MF FrankRuhl"/>
          <w:rtl/>
        </w:rPr>
        <w:t>.</w:t>
      </w:r>
      <w:r w:rsidRPr="00B26C45">
        <w:rPr>
          <w:rFonts w:ascii="MF FrankRuhl" w:hAnsi="MF FrankRuhl"/>
          <w:rtl/>
        </w:rPr>
        <w:tab/>
      </w:r>
      <w:r w:rsidRPr="00661576">
        <w:rPr>
          <w:rFonts w:hint="cs"/>
          <w:rtl/>
        </w:rPr>
        <w:t xml:space="preserve">ראו </w:t>
      </w:r>
      <w:r>
        <w:rPr>
          <w:rFonts w:hint="cs"/>
          <w:rtl/>
        </w:rPr>
        <w:t xml:space="preserve">את </w:t>
      </w:r>
      <w:r w:rsidRPr="00661576">
        <w:rPr>
          <w:rFonts w:hint="cs"/>
          <w:rtl/>
        </w:rPr>
        <w:t xml:space="preserve">רצף התעודות של מלכי אשור המובאות אצל א' דמסקי, </w:t>
      </w:r>
      <w:r w:rsidRPr="000C644D">
        <w:rPr>
          <w:rFonts w:hint="cs"/>
          <w:b/>
          <w:bCs/>
          <w:rtl/>
        </w:rPr>
        <w:t>מדריך במקורות חיצוניים לתולדות ישראל בימי המקרא</w:t>
      </w:r>
      <w:r>
        <w:rPr>
          <w:rFonts w:hint="cs"/>
          <w:rtl/>
        </w:rPr>
        <w:t xml:space="preserve"> א</w:t>
      </w:r>
      <w:r w:rsidRPr="00661576">
        <w:rPr>
          <w:rFonts w:hint="cs"/>
          <w:rtl/>
        </w:rPr>
        <w:t xml:space="preserve">, </w:t>
      </w:r>
      <w:r>
        <w:rPr>
          <w:rFonts w:hint="cs"/>
          <w:rtl/>
        </w:rPr>
        <w:t xml:space="preserve">רמת גן </w:t>
      </w:r>
      <w:r w:rsidRPr="00661576">
        <w:rPr>
          <w:rFonts w:hint="cs"/>
          <w:rtl/>
        </w:rPr>
        <w:t xml:space="preserve">תשמ"ב, עמ' </w:t>
      </w:r>
      <w:r>
        <w:rPr>
          <w:rFonts w:hint="cs"/>
          <w:rtl/>
        </w:rPr>
        <w:t>43</w:t>
      </w:r>
      <w:r>
        <w:rPr>
          <w:rtl/>
        </w:rPr>
        <w:noBreakHyphen/>
      </w:r>
      <w:r>
        <w:rPr>
          <w:rFonts w:hint="cs"/>
          <w:rtl/>
        </w:rPr>
        <w:t>53</w:t>
      </w:r>
      <w:r w:rsidRPr="00661576">
        <w:rPr>
          <w:rFonts w:hint="cs"/>
          <w:rtl/>
        </w:rPr>
        <w:t xml:space="preserve">, ובמיוחד </w:t>
      </w:r>
      <w:r>
        <w:rPr>
          <w:rFonts w:hint="cs"/>
          <w:rtl/>
        </w:rPr>
        <w:t xml:space="preserve">את </w:t>
      </w:r>
      <w:r w:rsidRPr="00661576">
        <w:rPr>
          <w:rFonts w:hint="cs"/>
          <w:rtl/>
        </w:rPr>
        <w:t>תכנית סרגון לבל</w:t>
      </w:r>
      <w:r>
        <w:rPr>
          <w:rFonts w:hint="cs"/>
          <w:rtl/>
        </w:rPr>
        <w:t>ילת</w:t>
      </w:r>
      <w:r w:rsidRPr="00661576">
        <w:rPr>
          <w:rFonts w:hint="cs"/>
          <w:rtl/>
        </w:rPr>
        <w:t xml:space="preserve"> העמים, שם</w:t>
      </w:r>
      <w:r>
        <w:rPr>
          <w:rFonts w:hint="cs"/>
          <w:rtl/>
        </w:rPr>
        <w:t>,</w:t>
      </w:r>
      <w:r w:rsidRPr="00661576">
        <w:rPr>
          <w:rFonts w:hint="cs"/>
          <w:rtl/>
        </w:rPr>
        <w:t xml:space="preserve"> עמ' 51 (על סרגון ראו גם</w:t>
      </w:r>
      <w:r>
        <w:rPr>
          <w:rFonts w:hint="cs"/>
          <w:rtl/>
        </w:rPr>
        <w:t>:</w:t>
      </w:r>
      <w:r w:rsidRPr="00661576">
        <w:t>J.</w:t>
      </w:r>
      <w:r>
        <w:t xml:space="preserve">B. </w:t>
      </w:r>
      <w:r w:rsidRPr="00661576">
        <w:t>Pritchard,</w:t>
      </w:r>
      <w:r>
        <w:t xml:space="preserve"> [ed.], </w:t>
      </w:r>
      <w:r w:rsidRPr="0093250E">
        <w:rPr>
          <w:i/>
          <w:iCs/>
        </w:rPr>
        <w:t xml:space="preserve">Ancient near </w:t>
      </w:r>
      <w:r>
        <w:rPr>
          <w:i/>
          <w:iCs/>
        </w:rPr>
        <w:t>e</w:t>
      </w:r>
      <w:r w:rsidRPr="0093250E">
        <w:rPr>
          <w:i/>
          <w:iCs/>
        </w:rPr>
        <w:t xml:space="preserve">astern texts – relating to the old </w:t>
      </w:r>
      <w:r>
        <w:rPr>
          <w:i/>
          <w:iCs/>
        </w:rPr>
        <w:t>t</w:t>
      </w:r>
      <w:r w:rsidRPr="0093250E">
        <w:rPr>
          <w:i/>
          <w:iCs/>
        </w:rPr>
        <w:t>estament</w:t>
      </w:r>
      <w:r w:rsidRPr="00661576">
        <w:t>,</w:t>
      </w:r>
      <w:r>
        <w:t xml:space="preserve"> </w:t>
      </w:r>
      <w:r w:rsidRPr="00661576">
        <w:t>Princeton</w:t>
      </w:r>
      <w:r>
        <w:br/>
      </w:r>
      <w:r w:rsidRPr="00661576">
        <w:t>1955, p. 287</w:t>
      </w:r>
      <w:r>
        <w:rPr>
          <w:rFonts w:hint="cs"/>
          <w:rtl/>
        </w:rPr>
        <w:t xml:space="preserve">). </w:t>
      </w:r>
      <w:r w:rsidRPr="00661576">
        <w:rPr>
          <w:rFonts w:hint="cs"/>
          <w:rtl/>
        </w:rPr>
        <w:t>ראו</w:t>
      </w:r>
      <w:r>
        <w:rPr>
          <w:rFonts w:hint="cs"/>
          <w:rtl/>
        </w:rPr>
        <w:t xml:space="preserve"> גם: </w:t>
      </w:r>
      <w:r w:rsidRPr="00661576">
        <w:rPr>
          <w:rFonts w:hint="cs"/>
          <w:rtl/>
        </w:rPr>
        <w:t>נ' נאמן, 'שינויי אוכלוסין בארץ ישראל בעקבות ההגליות האשוריות</w:t>
      </w:r>
      <w:r>
        <w:rPr>
          <w:rFonts w:hint="cs"/>
          <w:rtl/>
        </w:rPr>
        <w:t>'</w:t>
      </w:r>
      <w:r w:rsidRPr="00661576">
        <w:rPr>
          <w:rFonts w:hint="cs"/>
          <w:rtl/>
        </w:rPr>
        <w:t xml:space="preserve">, </w:t>
      </w:r>
      <w:r w:rsidRPr="00E901AB">
        <w:rPr>
          <w:rFonts w:hint="cs"/>
          <w:b/>
          <w:bCs/>
          <w:rtl/>
        </w:rPr>
        <w:t>קתדרה</w:t>
      </w:r>
      <w:r w:rsidRPr="00661576">
        <w:rPr>
          <w:rFonts w:hint="cs"/>
          <w:rtl/>
        </w:rPr>
        <w:t xml:space="preserve"> 54</w:t>
      </w:r>
      <w:r>
        <w:rPr>
          <w:rFonts w:hint="cs"/>
          <w:rtl/>
        </w:rPr>
        <w:t xml:space="preserve">, </w:t>
      </w:r>
      <w:r w:rsidRPr="00661576">
        <w:rPr>
          <w:rFonts w:hint="cs"/>
          <w:rtl/>
        </w:rPr>
        <w:t xml:space="preserve">תש"ן, עמ' </w:t>
      </w:r>
      <w:r>
        <w:rPr>
          <w:rFonts w:hint="cs"/>
          <w:rtl/>
        </w:rPr>
        <w:t>43</w:t>
      </w:r>
      <w:r>
        <w:rPr>
          <w:rtl/>
        </w:rPr>
        <w:noBreakHyphen/>
      </w:r>
      <w:r>
        <w:rPr>
          <w:rFonts w:hint="cs"/>
          <w:rtl/>
        </w:rPr>
        <w:t>62</w:t>
      </w:r>
      <w:r w:rsidRPr="00661576">
        <w:rPr>
          <w:rFonts w:hint="cs"/>
          <w:rtl/>
        </w:rPr>
        <w:t>.</w:t>
      </w:r>
    </w:p>
  </w:footnote>
  <w:footnote w:id="9">
    <w:p w14:paraId="7C3FF4DC" w14:textId="77777777" w:rsidR="00E0044E" w:rsidRPr="00661576" w:rsidRDefault="00E0044E" w:rsidP="00E0044E">
      <w:pPr>
        <w:pStyle w:val="a3"/>
      </w:pPr>
      <w:r w:rsidRPr="00B26C45">
        <w:rPr>
          <w:rFonts w:ascii="MF FrankRuhl" w:hAnsi="MF FrankRuhl"/>
          <w:rtl/>
        </w:rPr>
        <w:footnoteRef/>
      </w:r>
      <w:r w:rsidRPr="00B26C45">
        <w:rPr>
          <w:rFonts w:ascii="MF FrankRuhl" w:hAnsi="MF FrankRuhl"/>
          <w:rtl/>
        </w:rPr>
        <w:t>.</w:t>
      </w:r>
      <w:r w:rsidRPr="00B26C45">
        <w:rPr>
          <w:rFonts w:ascii="MF FrankRuhl" w:hAnsi="MF FrankRuhl"/>
          <w:rtl/>
        </w:rPr>
        <w:tab/>
      </w:r>
      <w:r w:rsidRPr="00661576">
        <w:rPr>
          <w:rFonts w:hint="cs"/>
          <w:rtl/>
        </w:rPr>
        <w:t>נבודראצר הותיר אחריו חורבן ושממה לא רק ביהודה אלא גם בפלשת (</w:t>
      </w:r>
      <w:r>
        <w:rPr>
          <w:rFonts w:hint="cs"/>
          <w:rtl/>
        </w:rPr>
        <w:t>למשל ב</w:t>
      </w:r>
      <w:r w:rsidRPr="00661576">
        <w:rPr>
          <w:rFonts w:hint="cs"/>
          <w:rtl/>
        </w:rPr>
        <w:t>תל מִקנֶה היא עקרון); נבונאיד, אחרון מלכי בבל</w:t>
      </w:r>
      <w:r>
        <w:rPr>
          <w:rFonts w:hint="cs"/>
          <w:rtl/>
        </w:rPr>
        <w:t>,</w:t>
      </w:r>
      <w:r w:rsidRPr="00661576">
        <w:rPr>
          <w:rFonts w:hint="cs"/>
          <w:rtl/>
        </w:rPr>
        <w:t xml:space="preserve"> עשה זאת בבצרה ובסלע אדום כנבואת</w:t>
      </w:r>
      <w:r>
        <w:rPr>
          <w:rFonts w:hint="cs"/>
          <w:rtl/>
        </w:rPr>
        <w:t>ו של</w:t>
      </w:r>
      <w:r w:rsidRPr="00661576">
        <w:rPr>
          <w:rFonts w:hint="cs"/>
          <w:rtl/>
        </w:rPr>
        <w:t xml:space="preserve"> עובדיה</w:t>
      </w:r>
      <w:r>
        <w:rPr>
          <w:rFonts w:hint="cs"/>
          <w:rtl/>
        </w:rPr>
        <w:t xml:space="preserve"> (א', א </w:t>
      </w:r>
      <w:r>
        <w:rPr>
          <w:rtl/>
        </w:rPr>
        <w:t>—</w:t>
      </w:r>
      <w:r>
        <w:rPr>
          <w:rFonts w:hint="cs"/>
          <w:rtl/>
        </w:rPr>
        <w:t xml:space="preserve"> "</w:t>
      </w:r>
      <w:r>
        <w:rPr>
          <w:rtl/>
        </w:rPr>
        <w:t>וְצִיר בַּגּוֹיִם שֻׁלָּח</w:t>
      </w:r>
      <w:r>
        <w:rPr>
          <w:rFonts w:hint="cs"/>
          <w:rtl/>
        </w:rPr>
        <w:t>")</w:t>
      </w:r>
      <w:r w:rsidRPr="00661576">
        <w:rPr>
          <w:rFonts w:hint="cs"/>
          <w:rtl/>
        </w:rPr>
        <w:t xml:space="preserve">; וראו מה שכתבתי על </w:t>
      </w:r>
      <w:r>
        <w:rPr>
          <w:rFonts w:hint="cs"/>
          <w:rtl/>
        </w:rPr>
        <w:t>כך</w:t>
      </w:r>
      <w:r w:rsidRPr="00661576">
        <w:rPr>
          <w:rFonts w:hint="cs"/>
          <w:rtl/>
        </w:rPr>
        <w:t xml:space="preserve"> ב</w:t>
      </w:r>
      <w:r>
        <w:rPr>
          <w:rFonts w:hint="cs"/>
          <w:rtl/>
        </w:rPr>
        <w:t xml:space="preserve">מאמר 'הפטרת וישלח </w:t>
      </w:r>
      <w:r>
        <w:rPr>
          <w:rtl/>
        </w:rPr>
        <w:t>—</w:t>
      </w:r>
      <w:r>
        <w:rPr>
          <w:rFonts w:hint="cs"/>
          <w:rtl/>
        </w:rPr>
        <w:t xml:space="preserve"> חזון עובדיה', ב</w:t>
      </w:r>
      <w:r w:rsidRPr="00661576">
        <w:rPr>
          <w:rFonts w:hint="cs"/>
          <w:rtl/>
        </w:rPr>
        <w:t xml:space="preserve">תוך: א' אלדר </w:t>
      </w:r>
      <w:r>
        <w:rPr>
          <w:rFonts w:hint="cs"/>
          <w:rtl/>
        </w:rPr>
        <w:t>(</w:t>
      </w:r>
      <w:r w:rsidRPr="00661576">
        <w:rPr>
          <w:rFonts w:hint="cs"/>
          <w:rtl/>
        </w:rPr>
        <w:t xml:space="preserve">עורך), </w:t>
      </w:r>
      <w:r w:rsidRPr="00496B38">
        <w:rPr>
          <w:rFonts w:hint="cs"/>
          <w:b/>
          <w:bCs/>
          <w:rtl/>
        </w:rPr>
        <w:t xml:space="preserve">מפטירין בנביא </w:t>
      </w:r>
      <w:r w:rsidRPr="00ED59A3">
        <w:rPr>
          <w:b/>
          <w:bCs/>
          <w:rtl/>
        </w:rPr>
        <w:t>—</w:t>
      </w:r>
      <w:r w:rsidRPr="00496B38">
        <w:rPr>
          <w:rFonts w:hint="cs"/>
          <w:b/>
          <w:bCs/>
          <w:rtl/>
        </w:rPr>
        <w:t xml:space="preserve"> עיונים בהפטרות ובדברי הנביאים</w:t>
      </w:r>
      <w:r w:rsidRPr="00661576">
        <w:rPr>
          <w:rFonts w:hint="cs"/>
          <w:rtl/>
        </w:rPr>
        <w:t xml:space="preserve">, ירושלים תש"ע, עמ' </w:t>
      </w:r>
      <w:r>
        <w:rPr>
          <w:rFonts w:hint="cs"/>
          <w:rtl/>
        </w:rPr>
        <w:t>378</w:t>
      </w:r>
      <w:r>
        <w:rPr>
          <w:rtl/>
        </w:rPr>
        <w:noBreakHyphen/>
      </w:r>
      <w:r>
        <w:rPr>
          <w:rFonts w:hint="cs"/>
          <w:rtl/>
        </w:rPr>
        <w:t>383</w:t>
      </w:r>
      <w:r w:rsidRPr="00661576">
        <w:rPr>
          <w:rFonts w:hint="cs"/>
          <w:rtl/>
        </w:rPr>
        <w:t xml:space="preserve">. </w:t>
      </w:r>
    </w:p>
  </w:footnote>
  <w:footnote w:id="10">
    <w:p w14:paraId="3CA185DF" w14:textId="77777777" w:rsidR="00E0044E" w:rsidRPr="00661576" w:rsidRDefault="00E0044E" w:rsidP="00E0044E">
      <w:pPr>
        <w:pStyle w:val="a3"/>
      </w:pPr>
      <w:r w:rsidRPr="00B26C45">
        <w:rPr>
          <w:rFonts w:ascii="MF FrankRuhl" w:hAnsi="MF FrankRuhl"/>
          <w:rtl/>
        </w:rPr>
        <w:footnoteRef/>
      </w:r>
      <w:r w:rsidRPr="00B26C45">
        <w:rPr>
          <w:rFonts w:ascii="MF FrankRuhl" w:hAnsi="MF FrankRuhl"/>
          <w:rtl/>
        </w:rPr>
        <w:t>.</w:t>
      </w:r>
      <w:r w:rsidRPr="00B26C45">
        <w:rPr>
          <w:rFonts w:ascii="MF FrankRuhl" w:hAnsi="MF FrankRuhl"/>
          <w:rtl/>
        </w:rPr>
        <w:tab/>
      </w:r>
      <w:r w:rsidRPr="00661576">
        <w:rPr>
          <w:rFonts w:hint="cs"/>
          <w:rtl/>
        </w:rPr>
        <w:t>'כתובת הגליל' של כורש אחרי כניסתו לבבל מוכיחה ששאף לחדש את המקדשים שחרבו ולשחרר את התושבים בכל מקום מן העריצות הבבלית</w:t>
      </w:r>
      <w:r>
        <w:rPr>
          <w:rFonts w:hint="cs"/>
          <w:rtl/>
        </w:rPr>
        <w:t>.</w:t>
      </w:r>
      <w:r w:rsidRPr="00661576">
        <w:rPr>
          <w:rFonts w:hint="cs"/>
          <w:rtl/>
        </w:rPr>
        <w:t xml:space="preserve"> </w:t>
      </w:r>
      <w:r>
        <w:rPr>
          <w:rFonts w:hint="cs"/>
          <w:rtl/>
        </w:rPr>
        <w:t xml:space="preserve">את </w:t>
      </w:r>
      <w:r w:rsidRPr="00661576">
        <w:rPr>
          <w:rFonts w:hint="cs"/>
          <w:rtl/>
        </w:rPr>
        <w:t>הצהרת כורש ופקודותיו למען ירושלים אשר ביהודה ולמען חידוש המקדש (עזרא א') יש לפרש לאור מדיניותו הכללית</w:t>
      </w:r>
      <w:r>
        <w:rPr>
          <w:rFonts w:hint="cs"/>
          <w:rtl/>
        </w:rPr>
        <w:t>.</w:t>
      </w:r>
      <w:r w:rsidRPr="00661576">
        <w:rPr>
          <w:rFonts w:hint="cs"/>
          <w:rtl/>
        </w:rPr>
        <w:t xml:space="preserve"> לנוסח 'כתובת הגליל' ראו:</w:t>
      </w:r>
      <w:r>
        <w:rPr>
          <w:rFonts w:hint="cs"/>
          <w:rtl/>
        </w:rPr>
        <w:t xml:space="preserve"> </w:t>
      </w:r>
      <w:r w:rsidRPr="00661576">
        <w:rPr>
          <w:rFonts w:hint="cs"/>
          <w:rtl/>
        </w:rPr>
        <w:t>דמסקי (לעיל</w:t>
      </w:r>
      <w:r>
        <w:rPr>
          <w:rFonts w:hint="cs"/>
          <w:rtl/>
        </w:rPr>
        <w:t>,</w:t>
      </w:r>
      <w:r w:rsidRPr="00661576">
        <w:rPr>
          <w:rFonts w:hint="cs"/>
          <w:rtl/>
        </w:rPr>
        <w:t xml:space="preserve">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Ref415391749 \h</w:instrText>
      </w:r>
      <w:r>
        <w:rPr>
          <w:rtl/>
        </w:rPr>
        <w:instrText xml:space="preserve"> </w:instrText>
      </w:r>
      <w:r>
        <w:rPr>
          <w:rtl/>
        </w:rPr>
      </w:r>
      <w:r>
        <w:rPr>
          <w:rtl/>
        </w:rPr>
        <w:fldChar w:fldCharType="separate"/>
      </w:r>
      <w:r>
        <w:rPr>
          <w:rtl/>
        </w:rPr>
        <w:t>7</w:t>
      </w:r>
      <w:r>
        <w:rPr>
          <w:rtl/>
        </w:rPr>
        <w:fldChar w:fldCharType="end"/>
      </w:r>
      <w:r w:rsidRPr="00661576">
        <w:rPr>
          <w:rFonts w:hint="cs"/>
          <w:rtl/>
        </w:rPr>
        <w:t>), עמ' 83;</w:t>
      </w:r>
      <w:r>
        <w:rPr>
          <w:rFonts w:hint="cs"/>
          <w:rtl/>
        </w:rPr>
        <w:t xml:space="preserve"> פריצ'רד (לעיל,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Ref415391749 \h</w:instrText>
      </w:r>
      <w:r>
        <w:rPr>
          <w:rtl/>
        </w:rPr>
        <w:instrText xml:space="preserve"> </w:instrText>
      </w:r>
      <w:r>
        <w:rPr>
          <w:rtl/>
        </w:rPr>
      </w:r>
      <w:r>
        <w:rPr>
          <w:rtl/>
        </w:rPr>
        <w:fldChar w:fldCharType="separate"/>
      </w:r>
      <w:r>
        <w:rPr>
          <w:rtl/>
        </w:rPr>
        <w:t>7</w:t>
      </w:r>
      <w:r>
        <w:rPr>
          <w:rtl/>
        </w:rPr>
        <w:fldChar w:fldCharType="end"/>
      </w:r>
      <w:r>
        <w:rPr>
          <w:rFonts w:hint="cs"/>
          <w:rtl/>
        </w:rPr>
        <w:t>), עמ' 315</w:t>
      </w:r>
      <w:r>
        <w:rPr>
          <w:rtl/>
        </w:rPr>
        <w:noBreakHyphen/>
      </w:r>
      <w:r>
        <w:rPr>
          <w:rFonts w:hint="cs"/>
          <w:rtl/>
        </w:rPr>
        <w:t>316.</w:t>
      </w:r>
      <w:r w:rsidRPr="00661576">
        <w:t xml:space="preserve"> </w:t>
      </w:r>
    </w:p>
  </w:footnote>
  <w:footnote w:id="11">
    <w:p w14:paraId="1B998FDC" w14:textId="77777777" w:rsidR="00E0044E" w:rsidRPr="00661576" w:rsidRDefault="00E0044E" w:rsidP="00E0044E">
      <w:pPr>
        <w:pStyle w:val="a3"/>
        <w:rPr>
          <w:rtl/>
        </w:rPr>
      </w:pPr>
      <w:r w:rsidRPr="00B26C45">
        <w:rPr>
          <w:rFonts w:ascii="MF FrankRuhl" w:hAnsi="MF FrankRuhl"/>
          <w:rtl/>
        </w:rPr>
        <w:footnoteRef/>
      </w:r>
      <w:r w:rsidRPr="00B26C45">
        <w:rPr>
          <w:rFonts w:ascii="MF FrankRuhl" w:hAnsi="MF FrankRuhl"/>
          <w:rtl/>
        </w:rPr>
        <w:t>.</w:t>
      </w:r>
      <w:r w:rsidRPr="00B26C45">
        <w:rPr>
          <w:rFonts w:ascii="MF FrankRuhl" w:hAnsi="MF FrankRuhl"/>
          <w:rtl/>
        </w:rPr>
        <w:tab/>
      </w:r>
      <w:r w:rsidRPr="00661576">
        <w:rPr>
          <w:rFonts w:hint="cs"/>
          <w:rtl/>
        </w:rPr>
        <w:t>הדבר ניכר מן העימות בין שבי הגולה בירושלים וביהודה ובין צרי יהודה ששלחו מכתבי שטנה אל המלך</w:t>
      </w:r>
      <w:r>
        <w:rPr>
          <w:rFonts w:hint="cs"/>
          <w:rtl/>
        </w:rPr>
        <w:t>.</w:t>
      </w:r>
      <w:r w:rsidRPr="00661576">
        <w:rPr>
          <w:rFonts w:hint="cs"/>
          <w:rtl/>
        </w:rPr>
        <w:t xml:space="preserve"> כל פעולה בירושלים דרשה את התערבותם של מלכי פרס ו</w:t>
      </w:r>
      <w:r>
        <w:rPr>
          <w:rFonts w:hint="cs"/>
          <w:rtl/>
        </w:rPr>
        <w:t>מדי, כורש, דריווש ואַרתַחשַׁסתא;</w:t>
      </w:r>
      <w:r w:rsidRPr="00661576">
        <w:rPr>
          <w:rFonts w:hint="cs"/>
          <w:rtl/>
        </w:rPr>
        <w:t xml:space="preserve"> ראו</w:t>
      </w:r>
      <w:r>
        <w:rPr>
          <w:rFonts w:hint="cs"/>
          <w:rtl/>
        </w:rPr>
        <w:t>:</w:t>
      </w:r>
      <w:r w:rsidRPr="00661576">
        <w:rPr>
          <w:rFonts w:hint="cs"/>
          <w:rtl/>
        </w:rPr>
        <w:t xml:space="preserve"> עזרא ד'</w:t>
      </w:r>
      <w:r>
        <w:rPr>
          <w:rtl/>
        </w:rPr>
        <w:noBreakHyphen/>
      </w:r>
      <w:r w:rsidRPr="00661576">
        <w:rPr>
          <w:rFonts w:hint="cs"/>
          <w:rtl/>
        </w:rPr>
        <w:t>ו'.</w:t>
      </w:r>
    </w:p>
  </w:footnote>
  <w:footnote w:id="12">
    <w:p w14:paraId="6D30A836" w14:textId="77777777" w:rsidR="00E0044E" w:rsidRPr="00661576" w:rsidRDefault="00E0044E" w:rsidP="00E0044E">
      <w:pPr>
        <w:pStyle w:val="a3"/>
      </w:pPr>
      <w:r w:rsidRPr="00B26C45">
        <w:rPr>
          <w:rFonts w:ascii="MF FrankRuhl" w:hAnsi="MF FrankRuhl"/>
          <w:rtl/>
        </w:rPr>
        <w:footnoteRef/>
      </w:r>
      <w:r w:rsidRPr="00B26C45">
        <w:rPr>
          <w:rFonts w:ascii="MF FrankRuhl" w:hAnsi="MF FrankRuhl"/>
          <w:rtl/>
        </w:rPr>
        <w:t>.</w:t>
      </w:r>
      <w:r w:rsidRPr="00B26C45">
        <w:rPr>
          <w:rFonts w:ascii="MF FrankRuhl" w:hAnsi="MF FrankRuhl"/>
          <w:rtl/>
        </w:rPr>
        <w:tab/>
      </w:r>
      <w:r w:rsidRPr="00661576">
        <w:rPr>
          <w:rFonts w:hint="cs"/>
          <w:rtl/>
        </w:rPr>
        <w:t>אלכסנדר מוקדון נתן ליהודי אלכסנדריה מעמד ששמר על הזכויות החוקיות שלהם, לא רק לשבת בשכונות</w:t>
      </w:r>
      <w:r>
        <w:rPr>
          <w:rFonts w:hint="cs"/>
          <w:rtl/>
        </w:rPr>
        <w:t>יהם</w:t>
      </w:r>
      <w:r w:rsidRPr="00661576">
        <w:rPr>
          <w:rFonts w:hint="cs"/>
          <w:rtl/>
        </w:rPr>
        <w:t xml:space="preserve"> כיתר אזרחי העיר, אלא גם לשמור על דתם, לא להתערב בשאר התושבים ולא להשתתף בהקרבת קרבנות לאלים של העיר</w:t>
      </w:r>
      <w:r>
        <w:rPr>
          <w:rFonts w:hint="cs"/>
          <w:rtl/>
        </w:rPr>
        <w:t>;</w:t>
      </w:r>
      <w:r w:rsidRPr="00661576">
        <w:rPr>
          <w:rFonts w:hint="cs"/>
          <w:rtl/>
        </w:rPr>
        <w:t xml:space="preserve"> ראו</w:t>
      </w:r>
      <w:r>
        <w:rPr>
          <w:rFonts w:hint="cs"/>
          <w:rtl/>
        </w:rPr>
        <w:t>:</w:t>
      </w:r>
      <w:r w:rsidRPr="00661576">
        <w:rPr>
          <w:rFonts w:hint="cs"/>
          <w:rtl/>
        </w:rPr>
        <w:t xml:space="preserve"> יוסף בן מתתיהו, </w:t>
      </w:r>
      <w:r w:rsidRPr="006763EF">
        <w:rPr>
          <w:rFonts w:hint="cs"/>
          <w:b/>
          <w:bCs/>
          <w:rtl/>
        </w:rPr>
        <w:t>תולדות מלחמת היהודים עם הרומאים</w:t>
      </w:r>
      <w:r w:rsidRPr="00661576">
        <w:rPr>
          <w:rFonts w:hint="cs"/>
          <w:rtl/>
        </w:rPr>
        <w:t xml:space="preserve"> ספר </w:t>
      </w:r>
      <w:r>
        <w:rPr>
          <w:rFonts w:hint="cs"/>
          <w:rtl/>
        </w:rPr>
        <w:t>שני</w:t>
      </w:r>
      <w:r w:rsidRPr="00661576">
        <w:rPr>
          <w:rFonts w:hint="cs"/>
          <w:rtl/>
        </w:rPr>
        <w:t xml:space="preserve"> יח ז</w:t>
      </w:r>
      <w:r>
        <w:rPr>
          <w:rFonts w:hint="cs"/>
          <w:rtl/>
        </w:rPr>
        <w:t>, מהד' שמחוני עמ' 176</w:t>
      </w:r>
      <w:r w:rsidRPr="00661576">
        <w:rPr>
          <w:rFonts w:hint="cs"/>
          <w:rtl/>
        </w:rPr>
        <w:t xml:space="preserve">; וראו גם בספרו </w:t>
      </w:r>
      <w:r w:rsidRPr="002E28C3">
        <w:rPr>
          <w:rFonts w:hint="cs"/>
          <w:b/>
          <w:bCs/>
          <w:rtl/>
        </w:rPr>
        <w:t>נגד אפיון</w:t>
      </w:r>
      <w:r w:rsidRPr="00661576">
        <w:rPr>
          <w:rFonts w:hint="cs"/>
          <w:rtl/>
        </w:rPr>
        <w:t xml:space="preserve">, </w:t>
      </w:r>
      <w:r>
        <w:rPr>
          <w:rFonts w:hint="cs"/>
          <w:rtl/>
        </w:rPr>
        <w:t>ספר שני פרק</w:t>
      </w:r>
      <w:r w:rsidRPr="00661576">
        <w:rPr>
          <w:rFonts w:hint="cs"/>
          <w:rtl/>
        </w:rPr>
        <w:t xml:space="preserve"> ו</w:t>
      </w:r>
      <w:r>
        <w:rPr>
          <w:rFonts w:hint="cs"/>
          <w:rtl/>
        </w:rPr>
        <w:t>, מהד' א' כשר, ירושלים תשנ"ז, עמ' נ</w:t>
      </w:r>
      <w:r>
        <w:rPr>
          <w:rtl/>
        </w:rPr>
        <w:noBreakHyphen/>
      </w:r>
      <w:r>
        <w:rPr>
          <w:rFonts w:hint="cs"/>
          <w:rtl/>
        </w:rPr>
        <w:t>נא. לא ייפלא אפוא</w:t>
      </w:r>
      <w:r w:rsidRPr="00661576">
        <w:rPr>
          <w:rFonts w:hint="cs"/>
          <w:rtl/>
        </w:rPr>
        <w:t xml:space="preserve"> שהאנטישמיות העתיקה הופיעה במיוחד באלכסנדריה</w:t>
      </w:r>
      <w:r>
        <w:rPr>
          <w:rFonts w:hint="cs"/>
          <w:rtl/>
        </w:rPr>
        <w:t>;</w:t>
      </w:r>
      <w:r w:rsidRPr="00661576">
        <w:rPr>
          <w:rFonts w:hint="cs"/>
          <w:rtl/>
        </w:rPr>
        <w:t xml:space="preserve"> ראו</w:t>
      </w:r>
      <w:r>
        <w:rPr>
          <w:rFonts w:hint="cs"/>
          <w:rtl/>
        </w:rPr>
        <w:t>:</w:t>
      </w:r>
      <w:r w:rsidRPr="00661576">
        <w:rPr>
          <w:rFonts w:hint="cs"/>
          <w:rtl/>
        </w:rPr>
        <w:t xml:space="preserve"> ד' פלוסר, '</w:t>
      </w:r>
      <w:r w:rsidRPr="00D8557D">
        <w:rPr>
          <w:rFonts w:hint="cs"/>
          <w:spacing w:val="40"/>
          <w:rtl/>
        </w:rPr>
        <w:t>"</w:t>
      </w:r>
      <w:r w:rsidRPr="00661576">
        <w:rPr>
          <w:rFonts w:hint="cs"/>
          <w:rtl/>
        </w:rPr>
        <w:t>עלילת הדם</w:t>
      </w:r>
      <w:r>
        <w:rPr>
          <w:rFonts w:hint="cs"/>
          <w:rtl/>
        </w:rPr>
        <w:t>"</w:t>
      </w:r>
      <w:r w:rsidRPr="00661576">
        <w:rPr>
          <w:rFonts w:hint="cs"/>
          <w:rtl/>
        </w:rPr>
        <w:t xml:space="preserve"> נגד היהודים לאור ההשקפות של התקופה ההלניסטית</w:t>
      </w:r>
      <w:r>
        <w:rPr>
          <w:rFonts w:hint="cs"/>
          <w:rtl/>
        </w:rPr>
        <w:t>'</w:t>
      </w:r>
      <w:r w:rsidRPr="00661576">
        <w:rPr>
          <w:rFonts w:hint="cs"/>
          <w:rtl/>
        </w:rPr>
        <w:t xml:space="preserve">, </w:t>
      </w:r>
      <w:r>
        <w:rPr>
          <w:rFonts w:hint="cs"/>
          <w:rtl/>
        </w:rPr>
        <w:t xml:space="preserve">בתוך: מ' שטרן (עורך), </w:t>
      </w:r>
      <w:r w:rsidRPr="00822027">
        <w:rPr>
          <w:b/>
          <w:bCs/>
          <w:rtl/>
        </w:rPr>
        <w:t>יהודים ויהדות בעיני העולם ההלניסטי</w:t>
      </w:r>
      <w:r>
        <w:rPr>
          <w:rFonts w:hint="cs"/>
          <w:rtl/>
        </w:rPr>
        <w:t>, ירושלים תשל"ד, עמ' 187</w:t>
      </w:r>
      <w:r>
        <w:rPr>
          <w:rtl/>
        </w:rPr>
        <w:noBreakHyphen/>
      </w:r>
      <w:r>
        <w:rPr>
          <w:rFonts w:hint="cs"/>
          <w:rtl/>
        </w:rPr>
        <w:t>207</w:t>
      </w:r>
      <w:r w:rsidRPr="00661576">
        <w:rPr>
          <w:rFonts w:hint="cs"/>
          <w:rtl/>
        </w:rPr>
        <w:t>; וראו</w:t>
      </w:r>
      <w:r>
        <w:rPr>
          <w:rFonts w:hint="cs"/>
          <w:rtl/>
        </w:rPr>
        <w:t>:</w:t>
      </w:r>
      <w:r w:rsidRPr="00661576">
        <w:rPr>
          <w:rFonts w:hint="cs"/>
          <w:rtl/>
        </w:rPr>
        <w:t xml:space="preserve"> א' צ'ריקובר, </w:t>
      </w:r>
      <w:r w:rsidRPr="00822027">
        <w:rPr>
          <w:rFonts w:hint="cs"/>
          <w:b/>
          <w:bCs/>
          <w:rtl/>
        </w:rPr>
        <w:t>היהודים במצרים בתקופה ההלניסטית</w:t>
      </w:r>
      <w:r w:rsidRPr="00C41946">
        <w:rPr>
          <w:bCs/>
          <w:position w:val="10"/>
          <w:rtl/>
        </w:rPr>
        <w:noBreakHyphen/>
      </w:r>
      <w:r w:rsidRPr="00822027">
        <w:rPr>
          <w:rFonts w:hint="cs"/>
          <w:b/>
          <w:bCs/>
          <w:rtl/>
        </w:rPr>
        <w:t>הרומית לאור הפאפירולוגיה</w:t>
      </w:r>
      <w:r w:rsidRPr="00661576">
        <w:rPr>
          <w:rFonts w:hint="cs"/>
          <w:rtl/>
        </w:rPr>
        <w:t xml:space="preserve">, ירושלים תשכ"ג, עמ' </w:t>
      </w:r>
      <w:r>
        <w:rPr>
          <w:rFonts w:hint="cs"/>
          <w:rtl/>
        </w:rPr>
        <w:t>14</w:t>
      </w:r>
      <w:r>
        <w:rPr>
          <w:rtl/>
        </w:rPr>
        <w:noBreakHyphen/>
      </w:r>
      <w:r>
        <w:rPr>
          <w:rFonts w:hint="cs"/>
          <w:rtl/>
        </w:rPr>
        <w:t>22</w:t>
      </w:r>
      <w:r w:rsidRPr="00661576">
        <w:rPr>
          <w:rFonts w:hint="cs"/>
          <w:rtl/>
        </w:rPr>
        <w:t xml:space="preserve">, </w:t>
      </w:r>
      <w:r>
        <w:rPr>
          <w:rFonts w:hint="cs"/>
          <w:rtl/>
        </w:rPr>
        <w:t>127</w:t>
      </w:r>
      <w:r>
        <w:rPr>
          <w:rtl/>
        </w:rPr>
        <w:noBreakHyphen/>
      </w:r>
      <w:r>
        <w:rPr>
          <w:rFonts w:hint="cs"/>
          <w:rtl/>
        </w:rPr>
        <w:t>130</w:t>
      </w:r>
      <w:r w:rsidRPr="00661576">
        <w:rPr>
          <w:rFonts w:hint="cs"/>
          <w:rtl/>
        </w:rPr>
        <w:t>.</w:t>
      </w:r>
    </w:p>
  </w:footnote>
  <w:footnote w:id="13">
    <w:p w14:paraId="7EB20FC8" w14:textId="77777777" w:rsidR="00E0044E" w:rsidRPr="00661576" w:rsidRDefault="00E0044E" w:rsidP="00E0044E">
      <w:pPr>
        <w:pStyle w:val="a3"/>
      </w:pPr>
      <w:r w:rsidRPr="00B26C45">
        <w:rPr>
          <w:rFonts w:ascii="MF FrankRuhl" w:hAnsi="MF FrankRuhl"/>
          <w:rtl/>
        </w:rPr>
        <w:footnoteRef/>
      </w:r>
      <w:r w:rsidRPr="00B26C45">
        <w:rPr>
          <w:rFonts w:ascii="MF FrankRuhl" w:hAnsi="MF FrankRuhl"/>
          <w:rtl/>
        </w:rPr>
        <w:t>.</w:t>
      </w:r>
      <w:r w:rsidRPr="00B26C45">
        <w:rPr>
          <w:rFonts w:ascii="MF FrankRuhl" w:hAnsi="MF FrankRuhl"/>
          <w:rtl/>
        </w:rPr>
        <w:tab/>
      </w:r>
      <w:r>
        <w:rPr>
          <w:rFonts w:hint="cs"/>
          <w:rtl/>
        </w:rPr>
        <w:t xml:space="preserve">על פי סך כול המספרים הבודדים של העולים </w:t>
      </w:r>
      <w:r w:rsidRPr="00661576">
        <w:rPr>
          <w:rFonts w:hint="cs"/>
          <w:rtl/>
        </w:rPr>
        <w:t>(עזרא ב')</w:t>
      </w:r>
      <w:r>
        <w:rPr>
          <w:rFonts w:hint="cs"/>
          <w:rtl/>
        </w:rPr>
        <w:t xml:space="preserve">, </w:t>
      </w:r>
      <w:r w:rsidRPr="00661576">
        <w:rPr>
          <w:rFonts w:hint="cs"/>
          <w:rtl/>
        </w:rPr>
        <w:t xml:space="preserve">עליית זרובבל </w:t>
      </w:r>
      <w:r>
        <w:rPr>
          <w:rFonts w:hint="cs"/>
          <w:rtl/>
        </w:rPr>
        <w:t>כללה כ</w:t>
      </w:r>
      <w:r w:rsidRPr="006F6B46">
        <w:rPr>
          <w:b/>
          <w:position w:val="10"/>
          <w:rtl/>
        </w:rPr>
        <w:noBreakHyphen/>
      </w:r>
      <w:r>
        <w:rPr>
          <w:rFonts w:hint="cs"/>
          <w:rtl/>
        </w:rPr>
        <w:t>30000 איש, ואילו על פי ה</w:t>
      </w:r>
      <w:r w:rsidRPr="00661576">
        <w:rPr>
          <w:rFonts w:hint="cs"/>
          <w:rtl/>
        </w:rPr>
        <w:t>סיכום הכולל</w:t>
      </w:r>
      <w:r>
        <w:rPr>
          <w:rFonts w:hint="cs"/>
          <w:rtl/>
        </w:rPr>
        <w:t xml:space="preserve"> עלו בעלייה זו </w:t>
      </w:r>
      <w:r w:rsidRPr="00661576">
        <w:rPr>
          <w:rFonts w:hint="cs"/>
          <w:rtl/>
        </w:rPr>
        <w:t xml:space="preserve">42360 </w:t>
      </w:r>
      <w:r>
        <w:rPr>
          <w:rFonts w:hint="cs"/>
          <w:rtl/>
        </w:rPr>
        <w:t xml:space="preserve">איש </w:t>
      </w:r>
      <w:r w:rsidRPr="00661576">
        <w:rPr>
          <w:rFonts w:hint="cs"/>
          <w:rtl/>
        </w:rPr>
        <w:t>("</w:t>
      </w:r>
      <w:r>
        <w:rPr>
          <w:rtl/>
        </w:rPr>
        <w:t>כָּל הַקָּהָל כְּאֶחָד</w:t>
      </w:r>
      <w:r w:rsidRPr="00661576">
        <w:rPr>
          <w:rFonts w:hint="cs"/>
          <w:rtl/>
        </w:rPr>
        <w:t>"</w:t>
      </w:r>
      <w:r>
        <w:rPr>
          <w:rFonts w:hint="cs"/>
          <w:rtl/>
        </w:rPr>
        <w:t xml:space="preserve"> </w:t>
      </w:r>
      <w:r>
        <w:rPr>
          <w:rtl/>
        </w:rPr>
        <w:t>—</w:t>
      </w:r>
      <w:r>
        <w:rPr>
          <w:rFonts w:hint="cs"/>
          <w:rtl/>
        </w:rPr>
        <w:t xml:space="preserve"> שם, סד</w:t>
      </w:r>
      <w:r w:rsidRPr="00661576">
        <w:rPr>
          <w:rFonts w:hint="cs"/>
          <w:rtl/>
        </w:rPr>
        <w:t>)</w:t>
      </w:r>
      <w:r>
        <w:rPr>
          <w:rFonts w:hint="cs"/>
          <w:rtl/>
        </w:rPr>
        <w:t>.</w:t>
      </w:r>
      <w:r w:rsidRPr="00661576">
        <w:rPr>
          <w:rFonts w:hint="cs"/>
          <w:rtl/>
        </w:rPr>
        <w:t xml:space="preserve"> </w:t>
      </w:r>
      <w:r>
        <w:rPr>
          <w:rFonts w:hint="cs"/>
          <w:rtl/>
        </w:rPr>
        <w:t>זוהי</w:t>
      </w:r>
      <w:r w:rsidRPr="00661576">
        <w:rPr>
          <w:rFonts w:hint="cs"/>
          <w:rtl/>
        </w:rPr>
        <w:t xml:space="preserve"> העלייה הגדולה ביותר הידועה לנו בימי </w:t>
      </w:r>
      <w:r>
        <w:rPr>
          <w:rFonts w:hint="cs"/>
          <w:rtl/>
        </w:rPr>
        <w:t>ה</w:t>
      </w:r>
      <w:r w:rsidRPr="00661576">
        <w:rPr>
          <w:rFonts w:hint="cs"/>
          <w:rtl/>
        </w:rPr>
        <w:t xml:space="preserve">בית </w:t>
      </w:r>
      <w:r>
        <w:rPr>
          <w:rFonts w:hint="cs"/>
          <w:rtl/>
        </w:rPr>
        <w:t>ה</w:t>
      </w:r>
      <w:r w:rsidRPr="00661576">
        <w:rPr>
          <w:rFonts w:hint="cs"/>
          <w:rtl/>
        </w:rPr>
        <w:t>שני</w:t>
      </w:r>
      <w:r>
        <w:rPr>
          <w:rFonts w:hint="cs"/>
          <w:rtl/>
        </w:rPr>
        <w:t>.</w:t>
      </w:r>
      <w:r w:rsidRPr="00661576">
        <w:rPr>
          <w:rFonts w:hint="cs"/>
          <w:rtl/>
        </w:rPr>
        <w:t xml:space="preserve"> בעליית עזרא (</w:t>
      </w:r>
      <w:r>
        <w:rPr>
          <w:rFonts w:hint="cs"/>
          <w:rtl/>
        </w:rPr>
        <w:t>שם</w:t>
      </w:r>
      <w:r w:rsidRPr="00661576">
        <w:rPr>
          <w:rFonts w:hint="cs"/>
          <w:rtl/>
        </w:rPr>
        <w:t xml:space="preserve"> ח') סך מספרי</w:t>
      </w:r>
      <w:r>
        <w:rPr>
          <w:rFonts w:hint="cs"/>
          <w:rtl/>
        </w:rPr>
        <w:t xml:space="preserve"> העולי</w:t>
      </w:r>
      <w:r w:rsidRPr="00661576">
        <w:rPr>
          <w:rFonts w:hint="cs"/>
          <w:rtl/>
        </w:rPr>
        <w:t>ם הנזכרים הוא 1534 גברים בלבד</w:t>
      </w:r>
      <w:r>
        <w:rPr>
          <w:rFonts w:hint="cs"/>
          <w:rtl/>
        </w:rPr>
        <w:t>.</w:t>
      </w:r>
      <w:r w:rsidRPr="00661576">
        <w:rPr>
          <w:rFonts w:hint="cs"/>
          <w:rtl/>
        </w:rPr>
        <w:t xml:space="preserve"> ככל הנראה, לעליית זרובבל הגיעו כל יושבי המחנות שלא הספיקו להתערות בגולה, </w:t>
      </w:r>
      <w:r>
        <w:rPr>
          <w:rFonts w:hint="cs"/>
          <w:rtl/>
        </w:rPr>
        <w:t>ואילו</w:t>
      </w:r>
      <w:r w:rsidRPr="00661576">
        <w:rPr>
          <w:rFonts w:hint="cs"/>
          <w:rtl/>
        </w:rPr>
        <w:t xml:space="preserve"> אלה שכבר התיישבו בבבל ובסביבותיה לא מיהרו לשוב ליהודה ולמחוזות אחרים בארץ.</w:t>
      </w:r>
    </w:p>
  </w:footnote>
  <w:footnote w:id="14">
    <w:p w14:paraId="101468B7" w14:textId="77777777" w:rsidR="00E0044E" w:rsidRPr="00661576" w:rsidRDefault="00E0044E" w:rsidP="00E0044E">
      <w:pPr>
        <w:pStyle w:val="a3"/>
      </w:pPr>
      <w:r w:rsidRPr="00B26C45">
        <w:rPr>
          <w:rFonts w:ascii="MF FrankRuhl" w:hAnsi="MF FrankRuhl"/>
          <w:rtl/>
        </w:rPr>
        <w:footnoteRef/>
      </w:r>
      <w:r w:rsidRPr="00B26C45">
        <w:rPr>
          <w:rFonts w:ascii="MF FrankRuhl" w:hAnsi="MF FrankRuhl"/>
          <w:rtl/>
        </w:rPr>
        <w:t>.</w:t>
      </w:r>
      <w:r w:rsidRPr="00B26C45">
        <w:rPr>
          <w:rFonts w:ascii="MF FrankRuhl" w:hAnsi="MF FrankRuhl"/>
          <w:rtl/>
        </w:rPr>
        <w:tab/>
      </w:r>
      <w:r w:rsidRPr="00661576">
        <w:rPr>
          <w:rFonts w:hint="cs"/>
          <w:rtl/>
        </w:rPr>
        <w:t xml:space="preserve">מרדכי ואסתר לא היו תלויים בהנהגה הירושלמית, וגם </w:t>
      </w:r>
      <w:r>
        <w:rPr>
          <w:rFonts w:hint="cs"/>
          <w:rtl/>
        </w:rPr>
        <w:t>ל</w:t>
      </w:r>
      <w:r w:rsidRPr="00661576">
        <w:rPr>
          <w:rFonts w:hint="cs"/>
          <w:rtl/>
        </w:rPr>
        <w:t>עזרא (ראו עזרא ז') ו</w:t>
      </w:r>
      <w:r>
        <w:rPr>
          <w:rFonts w:hint="cs"/>
          <w:rtl/>
        </w:rPr>
        <w:t>ל</w:t>
      </w:r>
      <w:r w:rsidRPr="00661576">
        <w:rPr>
          <w:rFonts w:hint="cs"/>
          <w:rtl/>
        </w:rPr>
        <w:t>נחמיה (ראו נחמיה ב'</w:t>
      </w:r>
      <w:r>
        <w:rPr>
          <w:rFonts w:hint="cs"/>
          <w:rtl/>
        </w:rPr>
        <w:t>;</w:t>
      </w:r>
      <w:r w:rsidRPr="00661576">
        <w:rPr>
          <w:rFonts w:hint="cs"/>
          <w:rtl/>
        </w:rPr>
        <w:t xml:space="preserve"> י"ג, ו) היה מעמד עצמאי ואישי לפני המלך ארתחש</w:t>
      </w:r>
      <w:r>
        <w:rPr>
          <w:rFonts w:hint="cs"/>
          <w:rtl/>
        </w:rPr>
        <w:t>ס</w:t>
      </w:r>
      <w:r w:rsidRPr="00661576">
        <w:rPr>
          <w:rFonts w:hint="cs"/>
          <w:rtl/>
        </w:rPr>
        <w:t xml:space="preserve">תא עוד </w:t>
      </w:r>
      <w:r>
        <w:rPr>
          <w:rFonts w:hint="cs"/>
          <w:rtl/>
        </w:rPr>
        <w:t>לפני עלייתם.</w:t>
      </w:r>
    </w:p>
  </w:footnote>
  <w:footnote w:id="15">
    <w:p w14:paraId="7A01EE19" w14:textId="77777777" w:rsidR="00E0044E" w:rsidRPr="00661576" w:rsidRDefault="00E0044E" w:rsidP="00E0044E">
      <w:pPr>
        <w:pStyle w:val="a3"/>
        <w:rPr>
          <w:rtl/>
        </w:rPr>
      </w:pPr>
      <w:r w:rsidRPr="00B26C45">
        <w:rPr>
          <w:rFonts w:ascii="MF FrankRuhl" w:hAnsi="MF FrankRuhl"/>
          <w:rtl/>
        </w:rPr>
        <w:footnoteRef/>
      </w:r>
      <w:r w:rsidRPr="00B26C45">
        <w:rPr>
          <w:rFonts w:ascii="MF FrankRuhl" w:hAnsi="MF FrankRuhl"/>
          <w:rtl/>
        </w:rPr>
        <w:t>.</w:t>
      </w:r>
      <w:r w:rsidRPr="00B26C45">
        <w:rPr>
          <w:rFonts w:ascii="MF FrankRuhl" w:hAnsi="MF FrankRuhl"/>
          <w:rtl/>
        </w:rPr>
        <w:tab/>
      </w:r>
      <w:r w:rsidRPr="00661576">
        <w:rPr>
          <w:rFonts w:hint="cs"/>
          <w:rtl/>
        </w:rPr>
        <w:t xml:space="preserve">יהודי יֵב ישבו במושבה צבאית על אי בתוך הנילוס בדרום מצרים, סמוך למפלי הנילוס שהם הגבול הטבעי בין מצרים </w:t>
      </w:r>
      <w:r>
        <w:rPr>
          <w:rFonts w:hint="cs"/>
          <w:rtl/>
        </w:rPr>
        <w:t>ו</w:t>
      </w:r>
      <w:r w:rsidRPr="00661576">
        <w:rPr>
          <w:rFonts w:hint="cs"/>
          <w:rtl/>
        </w:rPr>
        <w:t>בין כוש (=</w:t>
      </w:r>
      <w:r>
        <w:rPr>
          <w:rFonts w:hint="cs"/>
          <w:rtl/>
        </w:rPr>
        <w:t xml:space="preserve"> </w:t>
      </w:r>
      <w:r w:rsidRPr="00661576">
        <w:rPr>
          <w:rFonts w:hint="cs"/>
          <w:rtl/>
        </w:rPr>
        <w:t>סודן ואתיופיה)</w:t>
      </w:r>
      <w:r>
        <w:rPr>
          <w:rFonts w:hint="cs"/>
          <w:rtl/>
        </w:rPr>
        <w:t>.</w:t>
      </w:r>
      <w:r w:rsidRPr="00661576">
        <w:rPr>
          <w:rFonts w:hint="cs"/>
          <w:rtl/>
        </w:rPr>
        <w:t xml:space="preserve"> היהודים התיישבו שם אולי עוד בתקופה האשורית, עם חורבן שומרון ומסע סנחריב, ובוודאי ישבו שם בזמן חורבן ירושלים על ידי הבבלים. השלטונות המתחלפים נעזרו ביהודים כגורם תומך שלטון בגבול רחוק ומסוכן.</w:t>
      </w:r>
    </w:p>
  </w:footnote>
  <w:footnote w:id="16">
    <w:p w14:paraId="37182912" w14:textId="77777777" w:rsidR="00E0044E" w:rsidRPr="00661576" w:rsidRDefault="00E0044E" w:rsidP="00E0044E">
      <w:pPr>
        <w:pStyle w:val="a3"/>
        <w:rPr>
          <w:rtl/>
        </w:rPr>
      </w:pPr>
      <w:r w:rsidRPr="00B26C45">
        <w:rPr>
          <w:rFonts w:ascii="MF FrankRuhl" w:hAnsi="MF FrankRuhl"/>
          <w:rtl/>
        </w:rPr>
        <w:footnoteRef/>
      </w:r>
      <w:r w:rsidRPr="00B26C45">
        <w:rPr>
          <w:rFonts w:ascii="MF FrankRuhl" w:hAnsi="MF FrankRuhl"/>
          <w:rtl/>
        </w:rPr>
        <w:t>.</w:t>
      </w:r>
      <w:r w:rsidRPr="00B26C45">
        <w:rPr>
          <w:rFonts w:ascii="MF FrankRuhl" w:hAnsi="MF FrankRuhl"/>
          <w:rtl/>
        </w:rPr>
        <w:tab/>
      </w:r>
      <w:r w:rsidRPr="00661576">
        <w:rPr>
          <w:rFonts w:hint="cs"/>
          <w:rtl/>
        </w:rPr>
        <w:t xml:space="preserve">על המכתבים מיֵב לירושלים ולשומרון ועל המכתב מירושלים ליֵב </w:t>
      </w:r>
      <w:r>
        <w:rPr>
          <w:rFonts w:hint="cs"/>
          <w:rtl/>
        </w:rPr>
        <w:t>בעניין</w:t>
      </w:r>
      <w:r w:rsidRPr="00661576">
        <w:rPr>
          <w:rFonts w:hint="cs"/>
          <w:rtl/>
        </w:rPr>
        <w:t xml:space="preserve"> חג הפסח</w:t>
      </w:r>
      <w:r>
        <w:rPr>
          <w:rFonts w:hint="cs"/>
          <w:rtl/>
        </w:rPr>
        <w:t xml:space="preserve"> </w:t>
      </w:r>
      <w:r w:rsidRPr="00661576">
        <w:rPr>
          <w:rFonts w:hint="cs"/>
          <w:rtl/>
        </w:rPr>
        <w:t>ראו</w:t>
      </w:r>
      <w:r>
        <w:rPr>
          <w:rFonts w:hint="cs"/>
          <w:rtl/>
        </w:rPr>
        <w:t>:</w:t>
      </w:r>
      <w:r w:rsidRPr="00661576">
        <w:rPr>
          <w:rFonts w:hint="cs"/>
          <w:rtl/>
        </w:rPr>
        <w:t xml:space="preserve"> ב' פורטן, </w:t>
      </w:r>
      <w:r w:rsidRPr="005603AC">
        <w:rPr>
          <w:rFonts w:hint="cs"/>
          <w:b/>
          <w:bCs/>
          <w:rtl/>
        </w:rPr>
        <w:t>יהודים מיֵב וארמים מסון</w:t>
      </w:r>
      <w:r w:rsidRPr="00661576">
        <w:rPr>
          <w:rFonts w:hint="cs"/>
          <w:rtl/>
        </w:rPr>
        <w:t xml:space="preserve">, ירושלים תשל"ו, עמ' </w:t>
      </w:r>
      <w:r>
        <w:rPr>
          <w:rFonts w:hint="cs"/>
          <w:rtl/>
        </w:rPr>
        <w:t>90</w:t>
      </w:r>
      <w:r>
        <w:rPr>
          <w:rtl/>
        </w:rPr>
        <w:noBreakHyphen/>
      </w:r>
      <w:r>
        <w:rPr>
          <w:rFonts w:hint="cs"/>
          <w:rtl/>
        </w:rPr>
        <w:t>100</w:t>
      </w:r>
      <w:r w:rsidRPr="00661576">
        <w:rPr>
          <w:rFonts w:hint="cs"/>
          <w:rtl/>
        </w:rPr>
        <w:t>; וכן אצל דמסקי (לעיל</w:t>
      </w:r>
      <w:r>
        <w:rPr>
          <w:rFonts w:hint="cs"/>
          <w:rtl/>
        </w:rPr>
        <w:t>,</w:t>
      </w:r>
      <w:r w:rsidRPr="00661576">
        <w:rPr>
          <w:rFonts w:hint="cs"/>
          <w:rtl/>
        </w:rPr>
        <w:t xml:space="preserve">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Ref415391749 \h</w:instrText>
      </w:r>
      <w:r>
        <w:rPr>
          <w:rtl/>
        </w:rPr>
        <w:instrText xml:space="preserve"> </w:instrText>
      </w:r>
      <w:r>
        <w:rPr>
          <w:rtl/>
        </w:rPr>
      </w:r>
      <w:r>
        <w:rPr>
          <w:rtl/>
        </w:rPr>
        <w:fldChar w:fldCharType="separate"/>
      </w:r>
      <w:r>
        <w:rPr>
          <w:rtl/>
        </w:rPr>
        <w:t>7</w:t>
      </w:r>
      <w:r>
        <w:rPr>
          <w:rtl/>
        </w:rPr>
        <w:fldChar w:fldCharType="end"/>
      </w:r>
      <w:r w:rsidRPr="00661576">
        <w:rPr>
          <w:rFonts w:hint="cs"/>
          <w:rtl/>
        </w:rPr>
        <w:t>), עמ' 8</w:t>
      </w:r>
      <w:r>
        <w:rPr>
          <w:rFonts w:hint="cs"/>
          <w:rtl/>
        </w:rPr>
        <w:t>5</w:t>
      </w:r>
      <w:r>
        <w:rPr>
          <w:rtl/>
        </w:rPr>
        <w:noBreakHyphen/>
      </w:r>
      <w:r w:rsidRPr="00661576">
        <w:rPr>
          <w:rFonts w:hint="cs"/>
          <w:rtl/>
        </w:rPr>
        <w:t>8</w:t>
      </w:r>
      <w:r>
        <w:rPr>
          <w:rFonts w:hint="cs"/>
          <w:rtl/>
        </w:rPr>
        <w:t>8</w:t>
      </w:r>
      <w:r w:rsidRPr="00661576">
        <w:rPr>
          <w:rFonts w:hint="cs"/>
          <w:rtl/>
        </w:rPr>
        <w:t>.</w:t>
      </w:r>
    </w:p>
  </w:footnote>
  <w:footnote w:id="17">
    <w:p w14:paraId="34EC7846" w14:textId="77777777" w:rsidR="00E0044E" w:rsidRPr="00661576" w:rsidRDefault="00E0044E" w:rsidP="00E0044E">
      <w:pPr>
        <w:pStyle w:val="a3"/>
        <w:rPr>
          <w:rtl/>
        </w:rPr>
      </w:pPr>
      <w:r w:rsidRPr="00B26C45">
        <w:rPr>
          <w:rFonts w:ascii="MF FrankRuhl" w:hAnsi="MF FrankRuhl"/>
          <w:rtl/>
        </w:rPr>
        <w:footnoteRef/>
      </w:r>
      <w:r w:rsidRPr="00B26C45">
        <w:rPr>
          <w:rFonts w:ascii="MF FrankRuhl" w:hAnsi="MF FrankRuhl"/>
          <w:rtl/>
        </w:rPr>
        <w:t>.</w:t>
      </w:r>
      <w:r w:rsidRPr="00B26C45">
        <w:rPr>
          <w:rFonts w:ascii="MF FrankRuhl" w:hAnsi="MF FrankRuhl"/>
          <w:rtl/>
        </w:rPr>
        <w:tab/>
      </w:r>
      <w:r w:rsidRPr="00661576">
        <w:rPr>
          <w:rFonts w:hint="cs"/>
          <w:rtl/>
        </w:rPr>
        <w:t>מַר</w:t>
      </w:r>
      <w:r>
        <w:rPr>
          <w:rFonts w:hint="cs"/>
          <w:rtl/>
        </w:rPr>
        <w:t>דוּךּ ואישתַר</w:t>
      </w:r>
      <w:r w:rsidRPr="00661576">
        <w:rPr>
          <w:rFonts w:hint="cs"/>
          <w:rtl/>
        </w:rPr>
        <w:t xml:space="preserve"> היו שמות של אלים </w:t>
      </w:r>
      <w:r>
        <w:rPr>
          <w:rFonts w:hint="cs"/>
          <w:rtl/>
        </w:rPr>
        <w:t>מרכזיים במסופוטמיה (כמו בעל ואשֵׁ</w:t>
      </w:r>
      <w:r w:rsidRPr="00661576">
        <w:rPr>
          <w:rFonts w:hint="cs"/>
          <w:rtl/>
        </w:rPr>
        <w:t xml:space="preserve">רה בכנען, </w:t>
      </w:r>
      <w:r>
        <w:rPr>
          <w:rFonts w:hint="cs"/>
          <w:rtl/>
        </w:rPr>
        <w:t>ו</w:t>
      </w:r>
      <w:r w:rsidRPr="00661576">
        <w:rPr>
          <w:rFonts w:hint="cs"/>
          <w:rtl/>
        </w:rPr>
        <w:t>כמו שמות נוצריים מובהקים בארצות אירופה). בדיעבד, שמות אלה הפכו שמות יהודי</w:t>
      </w:r>
      <w:r>
        <w:rPr>
          <w:rFonts w:hint="cs"/>
          <w:rtl/>
        </w:rPr>
        <w:t>י</w:t>
      </w:r>
      <w:r w:rsidRPr="00661576">
        <w:rPr>
          <w:rFonts w:hint="cs"/>
          <w:rtl/>
        </w:rPr>
        <w:t>ם מקובלים בזכות המגילה והתקדשותה בתנ"ך ("</w:t>
      </w:r>
      <w:r>
        <w:rPr>
          <w:rFonts w:hint="cs"/>
          <w:rtl/>
        </w:rPr>
        <w:t xml:space="preserve">עמון ומואב [ש]טהרו בסיחון" </w:t>
      </w:r>
      <w:r>
        <w:rPr>
          <w:rtl/>
        </w:rPr>
        <w:t>—</w:t>
      </w:r>
      <w:r>
        <w:rPr>
          <w:rFonts w:hint="cs"/>
          <w:rtl/>
        </w:rPr>
        <w:t xml:space="preserve"> </w:t>
      </w:r>
      <w:r w:rsidRPr="00661576">
        <w:rPr>
          <w:rFonts w:hint="cs"/>
          <w:rtl/>
        </w:rPr>
        <w:t>גיטין לח ע"א), כמובן, בלי משמעותם המקורית האלילית. אך השאלה הגדולה היא</w:t>
      </w:r>
      <w:r>
        <w:rPr>
          <w:rFonts w:hint="cs"/>
          <w:rtl/>
        </w:rPr>
        <w:t>:</w:t>
      </w:r>
      <w:r w:rsidRPr="00661576">
        <w:rPr>
          <w:rFonts w:hint="cs"/>
          <w:rtl/>
        </w:rPr>
        <w:t xml:space="preserve"> איך הגיעו היהודים בשושן לאימוץ שמות אליליים ממש לילדיהם</w:t>
      </w:r>
      <w:r>
        <w:rPr>
          <w:rFonts w:hint="cs"/>
          <w:rtl/>
        </w:rPr>
        <w:t xml:space="preserve"> ולמנהיגיהם? בנוסף </w:t>
      </w:r>
      <w:r w:rsidRPr="00661576">
        <w:rPr>
          <w:rFonts w:hint="cs"/>
          <w:rtl/>
        </w:rPr>
        <w:t>יש לשאול</w:t>
      </w:r>
      <w:r>
        <w:rPr>
          <w:rFonts w:hint="cs"/>
          <w:rtl/>
        </w:rPr>
        <w:t>: האם יש קשר בין השמות האלה ו</w:t>
      </w:r>
      <w:r w:rsidRPr="00661576">
        <w:rPr>
          <w:rFonts w:hint="cs"/>
          <w:rtl/>
        </w:rPr>
        <w:t>בין הישיבה בשער המלך והמעורבות הרבה בפוליטיקה הפרסית, והאם לא נוצרה ציפייה בשושן שיהודים שאימצו שמות כאלה גם יוותרו על יהדותם וישתחוו להמן?</w:t>
      </w:r>
    </w:p>
  </w:footnote>
  <w:footnote w:id="18">
    <w:p w14:paraId="6ECEDC02" w14:textId="77777777" w:rsidR="00E0044E" w:rsidRPr="00661576" w:rsidRDefault="00E0044E" w:rsidP="00E0044E">
      <w:pPr>
        <w:pStyle w:val="a3"/>
        <w:rPr>
          <w:rtl/>
        </w:rPr>
      </w:pPr>
      <w:r w:rsidRPr="00B26C45">
        <w:rPr>
          <w:rFonts w:ascii="MF FrankRuhl" w:hAnsi="MF FrankRuhl"/>
          <w:rtl/>
        </w:rPr>
        <w:footnoteRef/>
      </w:r>
      <w:r w:rsidRPr="00B26C45">
        <w:rPr>
          <w:rFonts w:ascii="MF FrankRuhl" w:hAnsi="MF FrankRuhl"/>
          <w:rtl/>
        </w:rPr>
        <w:t>.</w:t>
      </w:r>
      <w:r w:rsidRPr="00B26C45">
        <w:rPr>
          <w:rFonts w:ascii="MF FrankRuhl" w:hAnsi="MF FrankRuhl"/>
          <w:rtl/>
        </w:rPr>
        <w:tab/>
      </w:r>
      <w:r w:rsidRPr="00661576">
        <w:rPr>
          <w:rFonts w:hint="cs"/>
          <w:rtl/>
        </w:rPr>
        <w:t>צ'ריקובר (לעיל</w:t>
      </w:r>
      <w:r>
        <w:rPr>
          <w:rFonts w:hint="cs"/>
          <w:rtl/>
        </w:rPr>
        <w:t>,</w:t>
      </w:r>
      <w:r w:rsidRPr="00661576">
        <w:rPr>
          <w:rFonts w:hint="cs"/>
          <w:rtl/>
        </w:rPr>
        <w:t xml:space="preserve">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Ref415398765 \h</w:instrText>
      </w:r>
      <w:r>
        <w:rPr>
          <w:rtl/>
        </w:rPr>
        <w:instrText xml:space="preserve"> </w:instrText>
      </w:r>
      <w:r>
        <w:rPr>
          <w:rtl/>
        </w:rPr>
      </w:r>
      <w:r>
        <w:rPr>
          <w:rtl/>
        </w:rPr>
        <w:fldChar w:fldCharType="separate"/>
      </w:r>
      <w:r>
        <w:rPr>
          <w:rtl/>
        </w:rPr>
        <w:t>11</w:t>
      </w:r>
      <w:r>
        <w:rPr>
          <w:rtl/>
        </w:rPr>
        <w:fldChar w:fldCharType="end"/>
      </w:r>
      <w:r w:rsidRPr="00661576">
        <w:rPr>
          <w:rFonts w:hint="cs"/>
          <w:rtl/>
        </w:rPr>
        <w:t xml:space="preserve">, עמ' </w:t>
      </w:r>
      <w:r>
        <w:rPr>
          <w:rFonts w:hint="cs"/>
          <w:rtl/>
        </w:rPr>
        <w:t>30</w:t>
      </w:r>
      <w:r>
        <w:rPr>
          <w:rtl/>
        </w:rPr>
        <w:noBreakHyphen/>
      </w:r>
      <w:r>
        <w:rPr>
          <w:rFonts w:hint="cs"/>
          <w:rtl/>
        </w:rPr>
        <w:t>52</w:t>
      </w:r>
      <w:r w:rsidRPr="00661576">
        <w:rPr>
          <w:rFonts w:hint="cs"/>
          <w:rtl/>
        </w:rPr>
        <w:t xml:space="preserve">) </w:t>
      </w:r>
      <w:r>
        <w:rPr>
          <w:rFonts w:hint="cs"/>
          <w:rtl/>
        </w:rPr>
        <w:t xml:space="preserve">תיאר </w:t>
      </w:r>
      <w:r w:rsidRPr="00661576">
        <w:rPr>
          <w:rFonts w:hint="cs"/>
          <w:rtl/>
        </w:rPr>
        <w:t>יהודים במצרים שמילאו תפקידים של חיילים, שוטרים ופקידים.</w:t>
      </w:r>
    </w:p>
  </w:footnote>
  <w:footnote w:id="19">
    <w:p w14:paraId="10DB3CFA" w14:textId="77777777" w:rsidR="00E0044E" w:rsidRPr="00661576" w:rsidRDefault="00E0044E" w:rsidP="00E0044E">
      <w:pPr>
        <w:pStyle w:val="a3"/>
        <w:rPr>
          <w:rtl/>
        </w:rPr>
      </w:pPr>
      <w:r w:rsidRPr="00B26C45">
        <w:rPr>
          <w:rFonts w:ascii="MF FrankRuhl" w:hAnsi="MF FrankRuhl"/>
          <w:rtl/>
        </w:rPr>
        <w:footnoteRef/>
      </w:r>
      <w:r w:rsidRPr="00B26C45">
        <w:rPr>
          <w:rFonts w:ascii="MF FrankRuhl" w:hAnsi="MF FrankRuhl"/>
          <w:rtl/>
        </w:rPr>
        <w:t>.</w:t>
      </w:r>
      <w:r w:rsidRPr="00B26C45">
        <w:rPr>
          <w:rFonts w:ascii="MF FrankRuhl" w:hAnsi="MF FrankRuhl"/>
          <w:rtl/>
        </w:rPr>
        <w:tab/>
      </w:r>
      <w:r w:rsidRPr="00661576">
        <w:rPr>
          <w:rFonts w:hint="cs"/>
          <w:rtl/>
        </w:rPr>
        <w:t xml:space="preserve">המכתב המפורסם ביותר מיֵב </w:t>
      </w:r>
      <w:r>
        <w:rPr>
          <w:rFonts w:hint="cs"/>
          <w:rtl/>
        </w:rPr>
        <w:t>כלל</w:t>
      </w:r>
      <w:r w:rsidRPr="00661576">
        <w:rPr>
          <w:rFonts w:hint="cs"/>
          <w:rtl/>
        </w:rPr>
        <w:t xml:space="preserve"> זעקת עזרה </w:t>
      </w:r>
      <w:r>
        <w:rPr>
          <w:rFonts w:hint="cs"/>
          <w:rtl/>
        </w:rPr>
        <w:t>לאחר</w:t>
      </w:r>
      <w:r w:rsidRPr="00661576">
        <w:rPr>
          <w:rFonts w:hint="cs"/>
          <w:rtl/>
        </w:rPr>
        <w:t xml:space="preserve"> החרבת ה</w:t>
      </w:r>
      <w:r>
        <w:rPr>
          <w:rFonts w:hint="cs"/>
          <w:rtl/>
        </w:rPr>
        <w:t>'</w:t>
      </w:r>
      <w:r w:rsidRPr="00661576">
        <w:rPr>
          <w:rFonts w:hint="cs"/>
          <w:rtl/>
        </w:rPr>
        <w:t>אגורא</w:t>
      </w:r>
      <w:r>
        <w:rPr>
          <w:rFonts w:hint="cs"/>
          <w:rtl/>
        </w:rPr>
        <w:t>'</w:t>
      </w:r>
      <w:r w:rsidRPr="00661576">
        <w:rPr>
          <w:rFonts w:hint="cs"/>
          <w:rtl/>
        </w:rPr>
        <w:t xml:space="preserve"> המקודש שלהם</w:t>
      </w:r>
      <w:r>
        <w:rPr>
          <w:rFonts w:hint="cs"/>
          <w:rtl/>
        </w:rPr>
        <w:t>. הוא</w:t>
      </w:r>
      <w:r w:rsidRPr="00661576">
        <w:rPr>
          <w:rFonts w:hint="cs"/>
          <w:rtl/>
        </w:rPr>
        <w:t xml:space="preserve"> נשלח ל"יהוחנן כהנא רבא... זי בירושלם" ואל "דליה ושלמיה בני סנאבלט פחת שמרין" (מבלי להתחשב בסכסוך המר בין אלה לאלה), כדי שישתדלו אצל "דריהוש מלכא" לסייע ולבנות מחדש את ה</w:t>
      </w:r>
      <w:r>
        <w:rPr>
          <w:rFonts w:hint="cs"/>
          <w:rtl/>
        </w:rPr>
        <w:t>'</w:t>
      </w:r>
      <w:r w:rsidRPr="00661576">
        <w:rPr>
          <w:rFonts w:hint="cs"/>
          <w:rtl/>
        </w:rPr>
        <w:t>אגורא</w:t>
      </w:r>
      <w:r>
        <w:rPr>
          <w:rFonts w:hint="cs"/>
          <w:rtl/>
        </w:rPr>
        <w:t>'</w:t>
      </w:r>
      <w:r w:rsidRPr="00661576">
        <w:rPr>
          <w:rFonts w:hint="cs"/>
          <w:rtl/>
        </w:rPr>
        <w:t xml:space="preserve"> ביֵב</w:t>
      </w:r>
      <w:r>
        <w:rPr>
          <w:rFonts w:hint="cs"/>
          <w:rtl/>
        </w:rPr>
        <w:t>.</w:t>
      </w:r>
      <w:r w:rsidRPr="00661576">
        <w:rPr>
          <w:rFonts w:hint="cs"/>
          <w:rtl/>
        </w:rPr>
        <w:t xml:space="preserve"> ראו</w:t>
      </w:r>
      <w:r>
        <w:rPr>
          <w:rFonts w:hint="cs"/>
          <w:rtl/>
        </w:rPr>
        <w:t>:</w:t>
      </w:r>
      <w:r w:rsidRPr="00661576">
        <w:rPr>
          <w:rFonts w:hint="cs"/>
          <w:rtl/>
        </w:rPr>
        <w:t xml:space="preserve"> פורטן (לעיל</w:t>
      </w:r>
      <w:r>
        <w:rPr>
          <w:rFonts w:hint="cs"/>
          <w:rtl/>
        </w:rPr>
        <w:t>,</w:t>
      </w:r>
      <w:r w:rsidRPr="00661576">
        <w:rPr>
          <w:rFonts w:hint="cs"/>
          <w:rtl/>
        </w:rPr>
        <w:t xml:space="preserve">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Ref415399032 \h</w:instrText>
      </w:r>
      <w:r>
        <w:rPr>
          <w:rtl/>
        </w:rPr>
        <w:instrText xml:space="preserve"> </w:instrText>
      </w:r>
      <w:r>
        <w:rPr>
          <w:rtl/>
        </w:rPr>
      </w:r>
      <w:r>
        <w:rPr>
          <w:rtl/>
        </w:rPr>
        <w:fldChar w:fldCharType="separate"/>
      </w:r>
      <w:r>
        <w:rPr>
          <w:rtl/>
        </w:rPr>
        <w:t>15</w:t>
      </w:r>
      <w:r>
        <w:rPr>
          <w:rtl/>
        </w:rPr>
        <w:fldChar w:fldCharType="end"/>
      </w:r>
      <w:r>
        <w:rPr>
          <w:rFonts w:hint="cs"/>
          <w:rtl/>
        </w:rPr>
        <w:t xml:space="preserve">), עמ' 90, 92; </w:t>
      </w:r>
      <w:r w:rsidRPr="00661576">
        <w:rPr>
          <w:rFonts w:hint="cs"/>
          <w:rtl/>
        </w:rPr>
        <w:t>דמסקי (לעיל</w:t>
      </w:r>
      <w:r>
        <w:rPr>
          <w:rFonts w:hint="cs"/>
          <w:rtl/>
        </w:rPr>
        <w:t>,</w:t>
      </w:r>
      <w:r w:rsidRPr="00661576">
        <w:rPr>
          <w:rFonts w:hint="cs"/>
          <w:rtl/>
        </w:rPr>
        <w:t xml:space="preserve">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Ref415391749 \h</w:instrText>
      </w:r>
      <w:r>
        <w:rPr>
          <w:rtl/>
        </w:rPr>
        <w:instrText xml:space="preserve"> </w:instrText>
      </w:r>
      <w:r>
        <w:rPr>
          <w:rtl/>
        </w:rPr>
      </w:r>
      <w:r>
        <w:rPr>
          <w:rtl/>
        </w:rPr>
        <w:fldChar w:fldCharType="separate"/>
      </w:r>
      <w:r>
        <w:rPr>
          <w:rtl/>
        </w:rPr>
        <w:t>7</w:t>
      </w:r>
      <w:r>
        <w:rPr>
          <w:rtl/>
        </w:rPr>
        <w:fldChar w:fldCharType="end"/>
      </w:r>
      <w:r w:rsidRPr="00661576">
        <w:rPr>
          <w:rFonts w:hint="cs"/>
          <w:rtl/>
        </w:rPr>
        <w:t>), עמ' 87.</w:t>
      </w:r>
    </w:p>
  </w:footnote>
  <w:footnote w:id="20">
    <w:p w14:paraId="45BF0D39" w14:textId="77777777" w:rsidR="00E0044E" w:rsidRPr="00661576" w:rsidRDefault="00E0044E" w:rsidP="00E0044E">
      <w:pPr>
        <w:pStyle w:val="a3"/>
      </w:pPr>
      <w:r w:rsidRPr="00B26C45">
        <w:rPr>
          <w:rFonts w:ascii="MF FrankRuhl" w:hAnsi="MF FrankRuhl"/>
          <w:rtl/>
        </w:rPr>
        <w:footnoteRef/>
      </w:r>
      <w:r w:rsidRPr="00B26C45">
        <w:rPr>
          <w:rFonts w:ascii="MF FrankRuhl" w:hAnsi="MF FrankRuhl"/>
          <w:rtl/>
        </w:rPr>
        <w:t>.</w:t>
      </w:r>
      <w:r w:rsidRPr="00B26C45">
        <w:rPr>
          <w:rFonts w:ascii="MF FrankRuhl" w:hAnsi="MF FrankRuhl"/>
          <w:rtl/>
        </w:rPr>
        <w:tab/>
      </w:r>
      <w:r w:rsidRPr="00661576">
        <w:rPr>
          <w:rFonts w:hint="cs"/>
          <w:rtl/>
        </w:rPr>
        <w:t>ראו</w:t>
      </w:r>
      <w:r>
        <w:rPr>
          <w:rFonts w:hint="cs"/>
          <w:rtl/>
        </w:rPr>
        <w:t>:</w:t>
      </w:r>
      <w:r w:rsidRPr="00661576">
        <w:rPr>
          <w:rFonts w:hint="cs"/>
          <w:rtl/>
        </w:rPr>
        <w:t xml:space="preserve"> עזרא ד'</w:t>
      </w:r>
      <w:r>
        <w:rPr>
          <w:rtl/>
        </w:rPr>
        <w:noBreakHyphen/>
      </w:r>
      <w:r w:rsidRPr="00661576">
        <w:rPr>
          <w:rFonts w:hint="cs"/>
          <w:rtl/>
        </w:rPr>
        <w:t>ה'</w:t>
      </w:r>
      <w:r>
        <w:rPr>
          <w:rFonts w:hint="cs"/>
          <w:rtl/>
        </w:rPr>
        <w:t>.</w:t>
      </w:r>
      <w:r w:rsidRPr="00661576">
        <w:rPr>
          <w:rFonts w:hint="cs"/>
          <w:rtl/>
        </w:rPr>
        <w:t xml:space="preserve"> תיאור החומה הפרוצה בירושלים עם השערים השרופים בנחמיה א' הוא לדעתי תוצאה של העימות בין ירושלים לשומרונים ו</w:t>
      </w:r>
      <w:r>
        <w:rPr>
          <w:rFonts w:hint="cs"/>
          <w:rtl/>
        </w:rPr>
        <w:t>ל</w:t>
      </w:r>
      <w:r w:rsidRPr="00661576">
        <w:rPr>
          <w:rFonts w:hint="cs"/>
          <w:rtl/>
        </w:rPr>
        <w:t>תומכיהם.</w:t>
      </w:r>
    </w:p>
  </w:footnote>
  <w:footnote w:id="21">
    <w:p w14:paraId="4D6B2BB5" w14:textId="77777777" w:rsidR="00E0044E" w:rsidRPr="005459C8" w:rsidRDefault="00E0044E" w:rsidP="00E0044E">
      <w:pPr>
        <w:pStyle w:val="a3"/>
        <w:rPr>
          <w:rtl/>
        </w:rPr>
      </w:pPr>
      <w:r w:rsidRPr="00B26C45">
        <w:rPr>
          <w:rFonts w:ascii="MF FrankRuhl" w:hAnsi="MF FrankRuhl"/>
          <w:rtl/>
        </w:rPr>
        <w:footnoteRef/>
      </w:r>
      <w:r w:rsidRPr="00B26C45">
        <w:rPr>
          <w:rFonts w:ascii="MF FrankRuhl" w:hAnsi="MF FrankRuhl"/>
          <w:rtl/>
        </w:rPr>
        <w:t>.</w:t>
      </w:r>
      <w:r w:rsidRPr="00B26C45">
        <w:rPr>
          <w:rFonts w:ascii="MF FrankRuhl" w:hAnsi="MF FrankRuhl"/>
          <w:rtl/>
        </w:rPr>
        <w:tab/>
      </w:r>
      <w:r>
        <w:rPr>
          <w:rFonts w:hint="cs"/>
          <w:rtl/>
        </w:rPr>
        <w:t>עזרא ה', ח (וב</w:t>
      </w:r>
      <w:r w:rsidRPr="00661576">
        <w:rPr>
          <w:rFonts w:hint="cs"/>
          <w:rtl/>
        </w:rPr>
        <w:t>פס</w:t>
      </w:r>
      <w:r>
        <w:rPr>
          <w:rFonts w:hint="cs"/>
          <w:rtl/>
        </w:rPr>
        <w:t>וק</w:t>
      </w:r>
      <w:r w:rsidRPr="00661576">
        <w:rPr>
          <w:rFonts w:hint="cs"/>
          <w:rtl/>
        </w:rPr>
        <w:t xml:space="preserve"> א </w:t>
      </w:r>
      <w:r>
        <w:rPr>
          <w:rFonts w:hint="cs"/>
          <w:rtl/>
        </w:rPr>
        <w:t>שם:</w:t>
      </w:r>
      <w:r w:rsidRPr="00661576">
        <w:rPr>
          <w:rFonts w:hint="cs"/>
          <w:rtl/>
        </w:rPr>
        <w:t xml:space="preserve"> "</w:t>
      </w:r>
      <w:r w:rsidRPr="00E762A2">
        <w:rPr>
          <w:rtl/>
        </w:rPr>
        <w:t>דִּי בִיהוּד וּבִירוּשְׁלֶם</w:t>
      </w:r>
      <w:r w:rsidRPr="00661576">
        <w:rPr>
          <w:rFonts w:hint="cs"/>
          <w:rtl/>
        </w:rPr>
        <w:t>", וכך ב</w:t>
      </w:r>
      <w:r>
        <w:rPr>
          <w:rFonts w:hint="cs"/>
          <w:rtl/>
        </w:rPr>
        <w:t>פרק</w:t>
      </w:r>
      <w:r w:rsidRPr="00661576">
        <w:rPr>
          <w:rFonts w:hint="cs"/>
          <w:rtl/>
        </w:rPr>
        <w:t xml:space="preserve"> ז', יד)</w:t>
      </w:r>
      <w:r>
        <w:rPr>
          <w:rFonts w:hint="cs"/>
          <w:rtl/>
        </w:rPr>
        <w:t>.</w:t>
      </w:r>
      <w:r w:rsidRPr="00661576">
        <w:rPr>
          <w:rFonts w:hint="cs"/>
          <w:rtl/>
        </w:rPr>
        <w:t xml:space="preserve"> </w:t>
      </w:r>
      <w:r>
        <w:rPr>
          <w:rFonts w:hint="cs"/>
          <w:rtl/>
        </w:rPr>
        <w:t xml:space="preserve">השם </w:t>
      </w:r>
      <w:r w:rsidRPr="00661576">
        <w:rPr>
          <w:rFonts w:hint="cs"/>
          <w:rtl/>
        </w:rPr>
        <w:t xml:space="preserve">'יהד' </w:t>
      </w:r>
      <w:r>
        <w:rPr>
          <w:rtl/>
        </w:rPr>
        <w:br/>
      </w:r>
      <w:r>
        <w:rPr>
          <w:rFonts w:hint="cs"/>
          <w:rtl/>
        </w:rPr>
        <w:t xml:space="preserve">(= 'יהוד') </w:t>
      </w:r>
      <w:r w:rsidRPr="00661576">
        <w:rPr>
          <w:rFonts w:hint="cs"/>
          <w:rtl/>
        </w:rPr>
        <w:t>גם היה חרות על החותמות ה</w:t>
      </w:r>
      <w:r>
        <w:rPr>
          <w:rFonts w:hint="cs"/>
          <w:rtl/>
        </w:rPr>
        <w:t xml:space="preserve">רשמיים של 'פחוות יהודה'; ראו: נ' אביגד, </w:t>
      </w:r>
      <w:r w:rsidRPr="009356AE">
        <w:rPr>
          <w:rFonts w:hint="cs"/>
          <w:b/>
          <w:bCs/>
          <w:rtl/>
        </w:rPr>
        <w:t>בולות וחותמות מתוך ארכיון ממלכתי מימי שיבת ציון</w:t>
      </w:r>
      <w:r>
        <w:rPr>
          <w:rFonts w:hint="cs"/>
          <w:rtl/>
        </w:rPr>
        <w:t>, ירושלים 1976, עמ' ב</w:t>
      </w:r>
      <w:r>
        <w:rPr>
          <w:rtl/>
        </w:rPr>
        <w:noBreakHyphen/>
      </w:r>
      <w:r>
        <w:rPr>
          <w:rFonts w:hint="cs"/>
          <w:rtl/>
        </w:rPr>
        <w:t>ד, ח</w:t>
      </w:r>
      <w:r w:rsidRPr="005459C8">
        <w:rPr>
          <w:rFonts w:hint="cs"/>
          <w:rtl/>
        </w:rPr>
        <w:t>.</w:t>
      </w:r>
    </w:p>
  </w:footnote>
  <w:footnote w:id="22">
    <w:p w14:paraId="23789D17" w14:textId="77777777" w:rsidR="00E0044E" w:rsidRPr="00661576" w:rsidRDefault="00E0044E" w:rsidP="00E0044E">
      <w:pPr>
        <w:pStyle w:val="a3"/>
      </w:pPr>
      <w:r w:rsidRPr="00B26C45">
        <w:rPr>
          <w:rFonts w:ascii="MF FrankRuhl" w:hAnsi="MF FrankRuhl"/>
          <w:rtl/>
        </w:rPr>
        <w:footnoteRef/>
      </w:r>
      <w:r w:rsidRPr="00B26C45">
        <w:rPr>
          <w:rFonts w:ascii="MF FrankRuhl" w:hAnsi="MF FrankRuhl"/>
          <w:rtl/>
        </w:rPr>
        <w:t>.</w:t>
      </w:r>
      <w:r w:rsidRPr="00B26C45">
        <w:rPr>
          <w:rFonts w:ascii="MF FrankRuhl" w:hAnsi="MF FrankRuhl"/>
          <w:rtl/>
        </w:rPr>
        <w:tab/>
      </w:r>
      <w:r w:rsidRPr="00661576">
        <w:rPr>
          <w:rFonts w:hint="cs"/>
          <w:rtl/>
        </w:rPr>
        <w:t>המלך דריו</w:t>
      </w:r>
      <w:r>
        <w:rPr>
          <w:rFonts w:hint="cs"/>
          <w:rtl/>
        </w:rPr>
        <w:t>ו</w:t>
      </w:r>
      <w:r w:rsidRPr="00661576">
        <w:rPr>
          <w:rFonts w:hint="cs"/>
          <w:rtl/>
        </w:rPr>
        <w:t>ש היה התומך הגדול ביותר של יהודה וירושלים מכל מלכי פרס</w:t>
      </w:r>
      <w:r>
        <w:rPr>
          <w:rFonts w:hint="cs"/>
          <w:rtl/>
        </w:rPr>
        <w:t xml:space="preserve"> </w:t>
      </w:r>
      <w:r w:rsidRPr="00661576">
        <w:rPr>
          <w:rFonts w:hint="cs"/>
          <w:rtl/>
        </w:rPr>
        <w:t xml:space="preserve">(כמפורט בעזרא ו') </w:t>
      </w:r>
      <w:r>
        <w:rPr>
          <w:rFonts w:hint="cs"/>
          <w:rtl/>
        </w:rPr>
        <w:t>ו</w:t>
      </w:r>
      <w:r w:rsidRPr="00661576">
        <w:rPr>
          <w:rFonts w:hint="cs"/>
          <w:rtl/>
        </w:rPr>
        <w:t>היחיד שלא נרתע מכתבי השטנה של צרי יהודה</w:t>
      </w:r>
      <w:r>
        <w:rPr>
          <w:rFonts w:hint="cs"/>
          <w:rtl/>
        </w:rPr>
        <w:t>. הוא</w:t>
      </w:r>
      <w:r w:rsidRPr="00661576">
        <w:rPr>
          <w:rFonts w:hint="cs"/>
          <w:rtl/>
        </w:rPr>
        <w:t xml:space="preserve"> ציווה על ראשי הפחוות לסייע לבניין ירושלים וגזר עונש קשה </w:t>
      </w:r>
      <w:r>
        <w:rPr>
          <w:rFonts w:hint="cs"/>
          <w:rtl/>
        </w:rPr>
        <w:t>ע</w:t>
      </w:r>
      <w:r w:rsidRPr="00661576">
        <w:rPr>
          <w:rFonts w:hint="cs"/>
          <w:rtl/>
        </w:rPr>
        <w:t>ל</w:t>
      </w:r>
      <w:r>
        <w:rPr>
          <w:rFonts w:hint="cs"/>
          <w:rtl/>
        </w:rPr>
        <w:t xml:space="preserve"> </w:t>
      </w:r>
      <w:r w:rsidRPr="00661576">
        <w:rPr>
          <w:rFonts w:hint="cs"/>
          <w:rtl/>
        </w:rPr>
        <w:t xml:space="preserve">כל מי שיחבל </w:t>
      </w:r>
      <w:r>
        <w:rPr>
          <w:rFonts w:hint="cs"/>
          <w:rtl/>
        </w:rPr>
        <w:t xml:space="preserve">בבניין </w:t>
      </w:r>
      <w:r w:rsidRPr="00661576">
        <w:rPr>
          <w:rFonts w:hint="cs"/>
          <w:rtl/>
        </w:rPr>
        <w:t>ויפר את דברו ('עץ יעקר מביתו והוא יתלה עליו וביתו יחרב', עזרא ו', יא בתרגום לעברית)</w:t>
      </w:r>
      <w:r>
        <w:rPr>
          <w:rFonts w:hint="cs"/>
          <w:rtl/>
        </w:rPr>
        <w:t xml:space="preserve">. </w:t>
      </w:r>
      <w:r w:rsidRPr="00661576">
        <w:rPr>
          <w:rFonts w:hint="cs"/>
          <w:rtl/>
        </w:rPr>
        <w:t>בימיו נבנה ונחנך הבית השני (</w:t>
      </w:r>
      <w:r>
        <w:rPr>
          <w:rFonts w:hint="cs"/>
          <w:rtl/>
        </w:rPr>
        <w:t>שם</w:t>
      </w:r>
      <w:r w:rsidRPr="00661576">
        <w:rPr>
          <w:rFonts w:hint="cs"/>
          <w:rtl/>
        </w:rPr>
        <w:t>, טז</w:t>
      </w:r>
      <w:r>
        <w:rPr>
          <w:rtl/>
        </w:rPr>
        <w:noBreakHyphen/>
      </w:r>
      <w:r w:rsidRPr="00661576">
        <w:rPr>
          <w:rFonts w:hint="cs"/>
          <w:rtl/>
        </w:rPr>
        <w:t xml:space="preserve">יח). </w:t>
      </w:r>
    </w:p>
  </w:footnote>
  <w:footnote w:id="23">
    <w:p w14:paraId="652F4921" w14:textId="77777777" w:rsidR="00E0044E" w:rsidRPr="00661576" w:rsidRDefault="00E0044E" w:rsidP="00E0044E">
      <w:pPr>
        <w:pStyle w:val="a3"/>
      </w:pPr>
      <w:r w:rsidRPr="00B26C45">
        <w:rPr>
          <w:rFonts w:ascii="MF FrankRuhl" w:hAnsi="MF FrankRuhl"/>
          <w:rtl/>
        </w:rPr>
        <w:footnoteRef/>
      </w:r>
      <w:r w:rsidRPr="00B26C45">
        <w:rPr>
          <w:rFonts w:ascii="MF FrankRuhl" w:hAnsi="MF FrankRuhl"/>
          <w:rtl/>
        </w:rPr>
        <w:t>.</w:t>
      </w:r>
      <w:r w:rsidRPr="00B26C45">
        <w:rPr>
          <w:rFonts w:ascii="MF FrankRuhl" w:hAnsi="MF FrankRuhl"/>
          <w:rtl/>
        </w:rPr>
        <w:tab/>
      </w:r>
      <w:r>
        <w:rPr>
          <w:rFonts w:ascii="MF FrankRuhl" w:hAnsi="MF FrankRuhl" w:hint="cs"/>
          <w:rtl/>
        </w:rPr>
        <w:t xml:space="preserve">ראו: </w:t>
      </w:r>
      <w:r w:rsidRPr="00661576">
        <w:rPr>
          <w:rFonts w:hint="cs"/>
          <w:rtl/>
        </w:rPr>
        <w:t>נחמיה ב'</w:t>
      </w:r>
      <w:r>
        <w:rPr>
          <w:rtl/>
        </w:rPr>
        <w:noBreakHyphen/>
      </w:r>
      <w:r w:rsidRPr="00661576">
        <w:rPr>
          <w:rFonts w:hint="cs"/>
          <w:rtl/>
        </w:rPr>
        <w:t>ו'.</w:t>
      </w:r>
    </w:p>
  </w:footnote>
  <w:footnote w:id="24">
    <w:p w14:paraId="621565A8" w14:textId="77777777" w:rsidR="00E0044E" w:rsidRPr="00661576" w:rsidRDefault="00E0044E" w:rsidP="00E0044E">
      <w:pPr>
        <w:pStyle w:val="a3"/>
        <w:rPr>
          <w:rtl/>
        </w:rPr>
      </w:pPr>
      <w:r w:rsidRPr="00B26C45">
        <w:rPr>
          <w:rFonts w:ascii="MF FrankRuhl" w:hAnsi="MF FrankRuhl"/>
          <w:rtl/>
        </w:rPr>
        <w:footnoteRef/>
      </w:r>
      <w:r w:rsidRPr="00B26C45">
        <w:rPr>
          <w:rFonts w:ascii="MF FrankRuhl" w:hAnsi="MF FrankRuhl"/>
          <w:rtl/>
        </w:rPr>
        <w:t>.</w:t>
      </w:r>
      <w:r w:rsidRPr="00B26C45">
        <w:rPr>
          <w:rFonts w:ascii="MF FrankRuhl" w:hAnsi="MF FrankRuhl"/>
          <w:rtl/>
        </w:rPr>
        <w:tab/>
      </w:r>
      <w:r>
        <w:rPr>
          <w:rFonts w:hint="cs"/>
          <w:rtl/>
        </w:rPr>
        <w:t xml:space="preserve">ראו: </w:t>
      </w:r>
      <w:r w:rsidRPr="00661576">
        <w:rPr>
          <w:rFonts w:hint="cs"/>
          <w:rtl/>
        </w:rPr>
        <w:t>עזרא ד'</w:t>
      </w:r>
      <w:r>
        <w:rPr>
          <w:rtl/>
        </w:rPr>
        <w:noBreakHyphen/>
      </w:r>
      <w:r w:rsidRPr="00661576">
        <w:rPr>
          <w:rFonts w:hint="cs"/>
          <w:rtl/>
        </w:rPr>
        <w:t>ה'.</w:t>
      </w:r>
    </w:p>
  </w:footnote>
  <w:footnote w:id="25">
    <w:p w14:paraId="69E9C2BC" w14:textId="77777777" w:rsidR="00E0044E" w:rsidRPr="00661576" w:rsidRDefault="00E0044E" w:rsidP="00E0044E">
      <w:pPr>
        <w:pStyle w:val="a3"/>
        <w:rPr>
          <w:rtl/>
        </w:rPr>
      </w:pPr>
      <w:r w:rsidRPr="00B26C45">
        <w:rPr>
          <w:rFonts w:ascii="MF FrankRuhl" w:hAnsi="MF FrankRuhl"/>
          <w:rtl/>
        </w:rPr>
        <w:footnoteRef/>
      </w:r>
      <w:r w:rsidRPr="00B26C45">
        <w:rPr>
          <w:rFonts w:ascii="MF FrankRuhl" w:hAnsi="MF FrankRuhl"/>
          <w:rtl/>
        </w:rPr>
        <w:t>.</w:t>
      </w:r>
      <w:r w:rsidRPr="00B26C45">
        <w:rPr>
          <w:rFonts w:ascii="MF FrankRuhl" w:hAnsi="MF FrankRuhl"/>
          <w:rtl/>
        </w:rPr>
        <w:tab/>
      </w:r>
      <w:r w:rsidRPr="00661576">
        <w:rPr>
          <w:rFonts w:hint="cs"/>
          <w:rtl/>
        </w:rPr>
        <w:t>מרדכי "</w:t>
      </w:r>
      <w:r w:rsidRPr="00C8363F">
        <w:rPr>
          <w:rtl/>
        </w:rPr>
        <w:t>אִישׁ יְהוּדִי</w:t>
      </w:r>
      <w:r w:rsidRPr="00661576">
        <w:rPr>
          <w:rFonts w:hint="cs"/>
          <w:rtl/>
        </w:rPr>
        <w:t>" כינס את היהודים אשר בשושן לימי צום (ד', טז) ושלח "</w:t>
      </w:r>
      <w:r w:rsidRPr="00C8363F">
        <w:rPr>
          <w:rtl/>
        </w:rPr>
        <w:t>סְפָרִים אֶל כָּל הַיְּהוּדִים אֲשֶׁר בְּכָל מְדִינוֹת הַמֶּלֶךְ אֲחַשְׁוֵרוֹשׁ הַקְּרוֹבִים וְהָרְחוֹקִים</w:t>
      </w:r>
      <w:r w:rsidRPr="00661576">
        <w:rPr>
          <w:rFonts w:hint="cs"/>
          <w:rtl/>
        </w:rPr>
        <w:t>" (ט', כ)</w:t>
      </w:r>
      <w:r>
        <w:rPr>
          <w:rFonts w:hint="cs"/>
          <w:rtl/>
        </w:rPr>
        <w:t>,</w:t>
      </w:r>
      <w:r w:rsidRPr="00661576">
        <w:rPr>
          <w:rFonts w:hint="cs"/>
          <w:rtl/>
        </w:rPr>
        <w:t xml:space="preserve"> אך השם 'יהודה' כמקו</w:t>
      </w:r>
      <w:r>
        <w:rPr>
          <w:rFonts w:hint="cs"/>
          <w:rtl/>
        </w:rPr>
        <w:t>מ</w:t>
      </w:r>
      <w:r w:rsidRPr="00661576">
        <w:rPr>
          <w:rFonts w:hint="cs"/>
          <w:rtl/>
        </w:rPr>
        <w:t>ם של יהודים שבי הגולה לא נזכר כלל.</w:t>
      </w:r>
    </w:p>
  </w:footnote>
  <w:footnote w:id="26">
    <w:p w14:paraId="47E084EE" w14:textId="77777777" w:rsidR="00E0044E" w:rsidRPr="00661576" w:rsidRDefault="00E0044E" w:rsidP="00E0044E">
      <w:pPr>
        <w:pStyle w:val="a3"/>
        <w:rPr>
          <w:rtl/>
        </w:rPr>
      </w:pPr>
      <w:r w:rsidRPr="00B26C45">
        <w:rPr>
          <w:rFonts w:ascii="MF FrankRuhl" w:hAnsi="MF FrankRuhl"/>
          <w:rtl/>
        </w:rPr>
        <w:footnoteRef/>
      </w:r>
      <w:r w:rsidRPr="00B26C45">
        <w:rPr>
          <w:rFonts w:ascii="MF FrankRuhl" w:hAnsi="MF FrankRuhl"/>
          <w:rtl/>
        </w:rPr>
        <w:t>.</w:t>
      </w:r>
      <w:r w:rsidRPr="00B26C45">
        <w:rPr>
          <w:rFonts w:ascii="MF FrankRuhl" w:hAnsi="MF FrankRuhl"/>
          <w:rtl/>
        </w:rPr>
        <w:tab/>
      </w:r>
      <w:r w:rsidRPr="00661576">
        <w:rPr>
          <w:rFonts w:hint="cs"/>
          <w:rtl/>
        </w:rPr>
        <w:t>גזרת המן פורסמה והופצה בשלושה עשר בחודש ניסן (אסתר ג', יב), ונראה שתגובת מרדכי באה מיד אחרי הפרסום הרשמי.</w:t>
      </w:r>
      <w:r>
        <w:rPr>
          <w:rFonts w:hint="cs"/>
          <w:rtl/>
        </w:rPr>
        <w:t xml:space="preserve"> </w:t>
      </w:r>
      <w:r w:rsidRPr="00661576">
        <w:rPr>
          <w:rFonts w:hint="cs"/>
          <w:rtl/>
        </w:rPr>
        <w:t xml:space="preserve">מסתבר </w:t>
      </w:r>
      <w:r>
        <w:rPr>
          <w:rFonts w:hint="cs"/>
          <w:rtl/>
        </w:rPr>
        <w:t>אפוא</w:t>
      </w:r>
      <w:r w:rsidRPr="00661576">
        <w:rPr>
          <w:rFonts w:hint="cs"/>
          <w:rtl/>
        </w:rPr>
        <w:t xml:space="preserve"> שהדיון בין מרדכי ואסתר וכינוס היהודים לצום ולתפילה, וכן הכניסה לחצר המלך הפנימית, התרחשו בחג המצות ובחול המועד</w:t>
      </w:r>
      <w:r>
        <w:rPr>
          <w:rFonts w:hint="cs"/>
          <w:rtl/>
        </w:rPr>
        <w:t>.</w:t>
      </w:r>
      <w:r w:rsidRPr="00661576">
        <w:rPr>
          <w:rFonts w:hint="cs"/>
          <w:rtl/>
        </w:rPr>
        <w:t xml:space="preserve"> חז"ל (מגילה טו ע"א; אסתר רבה פרשה ח ז) </w:t>
      </w:r>
      <w:r>
        <w:rPr>
          <w:rFonts w:hint="cs"/>
          <w:rtl/>
        </w:rPr>
        <w:t>באמת</w:t>
      </w:r>
      <w:r w:rsidRPr="00661576">
        <w:rPr>
          <w:rFonts w:hint="cs"/>
          <w:rtl/>
        </w:rPr>
        <w:t xml:space="preserve"> הבינו שביטלו יום טוב של פסח מפני הגזרה, אלא שבמגילה לא נאמר על כך דבר, כשם שלא נזכרה תפילה לה' ולא שם ה' בכלל.</w:t>
      </w:r>
    </w:p>
  </w:footnote>
  <w:footnote w:id="27">
    <w:p w14:paraId="0B58881D" w14:textId="77777777" w:rsidR="00E0044E" w:rsidRPr="00661576" w:rsidRDefault="00E0044E" w:rsidP="00E0044E">
      <w:pPr>
        <w:pStyle w:val="a3"/>
        <w:rPr>
          <w:rFonts w:ascii="CG Times" w:hAnsi="CG Times"/>
          <w:rtl/>
        </w:rPr>
      </w:pPr>
      <w:r w:rsidRPr="00B26C45">
        <w:rPr>
          <w:rFonts w:ascii="MF FrankRuhl" w:hAnsi="MF FrankRuhl"/>
          <w:rtl/>
        </w:rPr>
        <w:footnoteRef/>
      </w:r>
      <w:r w:rsidRPr="00B26C45">
        <w:rPr>
          <w:rFonts w:ascii="MF FrankRuhl" w:hAnsi="MF FrankRuhl"/>
          <w:rtl/>
        </w:rPr>
        <w:t>.</w:t>
      </w:r>
      <w:r w:rsidRPr="00B26C45">
        <w:rPr>
          <w:rFonts w:ascii="MF FrankRuhl" w:hAnsi="MF FrankRuhl"/>
          <w:rtl/>
        </w:rPr>
        <w:tab/>
      </w:r>
      <w:r w:rsidRPr="00661576">
        <w:rPr>
          <w:rFonts w:hint="cs"/>
          <w:rtl/>
        </w:rPr>
        <w:t xml:space="preserve">חז"ל כדרכם ניסו אמנם להסביר מה היה חטאם של היהודים </w:t>
      </w:r>
      <w:r>
        <w:rPr>
          <w:rtl/>
        </w:rPr>
        <w:t>—</w:t>
      </w:r>
      <w:r>
        <w:rPr>
          <w:rFonts w:hint="cs"/>
          <w:rtl/>
        </w:rPr>
        <w:t xml:space="preserve"> </w:t>
      </w:r>
      <w:r w:rsidRPr="00661576">
        <w:rPr>
          <w:rFonts w:hint="cs"/>
          <w:rtl/>
        </w:rPr>
        <w:t>הגמרא (מגילה יב ע"א, בשם ר</w:t>
      </w:r>
      <w:r>
        <w:rPr>
          <w:rFonts w:hint="cs"/>
          <w:rtl/>
        </w:rPr>
        <w:t>בי שמעון בר יוחאי</w:t>
      </w:r>
      <w:r w:rsidRPr="00661576">
        <w:rPr>
          <w:rFonts w:hint="cs"/>
          <w:rtl/>
        </w:rPr>
        <w:t xml:space="preserve"> ותלמידיו) הביאה שתי דעות בעניין</w:t>
      </w:r>
      <w:r>
        <w:rPr>
          <w:rFonts w:hint="cs"/>
          <w:rtl/>
        </w:rPr>
        <w:t>:</w:t>
      </w:r>
      <w:r w:rsidRPr="00661576">
        <w:rPr>
          <w:rFonts w:hint="cs"/>
          <w:rtl/>
        </w:rPr>
        <w:t xml:space="preserve"> "מפני שנהנו מסעודתו של אותו רשע" (אחשורוש), או "מפני שהשתחוו לצלם" </w:t>
      </w:r>
      <w:r>
        <w:rPr>
          <w:rtl/>
        </w:rPr>
        <w:t>—</w:t>
      </w:r>
      <w:r>
        <w:rPr>
          <w:rFonts w:hint="cs"/>
          <w:rtl/>
        </w:rPr>
        <w:t xml:space="preserve"> </w:t>
      </w:r>
      <w:r w:rsidRPr="00661576">
        <w:rPr>
          <w:rFonts w:hint="cs"/>
          <w:rtl/>
        </w:rPr>
        <w:t>אך בפשוטה של המגילה אין הדבר נזכר.</w:t>
      </w:r>
    </w:p>
  </w:footnote>
  <w:footnote w:id="28">
    <w:p w14:paraId="5E6A785B" w14:textId="77777777" w:rsidR="00E0044E" w:rsidRPr="00661576" w:rsidRDefault="00E0044E" w:rsidP="00E0044E">
      <w:pPr>
        <w:pStyle w:val="a3"/>
        <w:rPr>
          <w:rFonts w:ascii="CG Times" w:hAnsi="CG Times"/>
          <w:rtl/>
        </w:rPr>
      </w:pPr>
      <w:r w:rsidRPr="00B26C45">
        <w:rPr>
          <w:rFonts w:ascii="MF FrankRuhl" w:hAnsi="MF FrankRuhl"/>
          <w:rtl/>
        </w:rPr>
        <w:footnoteRef/>
      </w:r>
      <w:r w:rsidRPr="00B26C45">
        <w:rPr>
          <w:rFonts w:ascii="MF FrankRuhl" w:hAnsi="MF FrankRuhl"/>
          <w:rtl/>
        </w:rPr>
        <w:t>.</w:t>
      </w:r>
      <w:r w:rsidRPr="00B26C45">
        <w:rPr>
          <w:rFonts w:ascii="MF FrankRuhl" w:hAnsi="MF FrankRuhl"/>
          <w:rtl/>
        </w:rPr>
        <w:tab/>
      </w:r>
      <w:r w:rsidRPr="00661576">
        <w:rPr>
          <w:rFonts w:hint="cs"/>
          <w:rtl/>
        </w:rPr>
        <w:t>ראו</w:t>
      </w:r>
      <w:r>
        <w:rPr>
          <w:rFonts w:hint="cs"/>
          <w:rtl/>
        </w:rPr>
        <w:t>:</w:t>
      </w:r>
      <w:r w:rsidRPr="00661576">
        <w:rPr>
          <w:rFonts w:hint="cs"/>
          <w:rtl/>
        </w:rPr>
        <w:t xml:space="preserve"> תענית ל ע"ב; בבא בתרא קכא ע"א</w:t>
      </w:r>
      <w:r>
        <w:rPr>
          <w:rtl/>
        </w:rPr>
        <w:noBreakHyphen/>
      </w:r>
      <w:r w:rsidRPr="00661576">
        <w:rPr>
          <w:rFonts w:hint="cs"/>
          <w:rtl/>
        </w:rPr>
        <w:t>ע"ב ("עד שלא כלו מֵתֵי מדבר, לא היה דִבור עם משה")</w:t>
      </w:r>
      <w:r>
        <w:rPr>
          <w:rFonts w:hint="cs"/>
          <w:rtl/>
        </w:rPr>
        <w:t xml:space="preserve">; </w:t>
      </w:r>
      <w:r w:rsidRPr="00C8363F">
        <w:rPr>
          <w:rFonts w:hint="cs"/>
          <w:b/>
          <w:bCs/>
          <w:rtl/>
        </w:rPr>
        <w:t>מורה נבוכים</w:t>
      </w:r>
      <w:r>
        <w:rPr>
          <w:rFonts w:hint="cs"/>
          <w:rtl/>
        </w:rPr>
        <w:t xml:space="preserve">, </w:t>
      </w:r>
      <w:r w:rsidRPr="00661576">
        <w:rPr>
          <w:rFonts w:hint="cs"/>
          <w:rtl/>
        </w:rPr>
        <w:t>ח</w:t>
      </w:r>
      <w:r>
        <w:rPr>
          <w:rFonts w:hint="cs"/>
          <w:rtl/>
        </w:rPr>
        <w:t xml:space="preserve">לק </w:t>
      </w:r>
      <w:r w:rsidRPr="00661576">
        <w:rPr>
          <w:rFonts w:hint="cs"/>
          <w:rtl/>
        </w:rPr>
        <w:t>ב פרק לו</w:t>
      </w:r>
      <w:r>
        <w:rPr>
          <w:rFonts w:hint="cs"/>
          <w:rtl/>
        </w:rPr>
        <w:t>.</w:t>
      </w:r>
      <w:r w:rsidRPr="00661576">
        <w:rPr>
          <w:rFonts w:hint="cs"/>
          <w:rtl/>
        </w:rPr>
        <w:t xml:space="preserve"> בלשונו של הרמב"ם </w:t>
      </w:r>
      <w:r>
        <w:rPr>
          <w:rFonts w:hint="cs"/>
          <w:rtl/>
        </w:rPr>
        <w:t xml:space="preserve">מדויק </w:t>
      </w:r>
      <w:r w:rsidRPr="00661576">
        <w:rPr>
          <w:rFonts w:hint="cs"/>
          <w:rtl/>
        </w:rPr>
        <w:t>שלא הייתה למשה התגלות בדרגה שקדמה למשבר המרגלים, ופירוש</w:t>
      </w:r>
      <w:r>
        <w:rPr>
          <w:rFonts w:hint="cs"/>
          <w:rtl/>
        </w:rPr>
        <w:t xml:space="preserve"> הדבר</w:t>
      </w:r>
      <w:r w:rsidRPr="00661576">
        <w:rPr>
          <w:rFonts w:hint="cs"/>
          <w:rtl/>
        </w:rPr>
        <w:t xml:space="preserve"> לדעתי </w:t>
      </w:r>
      <w:r>
        <w:rPr>
          <w:rFonts w:hint="cs"/>
          <w:rtl/>
        </w:rPr>
        <w:t xml:space="preserve">הוא </w:t>
      </w:r>
      <w:r w:rsidRPr="00661576">
        <w:rPr>
          <w:rFonts w:hint="cs"/>
          <w:rtl/>
        </w:rPr>
        <w:t>שלא נכתבו פרשיות בתורה בשנות המדבר, מפני ש</w:t>
      </w:r>
      <w:r>
        <w:rPr>
          <w:rFonts w:hint="cs"/>
          <w:rtl/>
        </w:rPr>
        <w:t xml:space="preserve">בשנות </w:t>
      </w:r>
      <w:r>
        <w:rPr>
          <w:rtl/>
        </w:rPr>
        <w:t>גז</w:t>
      </w:r>
      <w:r w:rsidRPr="00AB45E7">
        <w:rPr>
          <w:rtl/>
        </w:rPr>
        <w:t xml:space="preserve">רה </w:t>
      </w:r>
      <w:r>
        <w:rPr>
          <w:rFonts w:hint="cs"/>
          <w:rtl/>
        </w:rPr>
        <w:t xml:space="preserve">אלו </w:t>
      </w:r>
      <w:r w:rsidRPr="00661576">
        <w:rPr>
          <w:rFonts w:hint="cs"/>
          <w:rtl/>
        </w:rPr>
        <w:t>לא היה משה במדרגת הדיבור של מעמד הר סיני ומתן תורה.</w:t>
      </w:r>
    </w:p>
  </w:footnote>
  <w:footnote w:id="29">
    <w:p w14:paraId="35982143" w14:textId="77777777" w:rsidR="00E0044E" w:rsidRDefault="00E0044E" w:rsidP="00E0044E">
      <w:pPr>
        <w:pStyle w:val="a3"/>
      </w:pPr>
      <w:r w:rsidRPr="00B26C45">
        <w:rPr>
          <w:rFonts w:ascii="MF FrankRuhl" w:hAnsi="MF FrankRuhl"/>
          <w:rtl/>
        </w:rPr>
        <w:footnoteRef/>
      </w:r>
      <w:r w:rsidRPr="00B26C45">
        <w:rPr>
          <w:rFonts w:ascii="MF FrankRuhl" w:hAnsi="MF FrankRuhl"/>
          <w:rtl/>
        </w:rPr>
        <w:t>.</w:t>
      </w:r>
      <w:r w:rsidRPr="00B26C45">
        <w:rPr>
          <w:rFonts w:ascii="MF FrankRuhl" w:hAnsi="MF FrankRuhl"/>
          <w:rtl/>
        </w:rPr>
        <w:tab/>
      </w:r>
      <w:r w:rsidRPr="00B94F29">
        <w:rPr>
          <w:rtl/>
        </w:rPr>
        <w:t xml:space="preserve">ראו גם לעיל, עמ' </w:t>
      </w:r>
      <w:r>
        <w:rPr>
          <w:rFonts w:hint="cs"/>
          <w:rtl/>
        </w:rPr>
        <w:t>448</w:t>
      </w:r>
      <w:r w:rsidRPr="00B94F29">
        <w:rPr>
          <w:rtl/>
        </w:rPr>
        <w:t>, הערה 1.</w:t>
      </w:r>
    </w:p>
  </w:footnote>
  <w:footnote w:id="30">
    <w:p w14:paraId="2840D7E4" w14:textId="77777777" w:rsidR="00E0044E" w:rsidRPr="00661576" w:rsidRDefault="00E0044E" w:rsidP="00E0044E">
      <w:pPr>
        <w:pStyle w:val="a3"/>
        <w:rPr>
          <w:rtl/>
        </w:rPr>
      </w:pPr>
      <w:r w:rsidRPr="00B26C45">
        <w:rPr>
          <w:rFonts w:ascii="MF FrankRuhl" w:hAnsi="MF FrankRuhl"/>
          <w:rtl/>
        </w:rPr>
        <w:footnoteRef/>
      </w:r>
      <w:r w:rsidRPr="00B26C45">
        <w:rPr>
          <w:rFonts w:ascii="MF FrankRuhl" w:hAnsi="MF FrankRuhl"/>
          <w:rtl/>
        </w:rPr>
        <w:t>.</w:t>
      </w:r>
      <w:r w:rsidRPr="00B26C45">
        <w:rPr>
          <w:rFonts w:ascii="MF FrankRuhl" w:hAnsi="MF FrankRuhl"/>
          <w:rtl/>
        </w:rPr>
        <w:tab/>
      </w:r>
      <w:r w:rsidRPr="00661576">
        <w:rPr>
          <w:rFonts w:hint="cs"/>
          <w:rtl/>
        </w:rPr>
        <w:t>ראו</w:t>
      </w:r>
      <w:r>
        <w:rPr>
          <w:rFonts w:hint="cs"/>
          <w:rtl/>
        </w:rPr>
        <w:t>:</w:t>
      </w:r>
      <w:r w:rsidRPr="00661576">
        <w:rPr>
          <w:rFonts w:hint="cs"/>
          <w:rtl/>
        </w:rPr>
        <w:t xml:space="preserve"> עבודה זרה כה ע"א</w:t>
      </w:r>
      <w:r>
        <w:rPr>
          <w:rFonts w:hint="cs"/>
          <w:rtl/>
        </w:rPr>
        <w:t>. לפי הגמרא</w:t>
      </w:r>
      <w:r w:rsidRPr="00661576">
        <w:rPr>
          <w:rFonts w:hint="cs"/>
          <w:rtl/>
        </w:rPr>
        <w:t xml:space="preserve"> "</w:t>
      </w:r>
      <w:r w:rsidRPr="00231946">
        <w:rPr>
          <w:rtl/>
        </w:rPr>
        <w:t>סֵפֶר הַיָּשָׁר</w:t>
      </w:r>
      <w:r w:rsidRPr="00661576">
        <w:rPr>
          <w:rFonts w:hint="cs"/>
          <w:rtl/>
        </w:rPr>
        <w:t>" בנס השמש בגבעון (יהושע י', יג) הוא ספר האבות "אברהם, יצחק ויעקב שנקראו ישרים", כלומר, שבחירת ה' והשגחתו ניכרת בהם, בדבריהם ובמעשיהם.</w:t>
      </w:r>
    </w:p>
  </w:footnote>
  <w:footnote w:id="31">
    <w:p w14:paraId="5AA7036B" w14:textId="77777777" w:rsidR="00E0044E" w:rsidRPr="00661576" w:rsidRDefault="00E0044E" w:rsidP="00E0044E">
      <w:pPr>
        <w:pStyle w:val="a3"/>
        <w:rPr>
          <w:rtl/>
        </w:rPr>
      </w:pPr>
      <w:r w:rsidRPr="00B26C45">
        <w:rPr>
          <w:rFonts w:ascii="MF FrankRuhl" w:hAnsi="MF FrankRuhl"/>
          <w:rtl/>
        </w:rPr>
        <w:footnoteRef/>
      </w:r>
      <w:r w:rsidRPr="00B26C45">
        <w:rPr>
          <w:rFonts w:ascii="MF FrankRuhl" w:hAnsi="MF FrankRuhl"/>
          <w:rtl/>
        </w:rPr>
        <w:t>.</w:t>
      </w:r>
      <w:r w:rsidRPr="00B26C45">
        <w:rPr>
          <w:rFonts w:ascii="MF FrankRuhl" w:hAnsi="MF FrankRuhl"/>
          <w:rtl/>
        </w:rPr>
        <w:tab/>
      </w:r>
      <w:r w:rsidRPr="00661576">
        <w:rPr>
          <w:rFonts w:hint="cs"/>
          <w:rtl/>
        </w:rPr>
        <w:t>אכן</w:t>
      </w:r>
      <w:r>
        <w:rPr>
          <w:rFonts w:hint="cs"/>
          <w:rtl/>
        </w:rPr>
        <w:t>,</w:t>
      </w:r>
      <w:r w:rsidRPr="00661576">
        <w:rPr>
          <w:rFonts w:hint="cs"/>
          <w:rtl/>
        </w:rPr>
        <w:t xml:space="preserve"> כך הבינו חז"ל</w:t>
      </w:r>
      <w:r>
        <w:rPr>
          <w:rFonts w:hint="cs"/>
          <w:rtl/>
        </w:rPr>
        <w:t>;</w:t>
      </w:r>
      <w:r w:rsidRPr="00661576">
        <w:rPr>
          <w:rFonts w:hint="cs"/>
          <w:rtl/>
        </w:rPr>
        <w:t xml:space="preserve"> ראו</w:t>
      </w:r>
      <w:r>
        <w:rPr>
          <w:rFonts w:hint="cs"/>
          <w:rtl/>
        </w:rPr>
        <w:t>:</w:t>
      </w:r>
      <w:r w:rsidRPr="00661576">
        <w:rPr>
          <w:rFonts w:hint="cs"/>
          <w:rtl/>
        </w:rPr>
        <w:t xml:space="preserve"> מגילה יב ע"א; אסתר רבה פרשה ב ה.</w:t>
      </w:r>
    </w:p>
  </w:footnote>
  <w:footnote w:id="32">
    <w:p w14:paraId="543B058C" w14:textId="77777777" w:rsidR="00E0044E" w:rsidRPr="00661576" w:rsidRDefault="00E0044E" w:rsidP="00E0044E">
      <w:pPr>
        <w:pStyle w:val="a3"/>
        <w:widowControl w:val="0"/>
        <w:rPr>
          <w:rtl/>
        </w:rPr>
      </w:pPr>
      <w:r w:rsidRPr="00B26C45">
        <w:rPr>
          <w:rFonts w:ascii="MF FrankRuhl" w:hAnsi="MF FrankRuhl"/>
          <w:rtl/>
        </w:rPr>
        <w:footnoteRef/>
      </w:r>
      <w:r w:rsidRPr="00B26C45">
        <w:rPr>
          <w:rFonts w:ascii="MF FrankRuhl" w:hAnsi="MF FrankRuhl"/>
          <w:rtl/>
        </w:rPr>
        <w:t>.</w:t>
      </w:r>
      <w:r w:rsidRPr="00B26C45">
        <w:rPr>
          <w:rFonts w:ascii="MF FrankRuhl" w:hAnsi="MF FrankRuhl"/>
          <w:rtl/>
        </w:rPr>
        <w:tab/>
      </w:r>
      <w:r w:rsidRPr="00661576">
        <w:rPr>
          <w:rFonts w:hint="cs"/>
          <w:rtl/>
        </w:rPr>
        <w:t xml:space="preserve">המדרש </w:t>
      </w:r>
      <w:r>
        <w:rPr>
          <w:rFonts w:hint="cs"/>
          <w:rtl/>
        </w:rPr>
        <w:t>(</w:t>
      </w:r>
      <w:r w:rsidRPr="00661576">
        <w:rPr>
          <w:rFonts w:hint="cs"/>
          <w:rtl/>
        </w:rPr>
        <w:t>אסתר רבה פרשה ח ז) ניסח תפילות נפלאות של מרדכי ושל אסתר בסגנון דומה לתפילות של דניאל, עזרא ונחמיה, כאילו בא להשלים את מה שאין במגילה, וחסרונו זועק.</w:t>
      </w:r>
    </w:p>
  </w:footnote>
  <w:footnote w:id="33">
    <w:p w14:paraId="7750B85A" w14:textId="77777777" w:rsidR="00E0044E" w:rsidRPr="00661576" w:rsidRDefault="00E0044E" w:rsidP="00E0044E">
      <w:pPr>
        <w:pStyle w:val="a3"/>
      </w:pPr>
      <w:r w:rsidRPr="00B26C45">
        <w:rPr>
          <w:rFonts w:ascii="MF FrankRuhl" w:hAnsi="MF FrankRuhl"/>
          <w:rtl/>
        </w:rPr>
        <w:footnoteRef/>
      </w:r>
      <w:r w:rsidRPr="00B26C45">
        <w:rPr>
          <w:rFonts w:ascii="MF FrankRuhl" w:hAnsi="MF FrankRuhl"/>
          <w:rtl/>
        </w:rPr>
        <w:t>.</w:t>
      </w:r>
      <w:r w:rsidRPr="00B26C45">
        <w:rPr>
          <w:rFonts w:ascii="MF FrankRuhl" w:hAnsi="MF FrankRuhl"/>
          <w:rtl/>
        </w:rPr>
        <w:tab/>
      </w:r>
      <w:r>
        <w:rPr>
          <w:rFonts w:hint="cs"/>
          <w:rtl/>
        </w:rPr>
        <w:t>הכללת המגילה בתנ"ך הייתה</w:t>
      </w:r>
      <w:r w:rsidRPr="00661576">
        <w:rPr>
          <w:rFonts w:hint="cs"/>
          <w:rtl/>
        </w:rPr>
        <w:t xml:space="preserve"> אחת משתי הבקשות ששלחה אסתר לחכמים לפי שני התלמודים</w:t>
      </w:r>
      <w:r>
        <w:rPr>
          <w:rFonts w:hint="cs"/>
          <w:rtl/>
        </w:rPr>
        <w:t>: "קבעוני לדורות" על ימי הפורים</w:t>
      </w:r>
      <w:r w:rsidRPr="00661576">
        <w:rPr>
          <w:rFonts w:hint="cs"/>
          <w:rtl/>
        </w:rPr>
        <w:t xml:space="preserve"> </w:t>
      </w:r>
      <w:r>
        <w:rPr>
          <w:rFonts w:hint="cs"/>
          <w:rtl/>
        </w:rPr>
        <w:t>ו</w:t>
      </w:r>
      <w:r w:rsidRPr="00661576">
        <w:rPr>
          <w:rFonts w:hint="cs"/>
          <w:rtl/>
        </w:rPr>
        <w:t>"כתבוני לדורות" על המגילה (מגילה ז ע"א; ירושלמי מגילה פ</w:t>
      </w:r>
      <w:r>
        <w:rPr>
          <w:rFonts w:hint="cs"/>
          <w:rtl/>
        </w:rPr>
        <w:t>"</w:t>
      </w:r>
      <w:r w:rsidRPr="00661576">
        <w:rPr>
          <w:rFonts w:hint="cs"/>
          <w:rtl/>
        </w:rPr>
        <w:t>א</w:t>
      </w:r>
      <w:r>
        <w:rPr>
          <w:rFonts w:hint="cs"/>
          <w:rtl/>
        </w:rPr>
        <w:t>, ע ע"ד</w:t>
      </w:r>
      <w:r w:rsidRPr="00661576">
        <w:rPr>
          <w:rFonts w:hint="cs"/>
          <w:rtl/>
        </w:rPr>
        <w:t xml:space="preserve">), ועל כך "היו מצטערין" </w:t>
      </w:r>
      <w:r>
        <w:rPr>
          <w:rFonts w:hint="cs"/>
          <w:rtl/>
        </w:rPr>
        <w:t>שמונים וחמישה זקנים (כלשון הירושלמי שם).</w:t>
      </w:r>
      <w:r w:rsidRPr="00661576">
        <w:rPr>
          <w:rFonts w:hint="cs"/>
          <w:rtl/>
        </w:rPr>
        <w:t xml:space="preserve"> וראו מאמרי </w:t>
      </w:r>
      <w:r>
        <w:rPr>
          <w:rFonts w:hint="cs"/>
          <w:rtl/>
        </w:rPr>
        <w:t xml:space="preserve">'אנשי כנסת הגדולה' </w:t>
      </w:r>
      <w:r w:rsidRPr="00661576">
        <w:rPr>
          <w:rFonts w:hint="cs"/>
          <w:rtl/>
        </w:rPr>
        <w:t>(לעיל</w:t>
      </w:r>
      <w:r>
        <w:rPr>
          <w:rFonts w:hint="cs"/>
          <w:rtl/>
        </w:rPr>
        <w:t>,</w:t>
      </w:r>
      <w:r w:rsidRPr="00661576">
        <w:rPr>
          <w:rFonts w:hint="cs"/>
          <w:rtl/>
        </w:rPr>
        <w:t xml:space="preserve">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Ref415401609 \h</w:instrText>
      </w:r>
      <w:r>
        <w:rPr>
          <w:rtl/>
        </w:rPr>
        <w:instrText xml:space="preserve"> </w:instrText>
      </w:r>
      <w:r>
        <w:rPr>
          <w:rtl/>
        </w:rPr>
      </w:r>
      <w:r>
        <w:rPr>
          <w:rtl/>
        </w:rPr>
        <w:fldChar w:fldCharType="separate"/>
      </w:r>
      <w:r>
        <w:rPr>
          <w:rtl/>
        </w:rPr>
        <w:t>5</w:t>
      </w:r>
      <w:r>
        <w:rPr>
          <w:rtl/>
        </w:rPr>
        <w:fldChar w:fldCharType="end"/>
      </w:r>
      <w:r w:rsidRPr="00661576">
        <w:rPr>
          <w:rFonts w:hint="cs"/>
          <w:rtl/>
        </w:rPr>
        <w:t xml:space="preserve">), ושם הסבר על חילופי האיגרות בסוף </w:t>
      </w:r>
      <w:r>
        <w:rPr>
          <w:rFonts w:hint="cs"/>
          <w:rtl/>
        </w:rPr>
        <w:t>ה</w:t>
      </w:r>
      <w:r w:rsidRPr="00661576">
        <w:rPr>
          <w:rFonts w:hint="cs"/>
          <w:rtl/>
        </w:rPr>
        <w:t>מגיל</w:t>
      </w:r>
      <w:r>
        <w:rPr>
          <w:rFonts w:hint="cs"/>
          <w:rtl/>
        </w:rPr>
        <w:t>ה</w:t>
      </w:r>
      <w:r w:rsidRPr="00661576">
        <w:rPr>
          <w:rFonts w:hint="cs"/>
          <w:rtl/>
        </w:rPr>
        <w:t xml:space="preserve">. </w:t>
      </w:r>
    </w:p>
  </w:footnote>
  <w:footnote w:id="34">
    <w:p w14:paraId="6EBD557F" w14:textId="77777777" w:rsidR="00E0044E" w:rsidRPr="00661576" w:rsidRDefault="00E0044E" w:rsidP="00E0044E">
      <w:pPr>
        <w:pStyle w:val="a3"/>
        <w:rPr>
          <w:rtl/>
        </w:rPr>
      </w:pPr>
      <w:r w:rsidRPr="00B26C45">
        <w:rPr>
          <w:rFonts w:ascii="MF FrankRuhl" w:hAnsi="MF FrankRuhl"/>
          <w:rtl/>
        </w:rPr>
        <w:footnoteRef/>
      </w:r>
      <w:r w:rsidRPr="00B26C45">
        <w:rPr>
          <w:rFonts w:ascii="MF FrankRuhl" w:hAnsi="MF FrankRuhl"/>
          <w:rtl/>
        </w:rPr>
        <w:t>.</w:t>
      </w:r>
      <w:r w:rsidRPr="00B26C45">
        <w:rPr>
          <w:rFonts w:ascii="MF FrankRuhl" w:hAnsi="MF FrankRuhl"/>
          <w:rtl/>
        </w:rPr>
        <w:tab/>
      </w:r>
      <w:r w:rsidRPr="00661576">
        <w:rPr>
          <w:rFonts w:hint="cs"/>
          <w:rtl/>
        </w:rPr>
        <w:t>דריו</w:t>
      </w:r>
      <w:r>
        <w:rPr>
          <w:rFonts w:hint="cs"/>
          <w:rtl/>
        </w:rPr>
        <w:t>ו</w:t>
      </w:r>
      <w:r w:rsidRPr="00661576">
        <w:rPr>
          <w:rFonts w:hint="cs"/>
          <w:rtl/>
        </w:rPr>
        <w:t xml:space="preserve">ש אבי אחשורוש הפך את דת זרתוסטרא לדת המדינה הרשמית של הממלכה. דת זו גורסת שהעולם הוא זירת מאבק בין הורמיז </w:t>
      </w:r>
      <w:r>
        <w:rPr>
          <w:rtl/>
        </w:rPr>
        <w:t>—</w:t>
      </w:r>
      <w:r w:rsidRPr="00661576">
        <w:rPr>
          <w:rFonts w:hint="cs"/>
          <w:rtl/>
        </w:rPr>
        <w:t xml:space="preserve"> האל הטוב, לבין אהורמין </w:t>
      </w:r>
      <w:r>
        <w:rPr>
          <w:rtl/>
        </w:rPr>
        <w:t>—</w:t>
      </w:r>
      <w:r w:rsidRPr="00661576">
        <w:rPr>
          <w:rFonts w:hint="cs"/>
          <w:rtl/>
        </w:rPr>
        <w:t xml:space="preserve"> השטן (רא</w:t>
      </w:r>
      <w:r>
        <w:rPr>
          <w:rFonts w:hint="cs"/>
          <w:rtl/>
        </w:rPr>
        <w:t>ו</w:t>
      </w:r>
      <w:r w:rsidRPr="00661576">
        <w:rPr>
          <w:rFonts w:hint="cs"/>
          <w:rtl/>
        </w:rPr>
        <w:t xml:space="preserve">: ו' דוראנט, </w:t>
      </w:r>
      <w:r w:rsidRPr="00CA128E">
        <w:rPr>
          <w:rFonts w:hint="cs"/>
          <w:b/>
          <w:bCs/>
          <w:rtl/>
        </w:rPr>
        <w:t xml:space="preserve">תולדות התרבות </w:t>
      </w:r>
      <w:r w:rsidRPr="00DC6ED1">
        <w:rPr>
          <w:b/>
          <w:bCs/>
          <w:rtl/>
        </w:rPr>
        <w:t>—</w:t>
      </w:r>
      <w:r w:rsidRPr="00CA128E">
        <w:rPr>
          <w:rFonts w:hint="cs"/>
          <w:b/>
          <w:bCs/>
          <w:rtl/>
        </w:rPr>
        <w:t xml:space="preserve"> מורשת המזרח</w:t>
      </w:r>
      <w:r w:rsidRPr="00661576">
        <w:rPr>
          <w:rFonts w:hint="cs"/>
          <w:rtl/>
        </w:rPr>
        <w:t xml:space="preserve"> א, ירושלים</w:t>
      </w:r>
      <w:r>
        <w:rPr>
          <w:rtl/>
        </w:rPr>
        <w:noBreakHyphen/>
      </w:r>
      <w:r w:rsidRPr="00661576">
        <w:rPr>
          <w:rFonts w:hint="cs"/>
          <w:rtl/>
        </w:rPr>
        <w:t>תל אביב תשכ"ד, עמ' 24</w:t>
      </w:r>
      <w:r>
        <w:rPr>
          <w:rFonts w:hint="cs"/>
          <w:rtl/>
        </w:rPr>
        <w:t>2</w:t>
      </w:r>
      <w:r>
        <w:rPr>
          <w:rtl/>
        </w:rPr>
        <w:noBreakHyphen/>
      </w:r>
      <w:r w:rsidRPr="00661576">
        <w:rPr>
          <w:rFonts w:hint="cs"/>
          <w:rtl/>
        </w:rPr>
        <w:t>24</w:t>
      </w:r>
      <w:r>
        <w:rPr>
          <w:rFonts w:hint="cs"/>
          <w:rtl/>
        </w:rPr>
        <w:t>4</w:t>
      </w:r>
      <w:r w:rsidRPr="00661576">
        <w:rPr>
          <w:rFonts w:hint="cs"/>
          <w:rtl/>
        </w:rPr>
        <w:t>). עיי</w:t>
      </w:r>
      <w:r>
        <w:rPr>
          <w:rFonts w:hint="cs"/>
          <w:rtl/>
        </w:rPr>
        <w:t>נו</w:t>
      </w:r>
      <w:r w:rsidRPr="00661576">
        <w:rPr>
          <w:rFonts w:hint="cs"/>
          <w:rtl/>
        </w:rPr>
        <w:t xml:space="preserve"> בהקשר זה גם בסנהדרין לט ע"א, בוויכוח על הורמיז ואהורמיז, </w:t>
      </w:r>
      <w:r w:rsidRPr="0051308E">
        <w:rPr>
          <w:rtl/>
        </w:rPr>
        <w:t>כחלק ממאבקם של חז"ל נגד כל מה שנראה</w:t>
      </w:r>
      <w:r w:rsidRPr="00661576">
        <w:rPr>
          <w:rFonts w:hint="cs"/>
          <w:rtl/>
        </w:rPr>
        <w:t xml:space="preserve"> כשתי רשויות.</w:t>
      </w:r>
    </w:p>
  </w:footnote>
  <w:footnote w:id="35">
    <w:p w14:paraId="7085CC44" w14:textId="77777777" w:rsidR="00E0044E" w:rsidRPr="00661576" w:rsidRDefault="00E0044E" w:rsidP="00E0044E">
      <w:pPr>
        <w:pStyle w:val="a3"/>
        <w:rPr>
          <w:rtl/>
        </w:rPr>
      </w:pPr>
      <w:r w:rsidRPr="00B26C45">
        <w:rPr>
          <w:rFonts w:ascii="MF FrankRuhl" w:hAnsi="MF FrankRuhl"/>
          <w:rtl/>
        </w:rPr>
        <w:footnoteRef/>
      </w:r>
      <w:r w:rsidRPr="00B26C45">
        <w:rPr>
          <w:rFonts w:ascii="MF FrankRuhl" w:hAnsi="MF FrankRuhl"/>
          <w:rtl/>
        </w:rPr>
        <w:t>.</w:t>
      </w:r>
      <w:r w:rsidRPr="00B26C45">
        <w:rPr>
          <w:rFonts w:ascii="MF FrankRuhl" w:hAnsi="MF FrankRuhl"/>
          <w:rtl/>
        </w:rPr>
        <w:tab/>
      </w:r>
      <w:r w:rsidRPr="00661576">
        <w:rPr>
          <w:rFonts w:hint="cs"/>
          <w:rtl/>
        </w:rPr>
        <w:t>ראו</w:t>
      </w:r>
      <w:r>
        <w:rPr>
          <w:rFonts w:hint="cs"/>
          <w:rtl/>
        </w:rPr>
        <w:t>:</w:t>
      </w:r>
      <w:r w:rsidRPr="00661576">
        <w:rPr>
          <w:rFonts w:hint="cs"/>
          <w:rtl/>
        </w:rPr>
        <w:t xml:space="preserve"> יחזקאל מ', יז ואילך.</w:t>
      </w:r>
    </w:p>
  </w:footnote>
  <w:footnote w:id="36">
    <w:p w14:paraId="57FA3288" w14:textId="77777777" w:rsidR="00E0044E" w:rsidRPr="00661576" w:rsidRDefault="00E0044E" w:rsidP="00E0044E">
      <w:pPr>
        <w:pStyle w:val="a3"/>
        <w:rPr>
          <w:rtl/>
        </w:rPr>
      </w:pPr>
      <w:r w:rsidRPr="00B26C45">
        <w:rPr>
          <w:rFonts w:ascii="MF FrankRuhl" w:hAnsi="MF FrankRuhl"/>
          <w:rtl/>
        </w:rPr>
        <w:footnoteRef/>
      </w:r>
      <w:r w:rsidRPr="00B26C45">
        <w:rPr>
          <w:rFonts w:ascii="MF FrankRuhl" w:hAnsi="MF FrankRuhl"/>
          <w:rtl/>
        </w:rPr>
        <w:t>.</w:t>
      </w:r>
      <w:r w:rsidRPr="00B26C45">
        <w:rPr>
          <w:rFonts w:ascii="MF FrankRuhl" w:hAnsi="MF FrankRuhl"/>
          <w:rtl/>
        </w:rPr>
        <w:tab/>
      </w:r>
      <w:r w:rsidRPr="00661576">
        <w:rPr>
          <w:rFonts w:hint="cs"/>
          <w:rtl/>
        </w:rPr>
        <w:t>מלכי פרס נהגו לכנות את עצמם בתואר 'מלך המלכים'. הרודוטוס (ספר שביעי, 8</w:t>
      </w:r>
      <w:r>
        <w:rPr>
          <w:rFonts w:hint="cs"/>
          <w:rtl/>
        </w:rPr>
        <w:t>, מהד' א' שור, ירושלים תרצ"ה, כרך ב, עמ' 112</w:t>
      </w:r>
      <w:r w:rsidRPr="00661576">
        <w:rPr>
          <w:rFonts w:hint="cs"/>
          <w:rtl/>
        </w:rPr>
        <w:t>) מספר שכאשר עלה אחשורוש לשלטון,</w:t>
      </w:r>
      <w:r>
        <w:rPr>
          <w:rFonts w:hint="cs"/>
          <w:rtl/>
        </w:rPr>
        <w:t xml:space="preserve"> </w:t>
      </w:r>
      <w:r w:rsidRPr="00661576">
        <w:rPr>
          <w:rFonts w:hint="cs"/>
          <w:rtl/>
        </w:rPr>
        <w:t xml:space="preserve">הוא אסף את כל יועציו לדיון על המלחמה ביוון. אחד </w:t>
      </w:r>
      <w:r>
        <w:rPr>
          <w:rFonts w:hint="cs"/>
          <w:rtl/>
        </w:rPr>
        <w:t>מ</w:t>
      </w:r>
      <w:r w:rsidRPr="00661576">
        <w:rPr>
          <w:rFonts w:hint="cs"/>
          <w:rtl/>
        </w:rPr>
        <w:t>נימוקי</w:t>
      </w:r>
      <w:r>
        <w:rPr>
          <w:rFonts w:hint="cs"/>
          <w:rtl/>
        </w:rPr>
        <w:t>ו</w:t>
      </w:r>
      <w:r w:rsidRPr="00661576">
        <w:rPr>
          <w:rFonts w:hint="cs"/>
          <w:rtl/>
        </w:rPr>
        <w:t xml:space="preserve"> בעד המלחמה היה שעל ידי כיבוש יוון שוב לא תביט השמש על שום ארץ </w:t>
      </w:r>
      <w:r>
        <w:rPr>
          <w:rFonts w:hint="cs"/>
          <w:rtl/>
        </w:rPr>
        <w:t xml:space="preserve">מלבד </w:t>
      </w:r>
      <w:r w:rsidRPr="00661576">
        <w:rPr>
          <w:rFonts w:hint="cs"/>
          <w:rtl/>
        </w:rPr>
        <w:t>ממלכתו.</w:t>
      </w:r>
    </w:p>
  </w:footnote>
  <w:footnote w:id="37">
    <w:p w14:paraId="34715F8D" w14:textId="77777777" w:rsidR="00E0044E" w:rsidRPr="00661576" w:rsidRDefault="00E0044E" w:rsidP="00E0044E">
      <w:pPr>
        <w:pStyle w:val="a3"/>
        <w:rPr>
          <w:rtl/>
        </w:rPr>
      </w:pPr>
      <w:r w:rsidRPr="00B26C45">
        <w:rPr>
          <w:rFonts w:ascii="MF FrankRuhl" w:hAnsi="MF FrankRuhl"/>
          <w:rtl/>
        </w:rPr>
        <w:footnoteRef/>
      </w:r>
      <w:r w:rsidRPr="00B26C45">
        <w:rPr>
          <w:rFonts w:ascii="MF FrankRuhl" w:hAnsi="MF FrankRuhl"/>
          <w:rtl/>
        </w:rPr>
        <w:t>.</w:t>
      </w:r>
      <w:r w:rsidRPr="00B26C45">
        <w:rPr>
          <w:rFonts w:ascii="MF FrankRuhl" w:hAnsi="MF FrankRuhl"/>
          <w:rtl/>
        </w:rPr>
        <w:tab/>
      </w:r>
      <w:r w:rsidRPr="00661576">
        <w:rPr>
          <w:rFonts w:hint="cs"/>
          <w:rtl/>
        </w:rPr>
        <w:t>בהק</w:t>
      </w:r>
      <w:r w:rsidRPr="00E548DF">
        <w:rPr>
          <w:rFonts w:hint="cs"/>
          <w:rtl/>
        </w:rPr>
        <w:t>בלות אלה ניתן למצוא מקור לאמירה הנפוצה אצל האחרונים (ראו למשל</w:t>
      </w:r>
      <w:r>
        <w:rPr>
          <w:rFonts w:hint="cs"/>
          <w:rtl/>
        </w:rPr>
        <w:t>:</w:t>
      </w:r>
      <w:r w:rsidRPr="00E548DF">
        <w:rPr>
          <w:rFonts w:hint="cs"/>
          <w:rtl/>
        </w:rPr>
        <w:t xml:space="preserve"> ר' יהודה אריה ליב אלתר מגור, </w:t>
      </w:r>
      <w:r w:rsidRPr="00E548DF">
        <w:rPr>
          <w:rFonts w:hint="cs"/>
          <w:b/>
          <w:bCs/>
          <w:rtl/>
        </w:rPr>
        <w:t>שפת אמת</w:t>
      </w:r>
      <w:r w:rsidRPr="007D330F">
        <w:rPr>
          <w:rFonts w:hint="cs"/>
          <w:rtl/>
        </w:rPr>
        <w:t>, פורי</w:t>
      </w:r>
      <w:r>
        <w:rPr>
          <w:rFonts w:hint="cs"/>
          <w:rtl/>
        </w:rPr>
        <w:t>ם תרל"ה), ש'כי</w:t>
      </w:r>
      <w:r w:rsidRPr="00661576">
        <w:rPr>
          <w:rFonts w:hint="cs"/>
          <w:rtl/>
        </w:rPr>
        <w:t>פורים</w:t>
      </w:r>
      <w:r>
        <w:rPr>
          <w:rFonts w:hint="cs"/>
          <w:rtl/>
        </w:rPr>
        <w:t>'</w:t>
      </w:r>
      <w:r w:rsidRPr="00661576">
        <w:rPr>
          <w:rFonts w:hint="cs"/>
          <w:rtl/>
        </w:rPr>
        <w:t xml:space="preserve"> הוא כְּפו</w:t>
      </w:r>
      <w:r>
        <w:rPr>
          <w:rFonts w:hint="cs"/>
          <w:rtl/>
        </w:rPr>
        <w:t>ּ</w:t>
      </w:r>
      <w:r w:rsidRPr="00661576">
        <w:rPr>
          <w:rFonts w:hint="cs"/>
          <w:rtl/>
        </w:rPr>
        <w:t>רים.</w:t>
      </w:r>
    </w:p>
  </w:footnote>
  <w:footnote w:id="38">
    <w:p w14:paraId="7C6B7D62" w14:textId="77777777" w:rsidR="00E0044E" w:rsidRPr="00661576" w:rsidRDefault="00E0044E" w:rsidP="00E0044E">
      <w:pPr>
        <w:pStyle w:val="a3"/>
      </w:pPr>
      <w:r w:rsidRPr="00B26C45">
        <w:rPr>
          <w:rFonts w:ascii="MF FrankRuhl" w:hAnsi="MF FrankRuhl"/>
          <w:rtl/>
        </w:rPr>
        <w:footnoteRef/>
      </w:r>
      <w:r w:rsidRPr="00B26C45">
        <w:rPr>
          <w:rFonts w:ascii="MF FrankRuhl" w:hAnsi="MF FrankRuhl"/>
          <w:rtl/>
        </w:rPr>
        <w:t>.</w:t>
      </w:r>
      <w:r w:rsidRPr="00B26C45">
        <w:rPr>
          <w:rFonts w:ascii="MF FrankRuhl" w:hAnsi="MF FrankRuhl"/>
          <w:rtl/>
        </w:rPr>
        <w:tab/>
      </w:r>
      <w:r>
        <w:rPr>
          <w:rFonts w:hint="cs"/>
          <w:rtl/>
        </w:rPr>
        <w:t xml:space="preserve">ספר </w:t>
      </w:r>
      <w:r w:rsidRPr="00661576">
        <w:rPr>
          <w:rFonts w:hint="cs"/>
          <w:rtl/>
        </w:rPr>
        <w:t>יחזקאל נפתח בתיאור המראה של מרכבת השכינה הנראית ליחזקאל "</w:t>
      </w:r>
      <w:r w:rsidRPr="007D330F">
        <w:rPr>
          <w:rtl/>
        </w:rPr>
        <w:t>בְּאֶרֶץ כַּשְׂדִּים עַל נְהַר כְּבָר</w:t>
      </w:r>
      <w:r w:rsidRPr="00661576">
        <w:rPr>
          <w:rFonts w:hint="cs"/>
          <w:rtl/>
        </w:rPr>
        <w:t>" (א', ג) בהיותו "</w:t>
      </w:r>
      <w:r w:rsidRPr="00F535B7">
        <w:rPr>
          <w:rtl/>
        </w:rPr>
        <w:t>בְתוֹךְ הַגּוֹלָה</w:t>
      </w:r>
      <w:r w:rsidRPr="00661576">
        <w:rPr>
          <w:rFonts w:hint="cs"/>
          <w:rtl/>
        </w:rPr>
        <w:t>"</w:t>
      </w:r>
      <w:r>
        <w:rPr>
          <w:rFonts w:hint="cs"/>
          <w:rtl/>
        </w:rPr>
        <w:t xml:space="preserve"> (שם, א)</w:t>
      </w:r>
      <w:r w:rsidRPr="00661576">
        <w:rPr>
          <w:rFonts w:hint="cs"/>
          <w:rtl/>
        </w:rPr>
        <w:t>, ובכך הונח היסוד לגלות בבל</w:t>
      </w:r>
      <w:r>
        <w:rPr>
          <w:rFonts w:hint="cs"/>
          <w:rtl/>
        </w:rPr>
        <w:t>.</w:t>
      </w:r>
      <w:r w:rsidRPr="00661576">
        <w:rPr>
          <w:rFonts w:hint="cs"/>
          <w:rtl/>
        </w:rPr>
        <w:t xml:space="preserve"> </w:t>
      </w:r>
      <w:r>
        <w:rPr>
          <w:rFonts w:hint="cs"/>
          <w:rtl/>
        </w:rPr>
        <w:t>בהמשך לכך קבע</w:t>
      </w:r>
      <w:r w:rsidRPr="00661576">
        <w:rPr>
          <w:rFonts w:hint="cs"/>
          <w:rtl/>
        </w:rPr>
        <w:t xml:space="preserve"> ר</w:t>
      </w:r>
      <w:r>
        <w:rPr>
          <w:rFonts w:hint="cs"/>
          <w:rtl/>
        </w:rPr>
        <w:t xml:space="preserve">בי שמעון בר יוחאי, </w:t>
      </w:r>
      <w:r w:rsidRPr="00661576">
        <w:rPr>
          <w:rFonts w:hint="cs"/>
          <w:rtl/>
        </w:rPr>
        <w:t xml:space="preserve">"שבכל מקום שגלו ישראל </w:t>
      </w:r>
      <w:r>
        <w:rPr>
          <w:rtl/>
        </w:rPr>
        <w:t>—</w:t>
      </w:r>
      <w:r>
        <w:rPr>
          <w:rFonts w:hint="cs"/>
          <w:rtl/>
        </w:rPr>
        <w:t xml:space="preserve"> </w:t>
      </w:r>
      <w:r w:rsidRPr="00661576">
        <w:rPr>
          <w:rFonts w:hint="cs"/>
          <w:rtl/>
        </w:rPr>
        <w:t>שכינה עמהן" (מגילה כט ע"א)</w:t>
      </w:r>
      <w:r>
        <w:rPr>
          <w:rFonts w:hint="cs"/>
          <w:rtl/>
        </w:rPr>
        <w:t xml:space="preserve">. </w:t>
      </w:r>
      <w:r w:rsidRPr="00661576">
        <w:rPr>
          <w:rFonts w:hint="cs"/>
          <w:rtl/>
        </w:rPr>
        <w:t xml:space="preserve">סגנון המראות ודרכי ההתגלות ליחזקאל שונות מאלה של כל הנביאים, </w:t>
      </w:r>
      <w:r w:rsidRPr="004640EF">
        <w:rPr>
          <w:rtl/>
        </w:rPr>
        <w:t>אך עדיין שם ה' דומיננטי בנבואתו. לעומת זאת, מגילת אסתר שונה מכל חיבור יהודי אחר בהסתר שם ה' וכל ביטוי של קודש.</w:t>
      </w:r>
    </w:p>
  </w:footnote>
  <w:footnote w:id="39">
    <w:p w14:paraId="42B61EA6" w14:textId="77777777" w:rsidR="00E0044E" w:rsidRDefault="00E0044E" w:rsidP="00E0044E">
      <w:pPr>
        <w:pStyle w:val="a3"/>
        <w:rPr>
          <w:rtl/>
        </w:rPr>
      </w:pPr>
      <w:r w:rsidRPr="00B26C45">
        <w:rPr>
          <w:rFonts w:ascii="MF FrankRuhl" w:hAnsi="MF FrankRuhl"/>
          <w:rtl/>
        </w:rPr>
        <w:footnoteRef/>
      </w:r>
      <w:r w:rsidRPr="00B26C45">
        <w:rPr>
          <w:rFonts w:ascii="MF FrankRuhl" w:hAnsi="MF FrankRuhl"/>
          <w:rtl/>
        </w:rPr>
        <w:t>.</w:t>
      </w:r>
      <w:r w:rsidRPr="00B26C45">
        <w:rPr>
          <w:rFonts w:ascii="MF FrankRuhl" w:hAnsi="MF FrankRuhl"/>
          <w:rtl/>
        </w:rPr>
        <w:tab/>
      </w:r>
      <w:r>
        <w:rPr>
          <w:rFonts w:ascii="MF FrankRuhl" w:hAnsi="MF FrankRuhl" w:hint="cs"/>
          <w:rtl/>
        </w:rPr>
        <w:t xml:space="preserve">ראו: </w:t>
      </w:r>
      <w:r w:rsidRPr="00661576">
        <w:rPr>
          <w:rFonts w:hint="cs"/>
          <w:rtl/>
        </w:rPr>
        <w:t xml:space="preserve">יוסף בן מתתיהו, </w:t>
      </w:r>
      <w:r w:rsidRPr="006763EF">
        <w:rPr>
          <w:rFonts w:hint="cs"/>
          <w:b/>
          <w:bCs/>
          <w:rtl/>
        </w:rPr>
        <w:t>תולדות מלחמת היהודים עם הרומאים</w:t>
      </w:r>
      <w:r>
        <w:rPr>
          <w:rFonts w:hint="cs"/>
          <w:rtl/>
        </w:rPr>
        <w:t xml:space="preserve"> ספר שני יד ד</w:t>
      </w:r>
      <w:r>
        <w:rPr>
          <w:rtl/>
        </w:rPr>
        <w:noBreakHyphen/>
      </w:r>
      <w:r>
        <w:rPr>
          <w:rFonts w:hint="cs"/>
          <w:rtl/>
        </w:rPr>
        <w:t>ה, מהד' שמחוני עמ' 155</w:t>
      </w:r>
      <w:r>
        <w:rPr>
          <w:rtl/>
        </w:rPr>
        <w:noBreakHyphen/>
      </w:r>
      <w:r>
        <w:rPr>
          <w:rFonts w:hint="cs"/>
          <w:rtl/>
        </w:rPr>
        <w:t>156.</w:t>
      </w:r>
    </w:p>
  </w:footnote>
  <w:footnote w:id="40">
    <w:p w14:paraId="5FC29E7E" w14:textId="77777777" w:rsidR="00E0044E" w:rsidRDefault="00E0044E" w:rsidP="00E0044E">
      <w:pPr>
        <w:pStyle w:val="a3"/>
      </w:pPr>
      <w:r w:rsidRPr="00B26C45">
        <w:rPr>
          <w:rFonts w:ascii="MF FrankRuhl" w:hAnsi="MF FrankRuhl"/>
          <w:rtl/>
        </w:rPr>
        <w:footnoteRef/>
      </w:r>
      <w:r w:rsidRPr="00B26C45">
        <w:rPr>
          <w:rFonts w:ascii="MF FrankRuhl" w:hAnsi="MF FrankRuhl"/>
          <w:rtl/>
        </w:rPr>
        <w:t>.</w:t>
      </w:r>
      <w:r w:rsidRPr="00B26C45">
        <w:rPr>
          <w:rFonts w:ascii="MF FrankRuhl" w:hAnsi="MF FrankRuhl"/>
          <w:rtl/>
        </w:rPr>
        <w:tab/>
      </w:r>
      <w:r>
        <w:rPr>
          <w:rFonts w:hint="cs"/>
          <w:rtl/>
        </w:rPr>
        <w:t>ראו: שם יח א</w:t>
      </w:r>
      <w:r>
        <w:rPr>
          <w:rtl/>
        </w:rPr>
        <w:noBreakHyphen/>
      </w:r>
      <w:r>
        <w:rPr>
          <w:rFonts w:hint="cs"/>
          <w:rtl/>
        </w:rPr>
        <w:t>יא, עמ' 173</w:t>
      </w:r>
      <w:r>
        <w:rPr>
          <w:rtl/>
        </w:rPr>
        <w:noBreakHyphen/>
      </w:r>
      <w:r>
        <w:rPr>
          <w:rFonts w:hint="cs"/>
          <w:rtl/>
        </w:rPr>
        <w:t>178.</w:t>
      </w:r>
    </w:p>
  </w:footnote>
  <w:footnote w:id="41">
    <w:p w14:paraId="48473FF5" w14:textId="77777777" w:rsidR="00E0044E" w:rsidRPr="00661576" w:rsidRDefault="00E0044E" w:rsidP="00E0044E">
      <w:pPr>
        <w:pStyle w:val="a3"/>
        <w:rPr>
          <w:rtl/>
        </w:rPr>
      </w:pPr>
      <w:r w:rsidRPr="00B26C45">
        <w:rPr>
          <w:rFonts w:ascii="MF FrankRuhl" w:hAnsi="MF FrankRuhl"/>
          <w:rtl/>
        </w:rPr>
        <w:footnoteRef/>
      </w:r>
      <w:r w:rsidRPr="00B26C45">
        <w:rPr>
          <w:rFonts w:ascii="MF FrankRuhl" w:hAnsi="MF FrankRuhl"/>
          <w:rtl/>
        </w:rPr>
        <w:t>.</w:t>
      </w:r>
      <w:r w:rsidRPr="00B26C45">
        <w:rPr>
          <w:rFonts w:ascii="MF FrankRuhl" w:hAnsi="MF FrankRuhl"/>
          <w:rtl/>
        </w:rPr>
        <w:tab/>
      </w:r>
      <w:r>
        <w:rPr>
          <w:rFonts w:hint="cs"/>
          <w:rtl/>
        </w:rPr>
        <w:t>ב</w:t>
      </w:r>
      <w:r w:rsidRPr="00661576">
        <w:rPr>
          <w:rFonts w:hint="cs"/>
          <w:rtl/>
        </w:rPr>
        <w:t>מקומות מ</w:t>
      </w:r>
      <w:r>
        <w:rPr>
          <w:rFonts w:hint="cs"/>
          <w:rtl/>
        </w:rPr>
        <w:t>ו</w:t>
      </w:r>
      <w:r w:rsidRPr="00661576">
        <w:rPr>
          <w:rFonts w:hint="cs"/>
          <w:rtl/>
        </w:rPr>
        <w:t xml:space="preserve">עטים היה ליהודים כוח מגן, אולם </w:t>
      </w:r>
      <w:r>
        <w:rPr>
          <w:rFonts w:hint="cs"/>
          <w:rtl/>
        </w:rPr>
        <w:t xml:space="preserve">מקומות </w:t>
      </w:r>
      <w:r w:rsidRPr="00661576">
        <w:rPr>
          <w:rFonts w:hint="cs"/>
          <w:rtl/>
        </w:rPr>
        <w:t>אלה היו חריגים.</w:t>
      </w:r>
    </w:p>
  </w:footnote>
  <w:footnote w:id="42">
    <w:p w14:paraId="706D8154" w14:textId="77777777" w:rsidR="00E0044E" w:rsidRPr="00661576" w:rsidRDefault="00E0044E" w:rsidP="00E0044E">
      <w:pPr>
        <w:pStyle w:val="a3"/>
      </w:pPr>
      <w:r w:rsidRPr="00B26C45">
        <w:rPr>
          <w:rFonts w:ascii="MF FrankRuhl" w:hAnsi="MF FrankRuhl"/>
          <w:rtl/>
        </w:rPr>
        <w:footnoteRef/>
      </w:r>
      <w:r w:rsidRPr="00B26C45">
        <w:rPr>
          <w:rFonts w:ascii="MF FrankRuhl" w:hAnsi="MF FrankRuhl"/>
          <w:rtl/>
        </w:rPr>
        <w:t>.</w:t>
      </w:r>
      <w:r w:rsidRPr="00B26C45">
        <w:rPr>
          <w:rFonts w:ascii="MF FrankRuhl" w:hAnsi="MF FrankRuhl"/>
          <w:rtl/>
        </w:rPr>
        <w:tab/>
      </w:r>
      <w:r w:rsidRPr="00661576">
        <w:rPr>
          <w:rFonts w:hint="cs"/>
          <w:rtl/>
        </w:rPr>
        <w:t xml:space="preserve">אחרי ההשמדה הגורפת של יהודים </w:t>
      </w:r>
      <w:r>
        <w:rPr>
          <w:rFonts w:hint="cs"/>
          <w:rtl/>
        </w:rPr>
        <w:t xml:space="preserve">בכל </w:t>
      </w:r>
      <w:r w:rsidRPr="00661576">
        <w:rPr>
          <w:rFonts w:hint="cs"/>
          <w:rtl/>
        </w:rPr>
        <w:t xml:space="preserve">רחבי אירופה, מרוסיה וליטא </w:t>
      </w:r>
      <w:r>
        <w:rPr>
          <w:rFonts w:hint="cs"/>
          <w:rtl/>
        </w:rPr>
        <w:t xml:space="preserve">דרך </w:t>
      </w:r>
      <w:r w:rsidRPr="00661576">
        <w:rPr>
          <w:rFonts w:hint="cs"/>
          <w:rtl/>
        </w:rPr>
        <w:t xml:space="preserve">פולין, צ'כוסלובקיה </w:t>
      </w:r>
      <w:r>
        <w:rPr>
          <w:rFonts w:hint="cs"/>
          <w:rtl/>
        </w:rPr>
        <w:t>ו</w:t>
      </w:r>
      <w:r w:rsidRPr="00661576">
        <w:rPr>
          <w:rFonts w:hint="cs"/>
          <w:rtl/>
        </w:rPr>
        <w:t>גרמניה ועד צרפת, רק הונגריה נותרה מחוץ לשליטה הגרמנית הישירה כמעט עד סוף</w:t>
      </w:r>
      <w:r>
        <w:rPr>
          <w:rFonts w:hint="cs"/>
          <w:rtl/>
        </w:rPr>
        <w:t xml:space="preserve"> המלחמה</w:t>
      </w:r>
      <w:r w:rsidRPr="00661576">
        <w:rPr>
          <w:rFonts w:hint="cs"/>
          <w:rtl/>
        </w:rPr>
        <w:t>. הונגריה נכבשה ב</w:t>
      </w:r>
      <w:r w:rsidRPr="0045490D">
        <w:rPr>
          <w:b/>
          <w:position w:val="10"/>
          <w:rtl/>
        </w:rPr>
        <w:noBreakHyphen/>
      </w:r>
      <w:r w:rsidRPr="00661576">
        <w:rPr>
          <w:rFonts w:hint="cs"/>
          <w:rtl/>
        </w:rPr>
        <w:t xml:space="preserve">19 </w:t>
      </w:r>
      <w:r>
        <w:rPr>
          <w:rFonts w:hint="cs"/>
          <w:rtl/>
        </w:rPr>
        <w:t>במרס</w:t>
      </w:r>
      <w:r w:rsidRPr="00661576">
        <w:rPr>
          <w:rFonts w:hint="cs"/>
          <w:rtl/>
        </w:rPr>
        <w:t xml:space="preserve"> 1944, ואחרי פסח תש"ד התחיל מסע הרכבות להשמד</w:t>
      </w:r>
      <w:r>
        <w:rPr>
          <w:rFonts w:hint="cs"/>
          <w:rtl/>
        </w:rPr>
        <w:t>ת היהודים</w:t>
      </w:r>
      <w:r w:rsidRPr="00661576">
        <w:rPr>
          <w:rFonts w:hint="cs"/>
          <w:rtl/>
        </w:rPr>
        <w:t xml:space="preserve"> מכל הכפרים, הערים והעיירות בקצב נורא של עשרת אלפים איש בכל יום </w:t>
      </w:r>
      <w:r>
        <w:rPr>
          <w:rtl/>
        </w:rPr>
        <w:t>—</w:t>
      </w:r>
      <w:r w:rsidRPr="00661576">
        <w:rPr>
          <w:rFonts w:hint="cs"/>
          <w:rtl/>
        </w:rPr>
        <w:t xml:space="preserve"> עד </w:t>
      </w:r>
      <w:r>
        <w:rPr>
          <w:rFonts w:hint="cs"/>
          <w:rtl/>
        </w:rPr>
        <w:t>שנפסק</w:t>
      </w:r>
      <w:r w:rsidRPr="00661576">
        <w:rPr>
          <w:rFonts w:hint="cs"/>
          <w:rtl/>
        </w:rPr>
        <w:t xml:space="preserve"> שיתוף הפעולה של המשטרה ההונגרית, והשואה נעצרה בשערי בודפשט</w:t>
      </w:r>
      <w:r>
        <w:rPr>
          <w:rFonts w:hint="cs"/>
          <w:rtl/>
        </w:rPr>
        <w:t xml:space="preserve">! </w:t>
      </w:r>
      <w:r w:rsidRPr="00661576">
        <w:rPr>
          <w:rFonts w:hint="cs"/>
          <w:rtl/>
        </w:rPr>
        <w:t xml:space="preserve">מעשי הרצח עוד נמשכו, אבל חלק גדול מיהודי בודפשט ניצל. כך נחתם שינוי היסטורי בחיי היהודים בעולם </w:t>
      </w:r>
      <w:r>
        <w:rPr>
          <w:rtl/>
        </w:rPr>
        <w:t>—</w:t>
      </w:r>
      <w:r w:rsidRPr="00661576">
        <w:rPr>
          <w:rFonts w:hint="cs"/>
          <w:rtl/>
        </w:rPr>
        <w:t xml:space="preserve"> אין עוד קהילות של יהודים ברחבי ארץ</w:t>
      </w:r>
      <w:r>
        <w:rPr>
          <w:rFonts w:hint="cs"/>
          <w:rtl/>
        </w:rPr>
        <w:t xml:space="preserve"> כלשהי</w:t>
      </w:r>
      <w:r w:rsidRPr="00661576">
        <w:rPr>
          <w:rFonts w:hint="cs"/>
          <w:rtl/>
        </w:rPr>
        <w:t>, בעיירות</w:t>
      </w:r>
      <w:r>
        <w:rPr>
          <w:rFonts w:hint="cs"/>
          <w:rtl/>
        </w:rPr>
        <w:t xml:space="preserve"> ובכפרים, חוץ מאשר בארץ ישראל. קהילות חוץ לארץ נותרו בערים גדולות ובינוניות (בתהליכי התבוללות מואצת).</w:t>
      </w:r>
    </w:p>
  </w:footnote>
  <w:footnote w:id="43">
    <w:p w14:paraId="34075FDD" w14:textId="77777777" w:rsidR="00E0044E" w:rsidRPr="00661576" w:rsidRDefault="00E0044E" w:rsidP="00E0044E">
      <w:pPr>
        <w:pStyle w:val="a3"/>
        <w:rPr>
          <w:rtl/>
        </w:rPr>
      </w:pPr>
      <w:r w:rsidRPr="00B26C45">
        <w:rPr>
          <w:rFonts w:ascii="MF FrankRuhl" w:hAnsi="MF FrankRuhl"/>
          <w:rtl/>
        </w:rPr>
        <w:footnoteRef/>
      </w:r>
      <w:r w:rsidRPr="00B26C45">
        <w:rPr>
          <w:rFonts w:ascii="MF FrankRuhl" w:hAnsi="MF FrankRuhl"/>
          <w:rtl/>
        </w:rPr>
        <w:t>.</w:t>
      </w:r>
      <w:r w:rsidRPr="00B26C45">
        <w:rPr>
          <w:rFonts w:ascii="MF FrankRuhl" w:hAnsi="MF FrankRuhl"/>
          <w:rtl/>
        </w:rPr>
        <w:tab/>
      </w:r>
      <w:r w:rsidRPr="00661576">
        <w:rPr>
          <w:rFonts w:hint="cs"/>
          <w:rtl/>
        </w:rPr>
        <w:t xml:space="preserve">בתנועה הציונית ובמוסדות היישוב בארץ ישראל הייתה 'המדינה שבדרך' מציאות חיה </w:t>
      </w:r>
      <w:r>
        <w:rPr>
          <w:rFonts w:hint="cs"/>
          <w:rtl/>
        </w:rPr>
        <w:t xml:space="preserve">עוד </w:t>
      </w:r>
      <w:r w:rsidRPr="00661576">
        <w:rPr>
          <w:rFonts w:hint="cs"/>
          <w:rtl/>
        </w:rPr>
        <w:t>לפני השואה במסגרת 'הבית הלאומי' שהוכר בחבר הלאומים לפי הצהרת בלפור</w:t>
      </w:r>
      <w:r>
        <w:rPr>
          <w:rFonts w:hint="cs"/>
          <w:rtl/>
        </w:rPr>
        <w:t>.</w:t>
      </w:r>
      <w:r w:rsidRPr="00661576">
        <w:rPr>
          <w:rFonts w:hint="cs"/>
          <w:rtl/>
        </w:rPr>
        <w:t xml:space="preserve"> השואה </w:t>
      </w:r>
      <w:r>
        <w:rPr>
          <w:rFonts w:hint="cs"/>
          <w:rtl/>
        </w:rPr>
        <w:t xml:space="preserve">לא </w:t>
      </w:r>
      <w:r w:rsidRPr="00661576">
        <w:rPr>
          <w:rFonts w:hint="cs"/>
          <w:rtl/>
        </w:rPr>
        <w:t xml:space="preserve">הביאה </w:t>
      </w:r>
      <w:r>
        <w:rPr>
          <w:rFonts w:hint="cs"/>
          <w:rtl/>
        </w:rPr>
        <w:t xml:space="preserve">אפוא </w:t>
      </w:r>
      <w:r w:rsidRPr="00661576">
        <w:rPr>
          <w:rFonts w:hint="cs"/>
          <w:rtl/>
        </w:rPr>
        <w:t>להקמת המדינה</w:t>
      </w:r>
      <w:r>
        <w:rPr>
          <w:rFonts w:hint="cs"/>
          <w:rtl/>
        </w:rPr>
        <w:t xml:space="preserve"> </w:t>
      </w:r>
      <w:r>
        <w:rPr>
          <w:rtl/>
        </w:rPr>
        <w:t>—</w:t>
      </w:r>
      <w:r>
        <w:rPr>
          <w:rFonts w:hint="cs"/>
          <w:rtl/>
        </w:rPr>
        <w:t xml:space="preserve"> אדרבא, אבדן היהודים מרחבי אירופה כמעט ה</w:t>
      </w:r>
      <w:r w:rsidRPr="00661576">
        <w:rPr>
          <w:rFonts w:hint="cs"/>
          <w:rtl/>
        </w:rPr>
        <w:t xml:space="preserve">כשיל אותה </w:t>
      </w:r>
      <w:r>
        <w:rPr>
          <w:rtl/>
        </w:rPr>
        <w:t>—</w:t>
      </w:r>
      <w:r w:rsidRPr="00661576">
        <w:rPr>
          <w:rFonts w:hint="cs"/>
          <w:rtl/>
        </w:rPr>
        <w:t xml:space="preserve"> אולם ההכרה הבינלאומית במדינה יהודית עצמאית שיש לה כוח לוחם הבשילה </w:t>
      </w:r>
      <w:r>
        <w:rPr>
          <w:rFonts w:hint="cs"/>
          <w:rtl/>
        </w:rPr>
        <w:t>לדאבוננו רק בעקבות השואה.</w:t>
      </w:r>
    </w:p>
  </w:footnote>
  <w:footnote w:id="44">
    <w:p w14:paraId="19F56DF0" w14:textId="77777777" w:rsidR="00E0044E" w:rsidRDefault="00E0044E" w:rsidP="00E0044E">
      <w:pPr>
        <w:pStyle w:val="a3"/>
      </w:pPr>
      <w:r w:rsidRPr="00B26C45">
        <w:rPr>
          <w:rFonts w:ascii="MF FrankRuhl" w:hAnsi="MF FrankRuhl"/>
          <w:rtl/>
        </w:rPr>
        <w:footnoteRef/>
      </w:r>
      <w:r w:rsidRPr="00B26C45">
        <w:rPr>
          <w:rFonts w:ascii="MF FrankRuhl" w:hAnsi="MF FrankRuhl"/>
          <w:rtl/>
        </w:rPr>
        <w:t>.</w:t>
      </w:r>
      <w:r w:rsidRPr="00B26C45">
        <w:rPr>
          <w:rFonts w:ascii="MF FrankRuhl" w:hAnsi="MF FrankRuhl"/>
          <w:rtl/>
        </w:rPr>
        <w:tab/>
      </w:r>
      <w:r w:rsidRPr="00661576">
        <w:rPr>
          <w:rFonts w:hint="cs"/>
          <w:rtl/>
        </w:rPr>
        <w:t>כמובן, חשוב מכ</w:t>
      </w:r>
      <w:r>
        <w:rPr>
          <w:rFonts w:hint="cs"/>
          <w:rtl/>
        </w:rPr>
        <w:t>ו</w:t>
      </w:r>
      <w:r w:rsidRPr="00661576">
        <w:rPr>
          <w:rFonts w:hint="cs"/>
          <w:rtl/>
        </w:rPr>
        <w:t xml:space="preserve">ל להרבות </w:t>
      </w:r>
      <w:r>
        <w:rPr>
          <w:rFonts w:hint="cs"/>
          <w:rtl/>
        </w:rPr>
        <w:t>ב</w:t>
      </w:r>
      <w:r w:rsidRPr="00661576">
        <w:rPr>
          <w:rFonts w:hint="cs"/>
          <w:rtl/>
        </w:rPr>
        <w:t xml:space="preserve">מתנות לאביונים </w:t>
      </w:r>
      <w:r>
        <w:rPr>
          <w:rFonts w:hint="cs"/>
          <w:rtl/>
        </w:rPr>
        <w:t>ה</w:t>
      </w:r>
      <w:r w:rsidRPr="00661576">
        <w:rPr>
          <w:rFonts w:hint="cs"/>
          <w:rtl/>
        </w:rPr>
        <w:t>נושאים את עיניהם ליום הזה.</w:t>
      </w:r>
    </w:p>
  </w:footnote>
  <w:footnote w:id="45">
    <w:p w14:paraId="7787630E" w14:textId="77777777" w:rsidR="00E0044E" w:rsidRPr="00661576" w:rsidRDefault="00E0044E" w:rsidP="00E0044E">
      <w:pPr>
        <w:pStyle w:val="a3"/>
      </w:pPr>
      <w:r w:rsidRPr="00B26C45">
        <w:rPr>
          <w:rFonts w:ascii="MF FrankRuhl" w:hAnsi="MF FrankRuhl"/>
          <w:rtl/>
        </w:rPr>
        <w:footnoteRef/>
      </w:r>
      <w:r w:rsidRPr="00B26C45">
        <w:rPr>
          <w:rFonts w:ascii="MF FrankRuhl" w:hAnsi="MF FrankRuhl"/>
          <w:rtl/>
        </w:rPr>
        <w:t>.</w:t>
      </w:r>
      <w:r w:rsidRPr="00B26C45">
        <w:rPr>
          <w:rFonts w:ascii="MF FrankRuhl" w:hAnsi="MF FrankRuhl"/>
          <w:rtl/>
        </w:rPr>
        <w:tab/>
      </w:r>
      <w:r w:rsidRPr="00661576">
        <w:rPr>
          <w:rFonts w:hint="cs"/>
          <w:rtl/>
        </w:rPr>
        <w:t>האו"ם וארגונים בינלאומיים מקפידים להשמיע אזהרות בוטות נגד מדיניות ההתגוננות של מדינת ישראל (יותר מאשר נגד כל מדינה בעולם) בכל פעם שנראה להם כי ישראל חורגת מהפעולה נגד "</w:t>
      </w:r>
      <w:r w:rsidRPr="00D7255E">
        <w:rPr>
          <w:rtl/>
        </w:rPr>
        <w:t>כָּל חֵיל עַם וּמְדִינָה הַצָּרִים אֹתָם</w:t>
      </w:r>
      <w:r w:rsidRPr="00661576">
        <w:rPr>
          <w:rFonts w:hint="cs"/>
          <w:rtl/>
        </w:rPr>
        <w:t>", וגם תופעה זו ראויה לעיון.</w:t>
      </w:r>
    </w:p>
  </w:footnote>
  <w:footnote w:id="46">
    <w:p w14:paraId="1FF00C3F" w14:textId="77777777" w:rsidR="00E0044E" w:rsidRPr="00661576" w:rsidRDefault="00E0044E" w:rsidP="00E0044E">
      <w:pPr>
        <w:pStyle w:val="a3"/>
      </w:pPr>
      <w:r w:rsidRPr="00B26C45">
        <w:rPr>
          <w:rFonts w:ascii="MF FrankRuhl" w:hAnsi="MF FrankRuhl"/>
          <w:rtl/>
        </w:rPr>
        <w:footnoteRef/>
      </w:r>
      <w:r w:rsidRPr="00B26C45">
        <w:rPr>
          <w:rFonts w:ascii="MF FrankRuhl" w:hAnsi="MF FrankRuhl"/>
          <w:rtl/>
        </w:rPr>
        <w:t>.</w:t>
      </w:r>
      <w:r w:rsidRPr="00B26C45">
        <w:rPr>
          <w:rFonts w:ascii="MF FrankRuhl" w:hAnsi="MF FrankRuhl"/>
          <w:rtl/>
        </w:rPr>
        <w:tab/>
      </w:r>
      <w:r w:rsidRPr="00661576">
        <w:rPr>
          <w:rFonts w:hint="cs"/>
          <w:rtl/>
        </w:rPr>
        <w:t xml:space="preserve">ראו ספרי </w:t>
      </w:r>
      <w:r w:rsidRPr="00D7255E">
        <w:rPr>
          <w:rFonts w:hint="cs"/>
          <w:b/>
          <w:bCs/>
          <w:rtl/>
        </w:rPr>
        <w:t>נס קיבוץ גלויות</w:t>
      </w:r>
      <w:r w:rsidRPr="00661576">
        <w:rPr>
          <w:rFonts w:hint="cs"/>
          <w:rtl/>
        </w:rPr>
        <w:t>, תל</w:t>
      </w:r>
      <w:r>
        <w:rPr>
          <w:rFonts w:hint="cs"/>
          <w:rtl/>
        </w:rPr>
        <w:t xml:space="preserve"> </w:t>
      </w:r>
      <w:r w:rsidRPr="00661576">
        <w:rPr>
          <w:rFonts w:hint="cs"/>
          <w:rtl/>
        </w:rPr>
        <w:t>אביב תשע"א.</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0543332B" w:rsidR="00680CBB" w:rsidRDefault="00680CBB" w:rsidP="0003325C">
    <w:pPr>
      <w:pStyle w:val="a6"/>
      <w:jc w:val="center"/>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7D71ED">
      <w:rPr>
        <w:noProof/>
        <w:rtl/>
      </w:rPr>
      <w:t>9</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660A0572" w:rsidR="007769B1" w:rsidRPr="006216C9" w:rsidRDefault="00E0044E" w:rsidP="00655453">
          <w:pPr>
            <w:spacing w:after="0"/>
            <w:rPr>
              <w:rFonts w:hint="cs"/>
              <w:sz w:val="22"/>
              <w:szCs w:val="22"/>
              <w:rtl/>
            </w:rPr>
          </w:pPr>
          <w:r>
            <w:rPr>
              <w:rFonts w:hint="cs"/>
              <w:sz w:val="22"/>
              <w:szCs w:val="22"/>
              <w:rtl/>
            </w:rPr>
            <w:t>שיעורים לכבוד חג הפורים</w:t>
          </w:r>
        </w:p>
      </w:tc>
      <w:tc>
        <w:tcPr>
          <w:tcW w:w="3348" w:type="dxa"/>
          <w:tcBorders>
            <w:bottom w:val="double" w:sz="4" w:space="0" w:color="auto"/>
          </w:tcBorders>
          <w:vAlign w:val="center"/>
        </w:tcPr>
        <w:p w14:paraId="7D40D3BB" w14:textId="64583192" w:rsidR="007769B1" w:rsidRPr="006216C9" w:rsidRDefault="00E0044E" w:rsidP="006216C9">
          <w:pPr>
            <w:bidi w:val="0"/>
            <w:spacing w:after="0"/>
            <w:rPr>
              <w:sz w:val="22"/>
              <w:szCs w:val="22"/>
            </w:rPr>
          </w:pPr>
          <w:r>
            <w:rPr>
              <w:sz w:val="22"/>
              <w:szCs w:val="22"/>
            </w:rPr>
            <w:t>www.</w:t>
          </w:r>
          <w:r w:rsidR="007769B1" w:rsidRPr="006216C9">
            <w:rPr>
              <w:sz w:val="22"/>
              <w:szCs w:val="22"/>
            </w:rPr>
            <w:t>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15437"/>
    <w:rsid w:val="00015C4E"/>
    <w:rsid w:val="00017774"/>
    <w:rsid w:val="00026734"/>
    <w:rsid w:val="00032E49"/>
    <w:rsid w:val="0003325C"/>
    <w:rsid w:val="00040A12"/>
    <w:rsid w:val="00043F83"/>
    <w:rsid w:val="00056413"/>
    <w:rsid w:val="00057741"/>
    <w:rsid w:val="00062C83"/>
    <w:rsid w:val="0006305C"/>
    <w:rsid w:val="00072052"/>
    <w:rsid w:val="00074142"/>
    <w:rsid w:val="0007734B"/>
    <w:rsid w:val="000773F4"/>
    <w:rsid w:val="000845ED"/>
    <w:rsid w:val="00086970"/>
    <w:rsid w:val="000A1BE6"/>
    <w:rsid w:val="000A202F"/>
    <w:rsid w:val="000A56FC"/>
    <w:rsid w:val="000A5D16"/>
    <w:rsid w:val="000A7A3E"/>
    <w:rsid w:val="000C5EDE"/>
    <w:rsid w:val="000D25BF"/>
    <w:rsid w:val="000D4260"/>
    <w:rsid w:val="000E3B5A"/>
    <w:rsid w:val="000F641A"/>
    <w:rsid w:val="001051EE"/>
    <w:rsid w:val="00106143"/>
    <w:rsid w:val="001162A4"/>
    <w:rsid w:val="00120E03"/>
    <w:rsid w:val="00122E5A"/>
    <w:rsid w:val="00125BFF"/>
    <w:rsid w:val="00130F07"/>
    <w:rsid w:val="00144C37"/>
    <w:rsid w:val="00146C1D"/>
    <w:rsid w:val="00151E01"/>
    <w:rsid w:val="001571DB"/>
    <w:rsid w:val="00160BB3"/>
    <w:rsid w:val="001615CD"/>
    <w:rsid w:val="00163EE5"/>
    <w:rsid w:val="00171247"/>
    <w:rsid w:val="00172D55"/>
    <w:rsid w:val="00175D42"/>
    <w:rsid w:val="001771DB"/>
    <w:rsid w:val="001820F1"/>
    <w:rsid w:val="001852B1"/>
    <w:rsid w:val="0018776A"/>
    <w:rsid w:val="00190FEA"/>
    <w:rsid w:val="001A5C79"/>
    <w:rsid w:val="001A6573"/>
    <w:rsid w:val="001B0107"/>
    <w:rsid w:val="001B7F24"/>
    <w:rsid w:val="001C1CAA"/>
    <w:rsid w:val="001C2B08"/>
    <w:rsid w:val="001C4E63"/>
    <w:rsid w:val="001E1D48"/>
    <w:rsid w:val="001E3883"/>
    <w:rsid w:val="002115E2"/>
    <w:rsid w:val="00211DA7"/>
    <w:rsid w:val="00214428"/>
    <w:rsid w:val="00223CEC"/>
    <w:rsid w:val="00226657"/>
    <w:rsid w:val="002314D2"/>
    <w:rsid w:val="0025188F"/>
    <w:rsid w:val="00252934"/>
    <w:rsid w:val="00254CCB"/>
    <w:rsid w:val="00260AA2"/>
    <w:rsid w:val="002635D1"/>
    <w:rsid w:val="00267C22"/>
    <w:rsid w:val="002744D7"/>
    <w:rsid w:val="00281070"/>
    <w:rsid w:val="002826F7"/>
    <w:rsid w:val="00293BED"/>
    <w:rsid w:val="0029412F"/>
    <w:rsid w:val="002A26CA"/>
    <w:rsid w:val="002A7264"/>
    <w:rsid w:val="002B33FB"/>
    <w:rsid w:val="002B3B0F"/>
    <w:rsid w:val="002B4D51"/>
    <w:rsid w:val="002B6CA6"/>
    <w:rsid w:val="002C1893"/>
    <w:rsid w:val="002C33E6"/>
    <w:rsid w:val="002D22C4"/>
    <w:rsid w:val="002E0589"/>
    <w:rsid w:val="002E098C"/>
    <w:rsid w:val="002E0D3F"/>
    <w:rsid w:val="002E417E"/>
    <w:rsid w:val="002E65D7"/>
    <w:rsid w:val="00304682"/>
    <w:rsid w:val="00307245"/>
    <w:rsid w:val="003128B3"/>
    <w:rsid w:val="00323FBD"/>
    <w:rsid w:val="00324177"/>
    <w:rsid w:val="00324BEF"/>
    <w:rsid w:val="003403F3"/>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2080"/>
    <w:rsid w:val="003D7E06"/>
    <w:rsid w:val="003E3654"/>
    <w:rsid w:val="003E6B7E"/>
    <w:rsid w:val="003E7DF7"/>
    <w:rsid w:val="003F0F92"/>
    <w:rsid w:val="003F600B"/>
    <w:rsid w:val="00405665"/>
    <w:rsid w:val="00413028"/>
    <w:rsid w:val="004148C3"/>
    <w:rsid w:val="00421EAB"/>
    <w:rsid w:val="00431FA5"/>
    <w:rsid w:val="00432922"/>
    <w:rsid w:val="0043603A"/>
    <w:rsid w:val="00440618"/>
    <w:rsid w:val="00475741"/>
    <w:rsid w:val="00476985"/>
    <w:rsid w:val="00476D9D"/>
    <w:rsid w:val="00477C74"/>
    <w:rsid w:val="00484DA1"/>
    <w:rsid w:val="0049613D"/>
    <w:rsid w:val="004A2571"/>
    <w:rsid w:val="004A4A66"/>
    <w:rsid w:val="004D0C20"/>
    <w:rsid w:val="004D58FC"/>
    <w:rsid w:val="004F2997"/>
    <w:rsid w:val="004F7707"/>
    <w:rsid w:val="005018AB"/>
    <w:rsid w:val="005221B7"/>
    <w:rsid w:val="00526F83"/>
    <w:rsid w:val="005342F8"/>
    <w:rsid w:val="00537C4E"/>
    <w:rsid w:val="005515D3"/>
    <w:rsid w:val="00557B56"/>
    <w:rsid w:val="00560304"/>
    <w:rsid w:val="005615C3"/>
    <w:rsid w:val="0057194E"/>
    <w:rsid w:val="00576198"/>
    <w:rsid w:val="00577861"/>
    <w:rsid w:val="005932A1"/>
    <w:rsid w:val="00594E10"/>
    <w:rsid w:val="005A4E5A"/>
    <w:rsid w:val="005C06E5"/>
    <w:rsid w:val="005C53F3"/>
    <w:rsid w:val="005C5B0A"/>
    <w:rsid w:val="005D4972"/>
    <w:rsid w:val="005D5DBD"/>
    <w:rsid w:val="005E50E0"/>
    <w:rsid w:val="005E65BE"/>
    <w:rsid w:val="005F7954"/>
    <w:rsid w:val="00603920"/>
    <w:rsid w:val="00607423"/>
    <w:rsid w:val="006126F5"/>
    <w:rsid w:val="00612A40"/>
    <w:rsid w:val="006216C9"/>
    <w:rsid w:val="0062196F"/>
    <w:rsid w:val="00622528"/>
    <w:rsid w:val="0062477E"/>
    <w:rsid w:val="00625DC3"/>
    <w:rsid w:val="0063660F"/>
    <w:rsid w:val="00640ED2"/>
    <w:rsid w:val="0064335B"/>
    <w:rsid w:val="00643B0D"/>
    <w:rsid w:val="0065284D"/>
    <w:rsid w:val="00655453"/>
    <w:rsid w:val="00664FE2"/>
    <w:rsid w:val="00666CEB"/>
    <w:rsid w:val="00670F7F"/>
    <w:rsid w:val="00680CBB"/>
    <w:rsid w:val="006860DF"/>
    <w:rsid w:val="00692B3F"/>
    <w:rsid w:val="006A086B"/>
    <w:rsid w:val="006A4F72"/>
    <w:rsid w:val="006B09D1"/>
    <w:rsid w:val="006B648A"/>
    <w:rsid w:val="006C1C74"/>
    <w:rsid w:val="006C2BC2"/>
    <w:rsid w:val="006D12A4"/>
    <w:rsid w:val="006D74BE"/>
    <w:rsid w:val="006E3F9D"/>
    <w:rsid w:val="006F016B"/>
    <w:rsid w:val="00701021"/>
    <w:rsid w:val="00711334"/>
    <w:rsid w:val="0072125D"/>
    <w:rsid w:val="00731FFA"/>
    <w:rsid w:val="00732736"/>
    <w:rsid w:val="00737519"/>
    <w:rsid w:val="00743AC7"/>
    <w:rsid w:val="00760C49"/>
    <w:rsid w:val="007738DC"/>
    <w:rsid w:val="00773907"/>
    <w:rsid w:val="007763BC"/>
    <w:rsid w:val="007769B1"/>
    <w:rsid w:val="0077787E"/>
    <w:rsid w:val="00781669"/>
    <w:rsid w:val="0079116D"/>
    <w:rsid w:val="007915D4"/>
    <w:rsid w:val="00794A2B"/>
    <w:rsid w:val="007A3B6C"/>
    <w:rsid w:val="007A3EDF"/>
    <w:rsid w:val="007A5439"/>
    <w:rsid w:val="007B118B"/>
    <w:rsid w:val="007B2890"/>
    <w:rsid w:val="007B5D21"/>
    <w:rsid w:val="007C0DC9"/>
    <w:rsid w:val="007C2346"/>
    <w:rsid w:val="007C7C70"/>
    <w:rsid w:val="007D5680"/>
    <w:rsid w:val="007D71ED"/>
    <w:rsid w:val="007E7BBB"/>
    <w:rsid w:val="007F0B79"/>
    <w:rsid w:val="007F2116"/>
    <w:rsid w:val="007F5B3A"/>
    <w:rsid w:val="00810D7F"/>
    <w:rsid w:val="00820E72"/>
    <w:rsid w:val="00827253"/>
    <w:rsid w:val="00827967"/>
    <w:rsid w:val="008309A4"/>
    <w:rsid w:val="0086497F"/>
    <w:rsid w:val="00880F6C"/>
    <w:rsid w:val="00890769"/>
    <w:rsid w:val="00896063"/>
    <w:rsid w:val="00896BDB"/>
    <w:rsid w:val="00897D94"/>
    <w:rsid w:val="008A0C18"/>
    <w:rsid w:val="008A5995"/>
    <w:rsid w:val="008C0A08"/>
    <w:rsid w:val="008C169E"/>
    <w:rsid w:val="008C1C3B"/>
    <w:rsid w:val="008D059F"/>
    <w:rsid w:val="008D1AC0"/>
    <w:rsid w:val="008E2357"/>
    <w:rsid w:val="008E644F"/>
    <w:rsid w:val="008F1D1E"/>
    <w:rsid w:val="008F503B"/>
    <w:rsid w:val="008F62ED"/>
    <w:rsid w:val="00901EEB"/>
    <w:rsid w:val="009179AD"/>
    <w:rsid w:val="0092030C"/>
    <w:rsid w:val="00922523"/>
    <w:rsid w:val="00932665"/>
    <w:rsid w:val="00933CB5"/>
    <w:rsid w:val="0094617E"/>
    <w:rsid w:val="00950244"/>
    <w:rsid w:val="0095654A"/>
    <w:rsid w:val="009565EF"/>
    <w:rsid w:val="009611B3"/>
    <w:rsid w:val="009737F2"/>
    <w:rsid w:val="009757AF"/>
    <w:rsid w:val="009769CF"/>
    <w:rsid w:val="00991E43"/>
    <w:rsid w:val="009929C4"/>
    <w:rsid w:val="009978F6"/>
    <w:rsid w:val="009A0332"/>
    <w:rsid w:val="009A06CD"/>
    <w:rsid w:val="009A0FB2"/>
    <w:rsid w:val="009B1EE6"/>
    <w:rsid w:val="009B2B8D"/>
    <w:rsid w:val="009C15BC"/>
    <w:rsid w:val="009C7DF2"/>
    <w:rsid w:val="009D18C3"/>
    <w:rsid w:val="009D49AE"/>
    <w:rsid w:val="009D5EF8"/>
    <w:rsid w:val="009F4A07"/>
    <w:rsid w:val="009F61BF"/>
    <w:rsid w:val="00A04FE1"/>
    <w:rsid w:val="00A058B1"/>
    <w:rsid w:val="00A05A94"/>
    <w:rsid w:val="00A11992"/>
    <w:rsid w:val="00A125BF"/>
    <w:rsid w:val="00A16E40"/>
    <w:rsid w:val="00A17DAF"/>
    <w:rsid w:val="00A34ADA"/>
    <w:rsid w:val="00A3624F"/>
    <w:rsid w:val="00A4449A"/>
    <w:rsid w:val="00A45ECB"/>
    <w:rsid w:val="00A47B1D"/>
    <w:rsid w:val="00A51A07"/>
    <w:rsid w:val="00A70ABB"/>
    <w:rsid w:val="00A74AB1"/>
    <w:rsid w:val="00AA4FCC"/>
    <w:rsid w:val="00AA6B58"/>
    <w:rsid w:val="00AB39B7"/>
    <w:rsid w:val="00AB415E"/>
    <w:rsid w:val="00AB6820"/>
    <w:rsid w:val="00AC2A83"/>
    <w:rsid w:val="00AC2DE1"/>
    <w:rsid w:val="00AD10A8"/>
    <w:rsid w:val="00AE1049"/>
    <w:rsid w:val="00AF38C2"/>
    <w:rsid w:val="00AF5356"/>
    <w:rsid w:val="00B01054"/>
    <w:rsid w:val="00B015B2"/>
    <w:rsid w:val="00B048C7"/>
    <w:rsid w:val="00B06009"/>
    <w:rsid w:val="00B163C7"/>
    <w:rsid w:val="00B16C72"/>
    <w:rsid w:val="00B16F98"/>
    <w:rsid w:val="00B23221"/>
    <w:rsid w:val="00B2401C"/>
    <w:rsid w:val="00B24B4D"/>
    <w:rsid w:val="00B265C9"/>
    <w:rsid w:val="00B307A7"/>
    <w:rsid w:val="00B35366"/>
    <w:rsid w:val="00B36EAE"/>
    <w:rsid w:val="00B46B08"/>
    <w:rsid w:val="00B52823"/>
    <w:rsid w:val="00B54C6C"/>
    <w:rsid w:val="00B63885"/>
    <w:rsid w:val="00B74501"/>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354A3"/>
    <w:rsid w:val="00C52156"/>
    <w:rsid w:val="00C5501D"/>
    <w:rsid w:val="00C55677"/>
    <w:rsid w:val="00C5614D"/>
    <w:rsid w:val="00C568B6"/>
    <w:rsid w:val="00C6058B"/>
    <w:rsid w:val="00C72129"/>
    <w:rsid w:val="00C83636"/>
    <w:rsid w:val="00C96E9D"/>
    <w:rsid w:val="00CA437A"/>
    <w:rsid w:val="00CB2FAC"/>
    <w:rsid w:val="00CB57A1"/>
    <w:rsid w:val="00CC5DA5"/>
    <w:rsid w:val="00CD5CB8"/>
    <w:rsid w:val="00CD7181"/>
    <w:rsid w:val="00CE2C48"/>
    <w:rsid w:val="00CE7E7C"/>
    <w:rsid w:val="00CF0678"/>
    <w:rsid w:val="00CF3213"/>
    <w:rsid w:val="00CF67A5"/>
    <w:rsid w:val="00D02643"/>
    <w:rsid w:val="00D037D3"/>
    <w:rsid w:val="00D0716C"/>
    <w:rsid w:val="00D139EF"/>
    <w:rsid w:val="00D159EB"/>
    <w:rsid w:val="00D347EF"/>
    <w:rsid w:val="00D356BC"/>
    <w:rsid w:val="00D47C2F"/>
    <w:rsid w:val="00D57205"/>
    <w:rsid w:val="00D61AEB"/>
    <w:rsid w:val="00D61D45"/>
    <w:rsid w:val="00D64984"/>
    <w:rsid w:val="00D67641"/>
    <w:rsid w:val="00D73A0A"/>
    <w:rsid w:val="00D774DD"/>
    <w:rsid w:val="00D81D06"/>
    <w:rsid w:val="00D84B04"/>
    <w:rsid w:val="00D8770D"/>
    <w:rsid w:val="00DA0136"/>
    <w:rsid w:val="00DB0322"/>
    <w:rsid w:val="00DB6C23"/>
    <w:rsid w:val="00DC775F"/>
    <w:rsid w:val="00DD08BF"/>
    <w:rsid w:val="00DD4BCD"/>
    <w:rsid w:val="00DE1653"/>
    <w:rsid w:val="00DE73FF"/>
    <w:rsid w:val="00DF5A0E"/>
    <w:rsid w:val="00E0044E"/>
    <w:rsid w:val="00E00BC5"/>
    <w:rsid w:val="00E06D13"/>
    <w:rsid w:val="00E10E63"/>
    <w:rsid w:val="00E413D7"/>
    <w:rsid w:val="00E439D4"/>
    <w:rsid w:val="00E4747F"/>
    <w:rsid w:val="00E63C2D"/>
    <w:rsid w:val="00E722C5"/>
    <w:rsid w:val="00E72351"/>
    <w:rsid w:val="00E77019"/>
    <w:rsid w:val="00E821CF"/>
    <w:rsid w:val="00E84C14"/>
    <w:rsid w:val="00E86FBD"/>
    <w:rsid w:val="00E90750"/>
    <w:rsid w:val="00E938A1"/>
    <w:rsid w:val="00E9649B"/>
    <w:rsid w:val="00EA4D37"/>
    <w:rsid w:val="00EB35D2"/>
    <w:rsid w:val="00EB5053"/>
    <w:rsid w:val="00EC4F4D"/>
    <w:rsid w:val="00ED6810"/>
    <w:rsid w:val="00ED7E69"/>
    <w:rsid w:val="00ED7E8E"/>
    <w:rsid w:val="00EE65AA"/>
    <w:rsid w:val="00EF1289"/>
    <w:rsid w:val="00EF3ADE"/>
    <w:rsid w:val="00F06356"/>
    <w:rsid w:val="00F12266"/>
    <w:rsid w:val="00F20EA0"/>
    <w:rsid w:val="00F3187A"/>
    <w:rsid w:val="00F3664E"/>
    <w:rsid w:val="00F43965"/>
    <w:rsid w:val="00F57159"/>
    <w:rsid w:val="00F64205"/>
    <w:rsid w:val="00F749E4"/>
    <w:rsid w:val="00F77CC4"/>
    <w:rsid w:val="00F82312"/>
    <w:rsid w:val="00F831F1"/>
    <w:rsid w:val="00F8507B"/>
    <w:rsid w:val="00F920C3"/>
    <w:rsid w:val="00FC05EF"/>
    <w:rsid w:val="00FC5F16"/>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תו תו תו, תו"/>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תו תו"/>
    <w:link w:val="a3"/>
    <w:rsid w:val="00484DA1"/>
    <w:rPr>
      <w:rFonts w:ascii="Narkisim" w:eastAsia="Narkisim" w:hAnsi="Narkisim" w:cs="Narkisim"/>
      <w:position w:val="6"/>
      <w:sz w:val="18"/>
      <w:szCs w:val="18"/>
    </w:rPr>
  </w:style>
  <w:style w:type="character" w:styleId="a5">
    <w:name w:val="footnote reference"/>
    <w:aliases w:val="Footnote Reference"/>
    <w:qFormat/>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unhideWhenUsed/>
    <w:rsid w:val="00896BDB"/>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rsid w:val="00896BDB"/>
    <w:rPr>
      <w:rFonts w:ascii="Book Antiqua" w:hAnsi="Book Antiqua" w:cs="Aharoni"/>
      <w:sz w:val="32"/>
      <w:szCs w:val="32"/>
    </w:rPr>
  </w:style>
  <w:style w:type="paragraph" w:customStyle="1" w:styleId="31">
    <w:name w:val="כותרת משנה 3"/>
    <w:basedOn w:val="a"/>
    <w:next w:val="a"/>
    <w:uiPriority w:val="7"/>
    <w:qFormat/>
    <w:rsid w:val="00E0044E"/>
    <w:pPr>
      <w:keepNext/>
      <w:tabs>
        <w:tab w:val="clear" w:pos="4620"/>
      </w:tabs>
      <w:spacing w:before="312" w:line="312" w:lineRule="exact"/>
    </w:pPr>
    <w:rPr>
      <w:rFonts w:ascii="Times New Roman" w:eastAsiaTheme="minorEastAsia" w:hAnsi="Times New Roman" w:cs="MF FrankRuhl"/>
      <w:bCs/>
      <w:sz w:val="21"/>
      <w:szCs w:val="23"/>
    </w:rPr>
  </w:style>
  <w:style w:type="paragraph" w:customStyle="1" w:styleId="13">
    <w:name w:val="רגיל1"/>
    <w:basedOn w:val="a"/>
    <w:qFormat/>
    <w:rsid w:val="00E0044E"/>
    <w:pPr>
      <w:tabs>
        <w:tab w:val="clear" w:pos="4620"/>
        <w:tab w:val="left" w:pos="357"/>
        <w:tab w:val="left" w:pos="720"/>
        <w:tab w:val="left" w:pos="1077"/>
        <w:tab w:val="left" w:pos="1435"/>
        <w:tab w:val="left" w:pos="1797"/>
        <w:tab w:val="left" w:pos="2155"/>
      </w:tabs>
      <w:spacing w:after="0" w:line="312" w:lineRule="exact"/>
      <w:ind w:firstLine="357"/>
    </w:pPr>
    <w:rPr>
      <w:rFonts w:ascii="Times New Roman" w:hAnsi="Times New Roman" w:cs="FrankRuehl"/>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058D1-E212-4CF1-AE1D-B2A8A364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3981</Words>
  <Characters>20172</Characters>
  <Application>Microsoft Office Word</Application>
  <DocSecurity>0</DocSecurity>
  <Lines>168</Lines>
  <Paragraphs>48</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24105</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דבורה ברקוביץ</cp:lastModifiedBy>
  <cp:revision>2</cp:revision>
  <cp:lastPrinted>2001-10-24T10:13:00Z</cp:lastPrinted>
  <dcterms:created xsi:type="dcterms:W3CDTF">2019-03-18T10:51:00Z</dcterms:created>
  <dcterms:modified xsi:type="dcterms:W3CDTF">2019-03-18T10:51:00Z</dcterms:modified>
</cp:coreProperties>
</file>