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E8" w:rsidRPr="00731839" w:rsidRDefault="009600E8" w:rsidP="009600E8">
      <w:pPr>
        <w:pStyle w:val="a9"/>
        <w:spacing w:line="240" w:lineRule="auto"/>
        <w:ind w:left="0"/>
        <w:jc w:val="center"/>
        <w:rPr>
          <w:rFonts w:ascii="Arial" w:hAnsi="Arial" w:cs="Arial"/>
          <w:caps/>
          <w:sz w:val="24"/>
          <w:szCs w:val="24"/>
        </w:rPr>
      </w:pPr>
      <w:r w:rsidRPr="00731839">
        <w:rPr>
          <w:rFonts w:ascii="Arial" w:hAnsi="Arial" w:cs="Arial"/>
          <w:caps/>
          <w:sz w:val="24"/>
          <w:szCs w:val="24"/>
          <w:lang w:val="en-GB"/>
        </w:rPr>
        <w:t>YESHIVAT HAR ETZION</w:t>
      </w:r>
    </w:p>
    <w:p w:rsidR="009600E8" w:rsidRPr="00731839" w:rsidRDefault="009600E8" w:rsidP="009600E8">
      <w:pPr>
        <w:spacing w:line="240" w:lineRule="auto"/>
        <w:jc w:val="center"/>
        <w:rPr>
          <w:rFonts w:ascii="Arial" w:hAnsi="Arial" w:cs="Arial"/>
          <w:caps/>
          <w:sz w:val="24"/>
          <w:szCs w:val="24"/>
          <w:lang w:val="en-GB"/>
        </w:rPr>
      </w:pPr>
      <w:r w:rsidRPr="00731839">
        <w:rPr>
          <w:rFonts w:ascii="Arial" w:hAnsi="Arial" w:cs="Arial"/>
          <w:caps/>
          <w:sz w:val="24"/>
          <w:szCs w:val="24"/>
          <w:lang w:val="en-GB"/>
        </w:rPr>
        <w:t>ISRAEL KOSCHITZKY VIRTUAL BEIT MIDRASH (VBM)</w:t>
      </w:r>
    </w:p>
    <w:p w:rsidR="009600E8" w:rsidRPr="00731839" w:rsidRDefault="009600E8" w:rsidP="009600E8">
      <w:pPr>
        <w:spacing w:line="240" w:lineRule="auto"/>
        <w:jc w:val="center"/>
        <w:rPr>
          <w:rFonts w:ascii="Arial" w:hAnsi="Arial" w:cs="Arial"/>
          <w:caps/>
          <w:sz w:val="24"/>
          <w:szCs w:val="24"/>
          <w:lang w:val="en-GB"/>
        </w:rPr>
      </w:pPr>
      <w:r w:rsidRPr="00731839">
        <w:rPr>
          <w:rFonts w:ascii="Arial" w:hAnsi="Arial" w:cs="Arial"/>
          <w:caps/>
          <w:sz w:val="24"/>
          <w:szCs w:val="24"/>
          <w:lang w:val="en-GB"/>
        </w:rPr>
        <w:t>*********************************************************</w:t>
      </w:r>
    </w:p>
    <w:p w:rsidR="009600E8" w:rsidRPr="009600E8" w:rsidRDefault="009600E8" w:rsidP="00CA1F42">
      <w:pPr>
        <w:spacing w:after="0" w:line="320" w:lineRule="exact"/>
        <w:jc w:val="center"/>
        <w:rPr>
          <w:rStyle w:val="a5"/>
          <w:rFonts w:asciiTheme="minorBidi" w:hAnsiTheme="minorBidi" w:cstheme="minorBidi"/>
          <w:b/>
          <w:bCs/>
          <w:sz w:val="24"/>
          <w:szCs w:val="24"/>
        </w:rPr>
      </w:pPr>
    </w:p>
    <w:p w:rsidR="00CA1F42" w:rsidRPr="00820695" w:rsidRDefault="00820695" w:rsidP="00CA1F42">
      <w:pPr>
        <w:spacing w:after="0" w:line="320" w:lineRule="exact"/>
        <w:jc w:val="center"/>
        <w:rPr>
          <w:rStyle w:val="a5"/>
          <w:rFonts w:asciiTheme="minorBidi" w:hAnsiTheme="minorBidi" w:cstheme="minorBidi"/>
          <w:b/>
          <w:bCs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b/>
          <w:bCs/>
          <w:i/>
          <w:iCs/>
          <w:sz w:val="24"/>
          <w:szCs w:val="24"/>
        </w:rPr>
        <w:t>Ḥol HaMoed</w:t>
      </w:r>
      <w:r w:rsidR="00CA1F42" w:rsidRPr="00820695">
        <w:rPr>
          <w:rStyle w:val="a5"/>
          <w:rFonts w:asciiTheme="minorBidi" w:hAnsiTheme="minorBidi" w:cstheme="minorBidi"/>
          <w:b/>
          <w:bCs/>
          <w:sz w:val="24"/>
          <w:szCs w:val="24"/>
        </w:rPr>
        <w:t xml:space="preserve"> (Intermediate Days of Passover and Sukkot)</w:t>
      </w:r>
      <w:r w:rsidRPr="00820695">
        <w:rPr>
          <w:rStyle w:val="a8"/>
          <w:rFonts w:asciiTheme="minorBidi" w:hAnsiTheme="minorBidi" w:cstheme="minorBidi"/>
          <w:sz w:val="24"/>
          <w:szCs w:val="24"/>
        </w:rPr>
        <w:footnoteReference w:id="1"/>
      </w:r>
    </w:p>
    <w:p w:rsidR="00CA1F42" w:rsidRPr="00820695" w:rsidRDefault="00820695" w:rsidP="00CA1F42">
      <w:pPr>
        <w:spacing w:after="0" w:line="320" w:lineRule="exact"/>
        <w:jc w:val="center"/>
        <w:rPr>
          <w:rStyle w:val="a5"/>
          <w:rFonts w:asciiTheme="minorBidi" w:hAnsiTheme="minorBidi" w:cstheme="minorBidi"/>
          <w:b/>
          <w:bCs/>
          <w:sz w:val="24"/>
          <w:szCs w:val="24"/>
        </w:rPr>
      </w:pPr>
      <w:r>
        <w:rPr>
          <w:rStyle w:val="a5"/>
          <w:rFonts w:asciiTheme="minorBidi" w:hAnsiTheme="minorBidi" w:cstheme="minorBidi"/>
          <w:b/>
          <w:bCs/>
          <w:sz w:val="24"/>
          <w:szCs w:val="24"/>
        </w:rPr>
        <w:t xml:space="preserve">By </w:t>
      </w:r>
      <w:r w:rsidR="00CA1F42" w:rsidRPr="00820695">
        <w:rPr>
          <w:rStyle w:val="a5"/>
          <w:rFonts w:asciiTheme="minorBidi" w:hAnsiTheme="minorBidi" w:cstheme="minorBidi"/>
          <w:b/>
          <w:bCs/>
          <w:sz w:val="24"/>
          <w:szCs w:val="24"/>
        </w:rPr>
        <w:t>Rav Binyamin Tabory</w:t>
      </w:r>
    </w:p>
    <w:p w:rsidR="00CA1F42" w:rsidRPr="00820695" w:rsidRDefault="00CA1F42" w:rsidP="00CA1F42">
      <w:pPr>
        <w:spacing w:after="0" w:line="320" w:lineRule="exact"/>
        <w:jc w:val="both"/>
        <w:rPr>
          <w:rStyle w:val="a5"/>
          <w:rFonts w:asciiTheme="minorBidi" w:hAnsiTheme="minorBidi" w:cstheme="minorBidi"/>
          <w:sz w:val="24"/>
          <w:szCs w:val="24"/>
        </w:rPr>
      </w:pPr>
    </w:p>
    <w:p w:rsidR="00CA1F42" w:rsidRDefault="00CA1F42" w:rsidP="00CA1F42">
      <w:pPr>
        <w:pStyle w:val="a3"/>
        <w:bidi w:val="0"/>
        <w:spacing w:after="0" w:line="320" w:lineRule="exact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 Torah contains a number of sections dealing with the laws of Yom Tov. In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Parashat Bo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Fonts w:asciiTheme="minorBidi" w:hAnsiTheme="minorBidi" w:cstheme="minorBidi"/>
          <w:sz w:val="24"/>
          <w:szCs w:val="24"/>
        </w:rPr>
        <w:t>Ex.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12:15–16), in connection with the Exodus narrative, the Torah presents the laws of Passover for the first time. It establishes the requirement to observe a seven-day festival, the first and last days of which are to be observed as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(a holy assembly), on which no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(labor) may be performed (</w:t>
      </w:r>
      <w:r w:rsidRPr="00820695">
        <w:rPr>
          <w:rFonts w:asciiTheme="minorBidi" w:hAnsiTheme="minorBidi" w:cstheme="minorBidi"/>
          <w:sz w:val="24"/>
          <w:szCs w:val="24"/>
        </w:rPr>
        <w:t>Ex.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12:15–16). In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Parashat Emor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(Lev. 23:37), however, the Torah describes all the holidays with the term “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mikra’ei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.”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Mekhilta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9) deduces from this description that even the period of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is considered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 Accordingly, Maimonides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Hilkhot Yom Tov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7:1) mentions that although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 w:rsidDel="00773179">
        <w:rPr>
          <w:rFonts w:asciiTheme="minorBidi" w:hAnsiTheme="minorBidi" w:cstheme="minorBidi"/>
          <w:sz w:val="24"/>
          <w:szCs w:val="24"/>
        </w:rPr>
        <w:t xml:space="preserve"> 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is not called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shabbaton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it is nevertheless a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</w:t>
      </w:r>
    </w:p>
    <w:p w:rsidR="00820695" w:rsidRPr="00820695" w:rsidRDefault="00820695" w:rsidP="00820695">
      <w:pPr>
        <w:pStyle w:val="a3"/>
        <w:bidi w:val="0"/>
        <w:spacing w:after="0" w:line="320" w:lineRule="exact"/>
        <w:jc w:val="both"/>
        <w:rPr>
          <w:rStyle w:val="a5"/>
          <w:rFonts w:asciiTheme="minorBidi" w:eastAsia="SimSun" w:hAnsiTheme="minorBidi" w:cstheme="minorBidi"/>
          <w:kern w:val="3"/>
          <w:sz w:val="24"/>
          <w:szCs w:val="24"/>
        </w:rPr>
      </w:pPr>
    </w:p>
    <w:p w:rsidR="00CA1F42" w:rsidRDefault="00CA1F42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In light of this principle, some Rishonim maintain (based on Moed Katan 18a) that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is biblically forbidden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This position, however, must explain why some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is permitted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True, even on Yom Tov itself one may perform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for purposes of preparing food.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however, halakha permits other categories, as well, such as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davar haaved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(work that must be done to avoid financial loss) and work involving public concern. This led the Rosh and others to conclude that Torah law permits all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but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Ḥazal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later forbade certain types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while permitting others. By contrast, Nahmanides and Rashba held that all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that neither is necessary for Yom Tov nor could incur a financial loss is biblically forbidden. The Rabbis then added other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prohibitio</w:t>
      </w:r>
      <w:bookmarkStart w:id="0" w:name="_GoBack"/>
      <w:bookmarkEnd w:id="0"/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ns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such as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maaseh omman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(skilled work).</w:t>
      </w:r>
    </w:p>
    <w:p w:rsidR="00820695" w:rsidRPr="00820695" w:rsidRDefault="00820695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kern w:val="0"/>
          <w:sz w:val="24"/>
          <w:szCs w:val="24"/>
        </w:rPr>
      </w:pPr>
    </w:p>
    <w:p w:rsidR="00CA1F42" w:rsidRDefault="00CA1F42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Yere’im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(417, 418) goes so far as to include all eight days of Sukkot in the biblical mitzvot of sanctifying Yom Tov and refraining from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 Although he expresses some doubt about this matter, he nevertheless enumerates these two mitzvot and claimed that they apply to all eight days of Sukkot.</w:t>
      </w:r>
    </w:p>
    <w:p w:rsidR="00820695" w:rsidRPr="00820695" w:rsidRDefault="00820695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</w:p>
    <w:p w:rsidR="00CA1F42" w:rsidRDefault="00CA1F42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 </w:t>
      </w:r>
      <w:r w:rsidRPr="00820695">
        <w:rPr>
          <w:rStyle w:val="a5"/>
          <w:rFonts w:asciiTheme="minorBidi" w:hAnsiTheme="minorBidi" w:cstheme="minorBidi"/>
          <w:i/>
          <w:sz w:val="24"/>
          <w:szCs w:val="24"/>
        </w:rPr>
        <w:t>Beit Yosef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Style w:val="a5"/>
          <w:rFonts w:asciiTheme="minorBidi" w:hAnsiTheme="minorBidi" w:cstheme="minorBidi"/>
          <w:i/>
          <w:sz w:val="24"/>
          <w:szCs w:val="24"/>
        </w:rPr>
        <w:t>Oraḥ Ḥayim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530) cites all these sources and then advances a theory of his own. He explains that the Torah itself prohibits performing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lastRenderedPageBreak/>
        <w:t xml:space="preserve">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but it left it to our Sages to determine which types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should be included under this biblical prohibition. Apparently, according to the </w:t>
      </w:r>
      <w:r w:rsidRPr="00820695">
        <w:rPr>
          <w:rStyle w:val="a5"/>
          <w:rFonts w:asciiTheme="minorBidi" w:hAnsiTheme="minorBidi" w:cstheme="minorBidi"/>
          <w:i/>
          <w:sz w:val="24"/>
          <w:szCs w:val="24"/>
        </w:rPr>
        <w:t>Beit Yosef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there is a biblical requirement that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must have the character of a Yom Tov, but not be identical to Yom Tov. The very term “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” (literally, “the weekdays of the festival”) implies this dual characteristic of being simultaneously a Yom Tov and a weekday. Therefore, while the Torah required us to abstain from some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</w:t>
      </w:r>
      <w:r w:rsidR="00820695" w:rsidRPr="00820695">
        <w:rPr>
          <w:rFonts w:asciiTheme="minorBidi" w:eastAsia="Times New Roman" w:hAnsiTheme="minorBidi" w:cstheme="minorBidi"/>
          <w:i/>
          <w:iCs/>
          <w:kern w:val="0"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it was desirable to have other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permitted. It left the exact parameters for the Sages to establish.</w:t>
      </w:r>
    </w:p>
    <w:p w:rsidR="00820695" w:rsidRPr="00820695" w:rsidRDefault="00820695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</w:p>
    <w:p w:rsidR="00CA1F42" w:rsidRDefault="00CA1F42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 </w:t>
      </w:r>
      <w:r w:rsidRPr="00820695">
        <w:rPr>
          <w:rStyle w:val="a5"/>
          <w:rFonts w:asciiTheme="minorBidi" w:hAnsiTheme="minorBidi" w:cstheme="minorBidi"/>
          <w:i/>
          <w:sz w:val="24"/>
          <w:szCs w:val="24"/>
        </w:rPr>
        <w:t>Beit Yosef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brings a precedent for the concept that the Torah assigns the Sages the task of determining the parameters of a given law from the opinion of the Ran regarding the laws of Yom Kippur. The Ran maintains that the Torah requires experiencing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innui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(some type of affliction) on Yom Kippur, and empowered the Sages to delineate the activities from which we must refrain to achieve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innui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 It should be stressed that whatever our Sages included under this prohibition is considered biblically forbidden. Interestingly, Rabbi Dovid Cohen published a pamphlet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Gevul Yaavetz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, Brooklyn, 1986) with over fifty possible examples of this type of biblical law, where the Torah leaves it for the Sages to determine its details.</w:t>
      </w:r>
    </w:p>
    <w:p w:rsidR="00820695" w:rsidRPr="00820695" w:rsidRDefault="00820695" w:rsidP="00CA1F42">
      <w:pPr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</w:p>
    <w:p w:rsidR="00CA1F42" w:rsidRDefault="00CA1F42" w:rsidP="00CA1F42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Does the concept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apply to other issues, as well, besides the prohibition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melakha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?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Mekhilta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9) explains that this status requires us to sanctify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(as well as Yom Tov) through food, drink, and special clothing. Maimonides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Hilkhot Yom Tov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6:16) writes that the requirements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(honor) and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(enjoyment) apply to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just as they do to Shabbat, because Yom Tov also is called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Given Maimonides’ later remark (7:1) that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also is called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it follows that the mitzvot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and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apply then, as well. Accordingly, we are required to eat a meal on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just as on Yom Tov.</w:t>
      </w:r>
    </w:p>
    <w:p w:rsidR="00820695" w:rsidRPr="00820695" w:rsidRDefault="00820695" w:rsidP="00820695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eastAsia="SimSun" w:hAnsiTheme="minorBidi" w:cstheme="minorBidi"/>
          <w:kern w:val="3"/>
          <w:sz w:val="24"/>
          <w:szCs w:val="24"/>
        </w:rPr>
      </w:pPr>
    </w:p>
    <w:p w:rsidR="00CA1F42" w:rsidRDefault="00CA1F42" w:rsidP="00CA1F42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There is a general rule that whenever halakha requires eating a meal (such as Shabbat and Yom Tov), one must repeat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Birkat HaMazon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if he inadvertently omitted the appropriate addition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Retzeh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Shabbat and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Yaaleh VeYavo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Yom Tov). It would follow, therefore, that even on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someone who omitted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Yaaleh VeYavo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in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Birkat HaMazon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must recite it again.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Shulḥan Arukh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Style w:val="a5"/>
          <w:rFonts w:asciiTheme="minorBidi" w:hAnsiTheme="minorBidi" w:cstheme="minorBidi"/>
          <w:i/>
          <w:sz w:val="24"/>
          <w:szCs w:val="24"/>
        </w:rPr>
        <w:t>Oraḥ Ḥayim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188:7), however, ruled that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resembles Rosh Ḥodesh in this respect, and one need not repeat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Birkat HaMazon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if he omitted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Yaaleh VeYavo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 Rabbi Akiva Eiger (Responsum 1; addendum at end of volume) understood this as proving our premise wrong. He claims that although Maimonides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Hilkhot Yom Tov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6:17, 22) writes that the obligation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simḥa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(rejoicing) applies to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he 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lastRenderedPageBreak/>
        <w:t xml:space="preserve">does not require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 va’oneg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He ignores Maimonides’ comments that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is considered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and that all days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require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 va’oneg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.</w:t>
      </w:r>
    </w:p>
    <w:p w:rsidR="00820695" w:rsidRPr="00820695" w:rsidRDefault="00820695" w:rsidP="00820695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eastAsia="SimSun" w:hAnsiTheme="minorBidi" w:cstheme="minorBidi"/>
          <w:kern w:val="3"/>
          <w:sz w:val="24"/>
          <w:szCs w:val="24"/>
        </w:rPr>
      </w:pPr>
    </w:p>
    <w:p w:rsidR="00CA1F42" w:rsidRPr="00820695" w:rsidRDefault="00CA1F42" w:rsidP="00CA1F42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Ḥafetz Ḥayim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(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Shaar HaTziyyun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530a) suggested a middle position to resolve this difficulty. He writes that although there indeed exists an obligation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 va’oneg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on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as stated in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Mekhilta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this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kavod va’oneg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requires merely treating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as a day more special than a regular weekday. It does not mean that we must treat it as an actual Yom Tov. Thus, for example, there is no obligation to eat a meal on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, despite the fact that such an obligation applies on Yom Tov. Therefore, if one omitted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Yaaleh VeYavo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in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Birkat HaMazon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, he need not repeat it.</w:t>
      </w:r>
    </w:p>
    <w:p w:rsidR="00820695" w:rsidRDefault="00820695" w:rsidP="00CA1F42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</w:p>
    <w:p w:rsidR="00CA1F42" w:rsidRPr="00820695" w:rsidRDefault="00CA1F42" w:rsidP="00820695">
      <w:pPr>
        <w:pStyle w:val="a3"/>
        <w:bidi w:val="0"/>
        <w:spacing w:after="0" w:line="320" w:lineRule="exact"/>
        <w:ind w:firstLine="720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820695">
        <w:rPr>
          <w:rStyle w:val="a5"/>
          <w:rFonts w:asciiTheme="minorBidi" w:hAnsiTheme="minorBidi" w:cstheme="minorBidi"/>
          <w:sz w:val="24"/>
          <w:szCs w:val="24"/>
        </w:rPr>
        <w:t>The Mishna (Avot 3:11) says in the name of R. Elazar HaModa’i that whoever disgraces the “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mo’adot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>” has no share in the World to Come. Rashi explains that “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mo’adot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” refers to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Anyone who performs (forbidden) labor or treats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as a regular weekday with regards to food and drink has no share in the World to Come. According to Rashi, this mishna does not refer to Yom Tov at all. Since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is not to be treated as an actual Yom Tov, a person may be inclined to take it lightly. Therefore, R. Elazar included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in the mishna to impress upon us the importance of treating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as something more than an ordinary weekday. Rabbenu Yona (ad loc.) adds that the verb used in the mishna is “disgrace,” rather than “desecrate.” A person who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disgraces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treats it as a regular weekday and does not demonstrate that it is a day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With this in mind, we can understand the position of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Yere’im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cited towards the beginning of the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shiur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The Torah requires observing the days of </w:t>
      </w:r>
      <w:r w:rsidR="00820695" w:rsidRPr="00820695">
        <w:rPr>
          <w:rFonts w:asciiTheme="minorBidi" w:hAnsiTheme="minorBidi" w:cstheme="minorBidi"/>
          <w:i/>
          <w:iCs/>
          <w:sz w:val="24"/>
          <w:szCs w:val="24"/>
        </w:rPr>
        <w:t>Ḥol HaMoed</w:t>
      </w:r>
      <w:r w:rsidRPr="0082069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by treating them in some way as days of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. Although we are not to treat them in precisely the same manner as we do Yom Tov, they are nevertheless included under the same </w:t>
      </w:r>
      <w:r w:rsidRPr="00820695">
        <w:rPr>
          <w:rStyle w:val="a5"/>
          <w:rFonts w:asciiTheme="minorBidi" w:hAnsiTheme="minorBidi" w:cstheme="minorBidi"/>
          <w:i/>
          <w:iCs/>
          <w:sz w:val="24"/>
          <w:szCs w:val="24"/>
        </w:rPr>
        <w:t>mikra kodesh</w:t>
      </w:r>
      <w:r w:rsidRPr="00820695">
        <w:rPr>
          <w:rStyle w:val="a5"/>
          <w:rFonts w:asciiTheme="minorBidi" w:hAnsiTheme="minorBidi" w:cstheme="minorBidi"/>
          <w:sz w:val="24"/>
          <w:szCs w:val="24"/>
        </w:rPr>
        <w:t xml:space="preserve"> obligation as Yom Tov itself.</w:t>
      </w:r>
    </w:p>
    <w:p w:rsidR="005632AF" w:rsidRPr="00820695" w:rsidRDefault="005632AF" w:rsidP="00CA1F42">
      <w:pPr>
        <w:rPr>
          <w:rFonts w:asciiTheme="minorBidi" w:hAnsiTheme="minorBidi" w:cstheme="minorBidi"/>
        </w:rPr>
      </w:pPr>
    </w:p>
    <w:sectPr w:rsidR="005632AF" w:rsidRPr="00820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B5" w:rsidRDefault="00D47CB5" w:rsidP="00820695">
      <w:pPr>
        <w:spacing w:after="0" w:line="240" w:lineRule="auto"/>
      </w:pPr>
      <w:r>
        <w:separator/>
      </w:r>
    </w:p>
  </w:endnote>
  <w:endnote w:type="continuationSeparator" w:id="0">
    <w:p w:rsidR="00D47CB5" w:rsidRDefault="00D47CB5" w:rsidP="0082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B5" w:rsidRDefault="00D47CB5" w:rsidP="00820695">
      <w:pPr>
        <w:spacing w:after="0" w:line="240" w:lineRule="auto"/>
      </w:pPr>
      <w:r>
        <w:separator/>
      </w:r>
    </w:p>
  </w:footnote>
  <w:footnote w:type="continuationSeparator" w:id="0">
    <w:p w:rsidR="00D47CB5" w:rsidRDefault="00D47CB5" w:rsidP="00820695">
      <w:pPr>
        <w:spacing w:after="0" w:line="240" w:lineRule="auto"/>
      </w:pPr>
      <w:r>
        <w:continuationSeparator/>
      </w:r>
    </w:p>
  </w:footnote>
  <w:footnote w:id="1">
    <w:p w:rsidR="00820695" w:rsidRPr="009600E8" w:rsidRDefault="00820695">
      <w:pPr>
        <w:pStyle w:val="a6"/>
        <w:rPr>
          <w:rFonts w:asciiTheme="minorBidi" w:hAnsiTheme="minorBidi" w:cstheme="minorBidi"/>
        </w:rPr>
      </w:pPr>
      <w:r w:rsidRPr="009600E8">
        <w:rPr>
          <w:rStyle w:val="a8"/>
          <w:rFonts w:asciiTheme="minorBidi" w:hAnsiTheme="minorBidi" w:cstheme="minorBidi"/>
        </w:rPr>
        <w:footnoteRef/>
      </w:r>
      <w:r w:rsidRPr="009600E8">
        <w:rPr>
          <w:rFonts w:asciiTheme="minorBidi" w:hAnsiTheme="minorBidi" w:cstheme="minorBidi"/>
        </w:rPr>
        <w:t xml:space="preserve"> Excerpted from Rav Binyamin Tabory’s book </w:t>
      </w:r>
      <w:hyperlink r:id="rId1" w:history="1">
        <w:r w:rsidRPr="009600E8">
          <w:rPr>
            <w:rStyle w:val="Hyperlink"/>
            <w:rFonts w:asciiTheme="minorBidi" w:hAnsiTheme="minorBidi" w:cstheme="minorBidi"/>
            <w:i/>
            <w:iCs/>
          </w:rPr>
          <w:t>The Weekly Mitzva</w:t>
        </w:r>
      </w:hyperlink>
      <w:r w:rsidRPr="009600E8">
        <w:rPr>
          <w:rFonts w:asciiTheme="minorBidi" w:hAnsiTheme="minorBidi" w:cstheme="minorBidi"/>
          <w:i/>
          <w:iCs/>
        </w:rPr>
        <w:t xml:space="preserve"> </w:t>
      </w:r>
      <w:r w:rsidRPr="009600E8">
        <w:rPr>
          <w:rFonts w:asciiTheme="minorBidi" w:hAnsiTheme="minorBidi" w:cstheme="minorBidi"/>
        </w:rPr>
        <w:t xml:space="preserve">(Maggid, 2015).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01"/>
    <w:rsid w:val="000D6942"/>
    <w:rsid w:val="005632AF"/>
    <w:rsid w:val="006C3C01"/>
    <w:rsid w:val="00820695"/>
    <w:rsid w:val="00865AAF"/>
    <w:rsid w:val="009600E8"/>
    <w:rsid w:val="00B2713E"/>
    <w:rsid w:val="00C41093"/>
    <w:rsid w:val="00CA1F42"/>
    <w:rsid w:val="00D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E2E20-7FF2-4ED9-9042-0541C8A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4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1F42"/>
    <w:pPr>
      <w:widowControl/>
      <w:suppressAutoHyphens w:val="0"/>
      <w:autoSpaceDE w:val="0"/>
      <w:bidi/>
      <w:spacing w:after="120" w:line="240" w:lineRule="auto"/>
      <w:textAlignment w:val="auto"/>
    </w:pPr>
    <w:rPr>
      <w:rFonts w:ascii="Times New Roman" w:eastAsia="Times New Roman" w:hAnsi="Times New Roman" w:cs="Miriam"/>
      <w:kern w:val="0"/>
      <w:sz w:val="20"/>
      <w:szCs w:val="20"/>
    </w:rPr>
  </w:style>
  <w:style w:type="character" w:customStyle="1" w:styleId="a4">
    <w:name w:val="גוף טקסט תו"/>
    <w:basedOn w:val="a0"/>
    <w:link w:val="a3"/>
    <w:uiPriority w:val="99"/>
    <w:rsid w:val="00CA1F42"/>
    <w:rPr>
      <w:rFonts w:ascii="Times New Roman" w:eastAsia="Times New Roman" w:hAnsi="Times New Roman" w:cs="Miriam"/>
      <w:sz w:val="20"/>
      <w:szCs w:val="20"/>
    </w:rPr>
  </w:style>
  <w:style w:type="character" w:styleId="a5">
    <w:name w:val="page number"/>
    <w:rsid w:val="00CA1F42"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20695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820695"/>
    <w:rPr>
      <w:rFonts w:ascii="Calibri" w:eastAsia="SimSun" w:hAnsi="Calibri" w:cs="F"/>
      <w:kern w:val="3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0695"/>
    <w:rPr>
      <w:vertAlign w:val="superscript"/>
    </w:rPr>
  </w:style>
  <w:style w:type="character" w:styleId="Hyperlink">
    <w:name w:val="Hyperlink"/>
    <w:basedOn w:val="a0"/>
    <w:uiPriority w:val="99"/>
    <w:unhideWhenUsed/>
    <w:rsid w:val="00820695"/>
    <w:rPr>
      <w:color w:val="0000FF" w:themeColor="hyperlink"/>
      <w:u w:val="single"/>
    </w:rPr>
  </w:style>
  <w:style w:type="paragraph" w:styleId="a9">
    <w:name w:val="Block Text"/>
    <w:basedOn w:val="a"/>
    <w:link w:val="aa"/>
    <w:rsid w:val="009600E8"/>
    <w:pPr>
      <w:widowControl/>
      <w:suppressAutoHyphens w:val="0"/>
      <w:autoSpaceDE w:val="0"/>
      <w:spacing w:after="0" w:line="360" w:lineRule="auto"/>
      <w:ind w:left="567"/>
      <w:jc w:val="both"/>
      <w:textAlignment w:val="auto"/>
    </w:pPr>
    <w:rPr>
      <w:rFonts w:ascii="Courier New" w:eastAsia="Times New Roman" w:hAnsi="Courier New" w:cs="Miriam"/>
      <w:kern w:val="0"/>
      <w:szCs w:val="20"/>
    </w:rPr>
  </w:style>
  <w:style w:type="character" w:customStyle="1" w:styleId="aa">
    <w:name w:val="טקסט בלוק תו"/>
    <w:link w:val="a9"/>
    <w:rsid w:val="009600E8"/>
    <w:rPr>
      <w:rFonts w:ascii="Courier New" w:eastAsia="Times New Roman" w:hAnsi="Courier New" w:cs="Miria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renpub.com/maggid_en_usd/maggid/partnerships/yeshivat-har-etzion/the-weekly-mitz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C0CF-86FB-441F-A192-69C3526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Reuven Ziegler, Koren Publishers Jerusalem</dc:creator>
  <cp:keywords/>
  <dc:description/>
  <cp:lastModifiedBy>user</cp:lastModifiedBy>
  <cp:revision>3</cp:revision>
  <dcterms:created xsi:type="dcterms:W3CDTF">2018-09-21T06:47:00Z</dcterms:created>
  <dcterms:modified xsi:type="dcterms:W3CDTF">2018-09-21T06:49:00Z</dcterms:modified>
</cp:coreProperties>
</file>