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99" w:rsidRPr="004F5DC4" w:rsidRDefault="00062099" w:rsidP="00062099">
      <w:pPr>
        <w:pStyle w:val="BlockText"/>
        <w:spacing w:line="240" w:lineRule="auto"/>
        <w:ind w:left="0"/>
        <w:jc w:val="center"/>
        <w:rPr>
          <w:rFonts w:asciiTheme="minorBidi" w:hAnsiTheme="minorBidi" w:cstheme="minorBidi"/>
          <w:caps/>
          <w:sz w:val="24"/>
          <w:szCs w:val="24"/>
        </w:rPr>
      </w:pPr>
      <w:bookmarkStart w:id="0" w:name="_GoBack"/>
      <w:r w:rsidRPr="004F5DC4">
        <w:rPr>
          <w:rFonts w:asciiTheme="minorBidi" w:hAnsiTheme="minorBidi" w:cstheme="minorBidi"/>
          <w:caps/>
          <w:sz w:val="24"/>
          <w:szCs w:val="24"/>
          <w:lang w:val="en-GB"/>
        </w:rPr>
        <w:t>YESHIVAT HAR ETZION</w:t>
      </w:r>
    </w:p>
    <w:p w:rsidR="00062099" w:rsidRPr="004F5DC4" w:rsidRDefault="00062099" w:rsidP="00062099">
      <w:pPr>
        <w:spacing w:after="0" w:line="240" w:lineRule="auto"/>
        <w:jc w:val="center"/>
        <w:rPr>
          <w:rFonts w:asciiTheme="minorBidi" w:hAnsiTheme="minorBidi"/>
          <w:caps/>
          <w:sz w:val="24"/>
          <w:szCs w:val="24"/>
          <w:lang w:val="en-GB"/>
        </w:rPr>
      </w:pPr>
      <w:r w:rsidRPr="004F5DC4">
        <w:rPr>
          <w:rFonts w:asciiTheme="minorBidi" w:hAnsiTheme="minorBidi"/>
          <w:caps/>
          <w:sz w:val="24"/>
          <w:szCs w:val="24"/>
          <w:lang w:val="en-GB"/>
        </w:rPr>
        <w:t>ISRAEL KOSCHITZKY VIRTUAL BEIT MIDRASH (VBM)</w:t>
      </w:r>
    </w:p>
    <w:p w:rsidR="00062099" w:rsidRPr="004F5DC4" w:rsidRDefault="00062099" w:rsidP="00062099">
      <w:pPr>
        <w:spacing w:after="0" w:line="240" w:lineRule="auto"/>
        <w:jc w:val="center"/>
        <w:rPr>
          <w:rFonts w:asciiTheme="minorBidi" w:hAnsiTheme="minorBidi"/>
          <w:caps/>
          <w:sz w:val="24"/>
          <w:szCs w:val="24"/>
          <w:lang w:val="en-GB"/>
        </w:rPr>
      </w:pPr>
      <w:r w:rsidRPr="004F5DC4">
        <w:rPr>
          <w:rFonts w:asciiTheme="minorBidi" w:hAnsiTheme="minorBidi"/>
          <w:caps/>
          <w:sz w:val="24"/>
          <w:szCs w:val="24"/>
          <w:lang w:val="en-GB"/>
        </w:rPr>
        <w:t>*********************************************************</w:t>
      </w:r>
    </w:p>
    <w:p w:rsidR="00062099" w:rsidRDefault="00062099" w:rsidP="002543BF">
      <w:pPr>
        <w:pStyle w:val="Chapter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jc w:val="center"/>
        <w:rPr>
          <w:rStyle w:val="RH"/>
          <w:rFonts w:asciiTheme="minorBidi" w:hAnsiTheme="minorBidi" w:cstheme="minorBidi"/>
          <w:b/>
          <w:bCs/>
          <w:i w:val="0"/>
          <w:iCs w:val="0"/>
          <w:sz w:val="24"/>
          <w:szCs w:val="24"/>
        </w:rPr>
      </w:pPr>
    </w:p>
    <w:p w:rsidR="006653F9" w:rsidRPr="00DF4338" w:rsidRDefault="00DF4338" w:rsidP="002543BF">
      <w:pPr>
        <w:pStyle w:val="Chapter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jc w:val="center"/>
        <w:rPr>
          <w:rStyle w:val="RH"/>
          <w:rFonts w:asciiTheme="minorBidi" w:hAnsiTheme="minorBidi" w:cstheme="minorBidi"/>
          <w:b/>
          <w:bCs/>
          <w:i w:val="0"/>
          <w:iCs w:val="0"/>
          <w:sz w:val="24"/>
          <w:szCs w:val="24"/>
        </w:rPr>
      </w:pPr>
      <w:r w:rsidRPr="00DF4338">
        <w:rPr>
          <w:rStyle w:val="RH"/>
          <w:rFonts w:asciiTheme="minorBidi" w:hAnsiTheme="minorBidi" w:cstheme="minorBidi"/>
          <w:b/>
          <w:bCs/>
          <w:i w:val="0"/>
          <w:iCs w:val="0"/>
          <w:sz w:val="24"/>
          <w:szCs w:val="24"/>
        </w:rPr>
        <w:t>Affliction on Yom Kippur</w:t>
      </w:r>
    </w:p>
    <w:p w:rsidR="00DF4338" w:rsidRDefault="00DF4338" w:rsidP="002543BF">
      <w:pPr>
        <w:pStyle w:val="Chapter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jc w:val="center"/>
        <w:rPr>
          <w:rStyle w:val="RH"/>
          <w:rFonts w:asciiTheme="minorBidi" w:hAnsiTheme="minorBidi" w:cstheme="minorBidi"/>
          <w:b/>
          <w:bCs/>
          <w:i w:val="0"/>
          <w:iCs w:val="0"/>
          <w:sz w:val="24"/>
          <w:szCs w:val="24"/>
        </w:rPr>
      </w:pPr>
    </w:p>
    <w:p w:rsidR="00DF4338" w:rsidRPr="00DF4338" w:rsidRDefault="00DF4338" w:rsidP="002543BF">
      <w:pPr>
        <w:pStyle w:val="Chapter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jc w:val="center"/>
        <w:rPr>
          <w:rStyle w:val="RH"/>
          <w:rFonts w:asciiTheme="minorBidi" w:hAnsiTheme="minorBidi" w:cstheme="minorBidi"/>
          <w:b/>
          <w:bCs/>
          <w:i w:val="0"/>
          <w:iCs w:val="0"/>
          <w:sz w:val="24"/>
          <w:szCs w:val="24"/>
        </w:rPr>
      </w:pPr>
      <w:r w:rsidRPr="00DF4338">
        <w:rPr>
          <w:rStyle w:val="RH"/>
          <w:rFonts w:asciiTheme="minorBidi" w:hAnsiTheme="minorBidi" w:cstheme="minorBidi"/>
          <w:b/>
          <w:bCs/>
          <w:i w:val="0"/>
          <w:iCs w:val="0"/>
          <w:sz w:val="24"/>
          <w:szCs w:val="24"/>
        </w:rPr>
        <w:t xml:space="preserve">Rav Binyamin Tabory </w:t>
      </w:r>
      <w:r w:rsidRPr="00DF4338">
        <w:rPr>
          <w:rStyle w:val="RH"/>
          <w:rFonts w:asciiTheme="minorBidi" w:hAnsiTheme="minorBidi" w:cstheme="minorBidi"/>
          <w:b/>
          <w:bCs/>
          <w:sz w:val="24"/>
          <w:szCs w:val="24"/>
        </w:rPr>
        <w:t>z”l</w:t>
      </w:r>
    </w:p>
    <w:p w:rsidR="00DF4338" w:rsidRDefault="00DF4338" w:rsidP="002543BF">
      <w:pPr>
        <w:pStyle w:val="Chapter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rPr>
          <w:rStyle w:val="RH"/>
          <w:rFonts w:asciiTheme="minorBidi" w:hAnsiTheme="minorBidi" w:cstheme="minorBidi"/>
          <w:sz w:val="24"/>
          <w:szCs w:val="24"/>
        </w:rPr>
      </w:pPr>
    </w:p>
    <w:p w:rsidR="00DF4338" w:rsidRPr="00DF4338" w:rsidRDefault="00DF4338" w:rsidP="002543BF">
      <w:pPr>
        <w:pStyle w:val="Chapter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rPr>
          <w:rStyle w:val="RH"/>
          <w:rFonts w:asciiTheme="minorBidi" w:hAnsiTheme="minorBidi" w:cstheme="minorBidi"/>
          <w:sz w:val="24"/>
          <w:szCs w:val="24"/>
        </w:rPr>
      </w:pPr>
    </w:p>
    <w:p w:rsidR="00DF4338" w:rsidRDefault="00DF4338" w:rsidP="002543BF">
      <w:pPr>
        <w:pStyle w:val="chapterfirst"/>
        <w:tabs>
          <w:tab w:val="clear" w:pos="1134"/>
        </w:tabs>
        <w:suppressAutoHyphens/>
        <w:spacing w:before="0" w:line="240" w:lineRule="auto"/>
        <w:rPr>
          <w:rFonts w:asciiTheme="minorBidi" w:hAnsiTheme="minorBidi" w:cstheme="minorBidi"/>
          <w:sz w:val="24"/>
          <w:szCs w:val="24"/>
        </w:rPr>
      </w:pPr>
      <w:r w:rsidRPr="00DF4338">
        <w:rPr>
          <w:rFonts w:asciiTheme="minorBidi" w:hAnsiTheme="minorBidi" w:cstheme="minorBidi"/>
          <w:sz w:val="24"/>
          <w:szCs w:val="24"/>
        </w:rPr>
        <w:t>The prohibitions of Yom Kippur are formulated in positive terms, e.g., “</w:t>
      </w:r>
      <w:r w:rsidR="00AB7083">
        <w:rPr>
          <w:rFonts w:asciiTheme="minorBidi" w:hAnsiTheme="minorBidi" w:cstheme="minorBidi"/>
          <w:sz w:val="24"/>
          <w:szCs w:val="24"/>
        </w:rPr>
        <w:t>Y</w:t>
      </w:r>
      <w:r w:rsidRPr="00DF4338">
        <w:rPr>
          <w:rFonts w:asciiTheme="minorBidi" w:hAnsiTheme="minorBidi" w:cstheme="minorBidi"/>
          <w:sz w:val="24"/>
          <w:szCs w:val="24"/>
        </w:rPr>
        <w:t>ou shall afflict your souls” (Vayikra 16:31), rather than in negative terms, e.g., “</w:t>
      </w:r>
      <w:r w:rsidR="00AB7083">
        <w:rPr>
          <w:rFonts w:asciiTheme="minorBidi" w:hAnsiTheme="minorBidi" w:cstheme="minorBidi"/>
          <w:sz w:val="24"/>
          <w:szCs w:val="24"/>
        </w:rPr>
        <w:t>Y</w:t>
      </w:r>
      <w:r w:rsidRPr="00DF4338">
        <w:rPr>
          <w:rFonts w:asciiTheme="minorBidi" w:hAnsiTheme="minorBidi" w:cstheme="minorBidi"/>
          <w:sz w:val="24"/>
          <w:szCs w:val="24"/>
        </w:rPr>
        <w:t>ou shall not eat.” For this reason, Rambam (</w:t>
      </w:r>
      <w:r w:rsidRPr="00DF4338">
        <w:rPr>
          <w:rStyle w:val="ittext"/>
          <w:rFonts w:asciiTheme="minorBidi" w:hAnsiTheme="minorBidi" w:cstheme="minorBidi"/>
          <w:sz w:val="24"/>
          <w:szCs w:val="24"/>
        </w:rPr>
        <w:t>Sefer HaMitzvot</w:t>
      </w:r>
      <w:r w:rsidRPr="00DF4338">
        <w:rPr>
          <w:rFonts w:asciiTheme="minorBidi" w:hAnsiTheme="minorBidi" w:cstheme="minorBidi"/>
          <w:sz w:val="24"/>
          <w:szCs w:val="24"/>
        </w:rPr>
        <w:t xml:space="preserve">, </w:t>
      </w:r>
      <w:r w:rsidRPr="00DF4338">
        <w:rPr>
          <w:rStyle w:val="ittext"/>
          <w:rFonts w:asciiTheme="minorBidi" w:hAnsiTheme="minorBidi" w:cstheme="minorBidi"/>
          <w:sz w:val="24"/>
          <w:szCs w:val="24"/>
        </w:rPr>
        <w:t>Aseh</w:t>
      </w:r>
      <w:r w:rsidRPr="00DF4338">
        <w:rPr>
          <w:rFonts w:asciiTheme="minorBidi" w:hAnsiTheme="minorBidi" w:cstheme="minorBidi"/>
          <w:sz w:val="24"/>
          <w:szCs w:val="24"/>
        </w:rPr>
        <w:t xml:space="preserve"> 164) counts the prohibitions of Yom Kippur among the positive commandments: “He commanded us to fast on the tenth of Tishrei.” Rambam also records a negative commandment (</w:t>
      </w:r>
      <w:r w:rsidRPr="00DF4338">
        <w:rPr>
          <w:rStyle w:val="ittext"/>
          <w:rFonts w:asciiTheme="minorBidi" w:hAnsiTheme="minorBidi" w:cstheme="minorBidi"/>
          <w:sz w:val="24"/>
          <w:szCs w:val="24"/>
        </w:rPr>
        <w:t>Lo Taaseh</w:t>
      </w:r>
      <w:r w:rsidRPr="00DF4338">
        <w:rPr>
          <w:rFonts w:asciiTheme="minorBidi" w:hAnsiTheme="minorBidi" w:cstheme="minorBidi"/>
          <w:sz w:val="24"/>
          <w:szCs w:val="24"/>
        </w:rPr>
        <w:t xml:space="preserve"> 196): “He prohibited us to eat on the fast of Kippur,” but there is no explicit source for such a prohibition in the Torah. Rather, the prohibition against eating on Yom Kippur is inferred from the fact that one who eats on Yom Kippur is liable to the punishment of </w:t>
      </w:r>
      <w:r w:rsidRPr="00DF4338">
        <w:rPr>
          <w:rStyle w:val="ittext"/>
          <w:rFonts w:asciiTheme="minorBidi" w:hAnsiTheme="minorBidi" w:cstheme="minorBidi"/>
          <w:sz w:val="24"/>
          <w:szCs w:val="24"/>
        </w:rPr>
        <w:t>karet</w:t>
      </w:r>
      <w:r w:rsidRPr="00DF4338">
        <w:rPr>
          <w:rFonts w:asciiTheme="minorBidi" w:hAnsiTheme="minorBidi" w:cstheme="minorBidi"/>
          <w:sz w:val="24"/>
          <w:szCs w:val="24"/>
        </w:rPr>
        <w:t xml:space="preserve"> (excision), as the Mishna at the beginning of Karetot implies that only negative commandments can be subject to that punishment (with the exception of two specific positive commandments, circumcision and the Paschal offering).</w:t>
      </w:r>
    </w:p>
    <w:p w:rsidR="00DF4338" w:rsidRDefault="00DF4338" w:rsidP="002543BF">
      <w:pPr>
        <w:pStyle w:val="chapterfirst"/>
        <w:tabs>
          <w:tab w:val="clear" w:pos="1134"/>
        </w:tabs>
        <w:suppressAutoHyphens/>
        <w:spacing w:before="0" w:line="240" w:lineRule="auto"/>
        <w:rPr>
          <w:rFonts w:asciiTheme="minorBidi" w:hAnsiTheme="minorBidi" w:cstheme="minorBidi"/>
          <w:sz w:val="24"/>
          <w:szCs w:val="24"/>
        </w:rPr>
      </w:pPr>
    </w:p>
    <w:p w:rsidR="00DF4338" w:rsidRDefault="00DF4338" w:rsidP="002543BF">
      <w:pPr>
        <w:pStyle w:val="body"/>
        <w:tabs>
          <w:tab w:val="clear" w:pos="1134"/>
        </w:tabs>
        <w:suppressAutoHyphens/>
        <w:spacing w:line="240" w:lineRule="auto"/>
        <w:rPr>
          <w:rFonts w:asciiTheme="minorBidi" w:hAnsiTheme="minorBidi" w:cstheme="minorBidi"/>
          <w:sz w:val="24"/>
          <w:szCs w:val="24"/>
        </w:rPr>
      </w:pPr>
      <w:r w:rsidRPr="00DF4338">
        <w:rPr>
          <w:rFonts w:asciiTheme="minorBidi" w:hAnsiTheme="minorBidi" w:cstheme="minorBidi"/>
          <w:sz w:val="24"/>
          <w:szCs w:val="24"/>
        </w:rPr>
        <w:t>In contrast to Rambam, Rabbi Saadia Gaon does not recognize a prohibition against eating on Yom Kippur, but only the positive commandment to afflict one’s soul. Rabbi Yeru</w:t>
      </w:r>
      <w:r>
        <w:rPr>
          <w:rFonts w:asciiTheme="minorBidi" w:hAnsiTheme="minorBidi" w:cstheme="minorBidi"/>
          <w:sz w:val="24"/>
          <w:szCs w:val="24"/>
        </w:rPr>
        <w:t>h</w:t>
      </w:r>
      <w:r w:rsidRPr="00DF4338">
        <w:rPr>
          <w:rFonts w:asciiTheme="minorBidi" w:hAnsiTheme="minorBidi" w:cstheme="minorBidi"/>
          <w:sz w:val="24"/>
          <w:szCs w:val="24"/>
        </w:rPr>
        <w:t xml:space="preserve">am Fishel Perlow (in his notes to Rabbi Saadia Gaon’s </w:t>
      </w:r>
      <w:r w:rsidRPr="00DF4338">
        <w:rPr>
          <w:rStyle w:val="ittext"/>
          <w:rFonts w:asciiTheme="minorBidi" w:hAnsiTheme="minorBidi" w:cstheme="minorBidi"/>
          <w:sz w:val="24"/>
          <w:szCs w:val="24"/>
        </w:rPr>
        <w:t>Sefer HaMitzvot</w:t>
      </w:r>
      <w:r w:rsidRPr="00DF4338">
        <w:rPr>
          <w:rFonts w:asciiTheme="minorBidi" w:hAnsiTheme="minorBidi" w:cstheme="minorBidi"/>
          <w:sz w:val="24"/>
          <w:szCs w:val="24"/>
        </w:rPr>
        <w:t xml:space="preserve">, </w:t>
      </w:r>
      <w:r w:rsidRPr="00DF4338">
        <w:rPr>
          <w:rStyle w:val="ittext"/>
          <w:rFonts w:asciiTheme="minorBidi" w:hAnsiTheme="minorBidi" w:cstheme="minorBidi"/>
          <w:sz w:val="24"/>
          <w:szCs w:val="24"/>
        </w:rPr>
        <w:t>Aseh</w:t>
      </w:r>
      <w:r w:rsidRPr="00DF4338">
        <w:rPr>
          <w:rFonts w:asciiTheme="minorBidi" w:hAnsiTheme="minorBidi" w:cstheme="minorBidi"/>
          <w:sz w:val="24"/>
          <w:szCs w:val="24"/>
        </w:rPr>
        <w:t xml:space="preserve"> 55) rejects Rambam’s proof from the Mishna in Karetot. He argues that it is possible that circumcision and the Paschal lamb are the only positive commandments mentioned there because only in those cases is </w:t>
      </w:r>
      <w:r w:rsidRPr="00DF4338">
        <w:rPr>
          <w:rStyle w:val="ittext"/>
          <w:rFonts w:asciiTheme="minorBidi" w:hAnsiTheme="minorBidi" w:cstheme="minorBidi"/>
          <w:sz w:val="24"/>
          <w:szCs w:val="24"/>
        </w:rPr>
        <w:t>karet</w:t>
      </w:r>
      <w:r w:rsidRPr="00DF4338">
        <w:rPr>
          <w:rFonts w:asciiTheme="minorBidi" w:hAnsiTheme="minorBidi" w:cstheme="minorBidi"/>
          <w:sz w:val="24"/>
          <w:szCs w:val="24"/>
        </w:rPr>
        <w:t xml:space="preserve"> imposed even though the transgression is committed by passively refraining from doing something that the Torah requires. The positive commandment banning eating on Yom Kippur may also be punishable by </w:t>
      </w:r>
      <w:r w:rsidRPr="00DF4338">
        <w:rPr>
          <w:rStyle w:val="ittext"/>
          <w:rFonts w:asciiTheme="minorBidi" w:hAnsiTheme="minorBidi" w:cstheme="minorBidi"/>
          <w:sz w:val="24"/>
          <w:szCs w:val="24"/>
        </w:rPr>
        <w:t>karet</w:t>
      </w:r>
      <w:r w:rsidRPr="00DF4338">
        <w:rPr>
          <w:rFonts w:asciiTheme="minorBidi" w:hAnsiTheme="minorBidi" w:cstheme="minorBidi"/>
          <w:sz w:val="24"/>
          <w:szCs w:val="24"/>
        </w:rPr>
        <w:t>, but it is not mentioned in the Mishna because this transgression involves an actual action.</w:t>
      </w:r>
    </w:p>
    <w:p w:rsidR="00DF4338" w:rsidRDefault="00DF4338" w:rsidP="002543BF">
      <w:pPr>
        <w:pStyle w:val="body"/>
        <w:tabs>
          <w:tab w:val="clear" w:pos="1134"/>
        </w:tabs>
        <w:suppressAutoHyphens/>
        <w:spacing w:line="240" w:lineRule="auto"/>
        <w:rPr>
          <w:rFonts w:asciiTheme="minorBidi" w:hAnsiTheme="minorBidi" w:cstheme="minorBidi"/>
          <w:sz w:val="24"/>
          <w:szCs w:val="24"/>
        </w:rPr>
      </w:pPr>
    </w:p>
    <w:p w:rsidR="00DF4338" w:rsidRDefault="00DF4338" w:rsidP="002543BF">
      <w:pPr>
        <w:pStyle w:val="body"/>
        <w:tabs>
          <w:tab w:val="clear" w:pos="1134"/>
        </w:tabs>
        <w:suppressAutoHyphens/>
        <w:spacing w:line="240" w:lineRule="auto"/>
        <w:rPr>
          <w:rFonts w:asciiTheme="minorBidi" w:hAnsiTheme="minorBidi" w:cstheme="minorBidi"/>
          <w:sz w:val="24"/>
          <w:szCs w:val="24"/>
        </w:rPr>
      </w:pPr>
      <w:r w:rsidRPr="00DF4338">
        <w:rPr>
          <w:rFonts w:asciiTheme="minorBidi" w:hAnsiTheme="minorBidi" w:cstheme="minorBidi"/>
          <w:sz w:val="24"/>
          <w:szCs w:val="24"/>
        </w:rPr>
        <w:t xml:space="preserve">In light of the fact that the prohibition against eating on Yom Kippur is not explicitly mentioned in the Torah, it is possible to contemplate whether that prohibition is similar to other prohibitions against eating, or is merely a fulfillment of the positive commandment. For example, the </w:t>
      </w:r>
      <w:r w:rsidRPr="00DF4338">
        <w:rPr>
          <w:rStyle w:val="ittext"/>
          <w:rFonts w:asciiTheme="minorBidi" w:hAnsiTheme="minorBidi" w:cstheme="minorBidi"/>
          <w:sz w:val="24"/>
          <w:szCs w:val="24"/>
        </w:rPr>
        <w:t>Shaagat Arye</w:t>
      </w:r>
      <w:r w:rsidRPr="00DF4338">
        <w:rPr>
          <w:rFonts w:asciiTheme="minorBidi" w:hAnsiTheme="minorBidi" w:cstheme="minorBidi"/>
          <w:sz w:val="24"/>
          <w:szCs w:val="24"/>
        </w:rPr>
        <w:t xml:space="preserve"> (76) considers the possibility that even though eating in an unusual manner is not considered eating in other realms of the Torah, it could be that one who eats in an unusual manner on Yom Kippur is liable, since by doing so he avoided afflicting himself. The </w:t>
      </w:r>
      <w:r w:rsidRPr="00DF4338">
        <w:rPr>
          <w:rStyle w:val="ittext"/>
          <w:rFonts w:asciiTheme="minorBidi" w:hAnsiTheme="minorBidi" w:cstheme="minorBidi"/>
          <w:sz w:val="24"/>
          <w:szCs w:val="24"/>
        </w:rPr>
        <w:t>Binyan Tziyyon</w:t>
      </w:r>
      <w:r w:rsidRPr="00DF4338">
        <w:rPr>
          <w:rFonts w:asciiTheme="minorBidi" w:hAnsiTheme="minorBidi" w:cstheme="minorBidi"/>
          <w:sz w:val="24"/>
          <w:szCs w:val="24"/>
        </w:rPr>
        <w:t xml:space="preserve"> (34) even raises the possibility that one who already ate on Yom Kippur can no longer fulfill the obligation of affliction, and as such would not be liable for </w:t>
      </w:r>
      <w:r w:rsidRPr="00DF4338">
        <w:rPr>
          <w:rStyle w:val="ittext"/>
          <w:rFonts w:asciiTheme="minorBidi" w:hAnsiTheme="minorBidi" w:cstheme="minorBidi"/>
          <w:sz w:val="24"/>
          <w:szCs w:val="24"/>
        </w:rPr>
        <w:t>karet</w:t>
      </w:r>
      <w:r w:rsidRPr="00DF4338">
        <w:rPr>
          <w:rFonts w:asciiTheme="minorBidi" w:hAnsiTheme="minorBidi" w:cstheme="minorBidi"/>
          <w:sz w:val="24"/>
          <w:szCs w:val="24"/>
        </w:rPr>
        <w:t xml:space="preserve"> for any additional eating. Ultimately, though, he rejects this possibility, because he could not find a Rishon who accepts it.</w:t>
      </w:r>
    </w:p>
    <w:p w:rsidR="00DF4338" w:rsidRDefault="00DF4338" w:rsidP="002543BF">
      <w:pPr>
        <w:pStyle w:val="body"/>
        <w:tabs>
          <w:tab w:val="clear" w:pos="1134"/>
        </w:tabs>
        <w:suppressAutoHyphens/>
        <w:spacing w:line="240" w:lineRule="auto"/>
        <w:rPr>
          <w:rFonts w:asciiTheme="minorBidi" w:hAnsiTheme="minorBidi" w:cstheme="minorBidi"/>
          <w:sz w:val="24"/>
          <w:szCs w:val="24"/>
        </w:rPr>
      </w:pPr>
    </w:p>
    <w:p w:rsidR="00DF4338" w:rsidRDefault="00DF4338" w:rsidP="002543BF">
      <w:pPr>
        <w:pStyle w:val="body"/>
        <w:tabs>
          <w:tab w:val="clear" w:pos="1134"/>
        </w:tabs>
        <w:suppressAutoHyphens/>
        <w:spacing w:line="240" w:lineRule="auto"/>
        <w:rPr>
          <w:rFonts w:asciiTheme="minorBidi" w:hAnsiTheme="minorBidi" w:cstheme="minorBidi"/>
          <w:sz w:val="24"/>
          <w:szCs w:val="24"/>
        </w:rPr>
      </w:pPr>
      <w:r w:rsidRPr="00DF4338">
        <w:rPr>
          <w:rFonts w:asciiTheme="minorBidi" w:hAnsiTheme="minorBidi" w:cstheme="minorBidi"/>
          <w:sz w:val="24"/>
          <w:szCs w:val="24"/>
        </w:rPr>
        <w:t xml:space="preserve">How does one fulfill the obligation of “affliction”? All the Rishonim understand that it includes a prohibition against eating and drinking, for which the punishment of </w:t>
      </w:r>
      <w:r w:rsidRPr="00DF4338">
        <w:rPr>
          <w:rStyle w:val="ittext"/>
          <w:rFonts w:asciiTheme="minorBidi" w:hAnsiTheme="minorBidi" w:cstheme="minorBidi"/>
          <w:sz w:val="24"/>
          <w:szCs w:val="24"/>
        </w:rPr>
        <w:t>karet</w:t>
      </w:r>
      <w:r w:rsidRPr="00DF4338">
        <w:rPr>
          <w:rFonts w:asciiTheme="minorBidi" w:hAnsiTheme="minorBidi" w:cstheme="minorBidi"/>
          <w:sz w:val="24"/>
          <w:szCs w:val="24"/>
        </w:rPr>
        <w:t xml:space="preserve"> is imposed, but they disagree about whether the other </w:t>
      </w:r>
      <w:r w:rsidRPr="00DF4338">
        <w:rPr>
          <w:rFonts w:asciiTheme="minorBidi" w:hAnsiTheme="minorBidi" w:cstheme="minorBidi"/>
          <w:sz w:val="24"/>
          <w:szCs w:val="24"/>
        </w:rPr>
        <w:lastRenderedPageBreak/>
        <w:t>afflictions, such as wearing leather shoes, are prohibited by Torah law or by rabbinic decree.</w:t>
      </w:r>
    </w:p>
    <w:p w:rsidR="00DF4338" w:rsidRDefault="00DF4338" w:rsidP="002543BF">
      <w:pPr>
        <w:pStyle w:val="body"/>
        <w:tabs>
          <w:tab w:val="clear" w:pos="1134"/>
        </w:tabs>
        <w:suppressAutoHyphens/>
        <w:spacing w:line="240" w:lineRule="auto"/>
        <w:rPr>
          <w:rFonts w:asciiTheme="minorBidi" w:hAnsiTheme="minorBidi" w:cstheme="minorBidi"/>
          <w:sz w:val="24"/>
          <w:szCs w:val="24"/>
        </w:rPr>
      </w:pPr>
    </w:p>
    <w:p w:rsidR="00DF4338" w:rsidRDefault="00DF4338" w:rsidP="002543BF">
      <w:pPr>
        <w:pStyle w:val="body"/>
        <w:tabs>
          <w:tab w:val="clear" w:pos="1134"/>
        </w:tabs>
        <w:suppressAutoHyphens/>
        <w:spacing w:line="240" w:lineRule="auto"/>
        <w:rPr>
          <w:rFonts w:asciiTheme="minorBidi" w:hAnsiTheme="minorBidi" w:cstheme="minorBidi"/>
          <w:sz w:val="24"/>
          <w:szCs w:val="24"/>
        </w:rPr>
      </w:pPr>
      <w:r w:rsidRPr="00DF4338">
        <w:rPr>
          <w:rFonts w:asciiTheme="minorBidi" w:hAnsiTheme="minorBidi" w:cstheme="minorBidi"/>
          <w:sz w:val="24"/>
          <w:szCs w:val="24"/>
        </w:rPr>
        <w:t>According to the Rosh, the other afflictions are forbidden only by rabbinic decree. He explains that this is why there are certain leniencies in these laws, such as that the king and queen are permitted to wash their faces. However, the Ran believes these prohibitions are also mandated by Torah law, as part of the commandment “you shall afflict your souls” or based on the word “sabbath.” He maintains that the Torah nevertheless delegated to the Sages the authority to determine which specific actions are forbidden and which are permitted, and explains that this accounts for the various leniencies.</w:t>
      </w:r>
    </w:p>
    <w:p w:rsidR="00DF4338" w:rsidRDefault="00DF4338" w:rsidP="002543BF">
      <w:pPr>
        <w:pStyle w:val="body"/>
        <w:tabs>
          <w:tab w:val="clear" w:pos="1134"/>
        </w:tabs>
        <w:suppressAutoHyphens/>
        <w:spacing w:line="240" w:lineRule="auto"/>
        <w:rPr>
          <w:rFonts w:asciiTheme="minorBidi" w:hAnsiTheme="minorBidi" w:cstheme="minorBidi"/>
          <w:sz w:val="24"/>
          <w:szCs w:val="24"/>
        </w:rPr>
      </w:pPr>
    </w:p>
    <w:p w:rsidR="00DF4338" w:rsidRDefault="00DF4338" w:rsidP="002543BF">
      <w:pPr>
        <w:pStyle w:val="body"/>
        <w:tabs>
          <w:tab w:val="clear" w:pos="1134"/>
        </w:tabs>
        <w:suppressAutoHyphens/>
        <w:spacing w:line="240" w:lineRule="auto"/>
        <w:rPr>
          <w:rFonts w:asciiTheme="minorBidi" w:hAnsiTheme="minorBidi" w:cstheme="minorBidi"/>
          <w:sz w:val="24"/>
          <w:szCs w:val="24"/>
        </w:rPr>
      </w:pPr>
      <w:r w:rsidRPr="00DF4338">
        <w:rPr>
          <w:rFonts w:asciiTheme="minorBidi" w:hAnsiTheme="minorBidi" w:cstheme="minorBidi"/>
          <w:sz w:val="24"/>
          <w:szCs w:val="24"/>
        </w:rPr>
        <w:t>According to Rambam (</w:t>
      </w:r>
      <w:r w:rsidRPr="00DF4338">
        <w:rPr>
          <w:rStyle w:val="ittext"/>
          <w:rFonts w:asciiTheme="minorBidi" w:hAnsiTheme="minorBidi" w:cstheme="minorBidi"/>
          <w:sz w:val="24"/>
          <w:szCs w:val="24"/>
        </w:rPr>
        <w:t>Sefer HaMitzvot</w:t>
      </w:r>
      <w:r w:rsidRPr="00DF4338">
        <w:rPr>
          <w:rFonts w:asciiTheme="minorBidi" w:hAnsiTheme="minorBidi" w:cstheme="minorBidi"/>
          <w:sz w:val="24"/>
          <w:szCs w:val="24"/>
        </w:rPr>
        <w:t xml:space="preserve">, </w:t>
      </w:r>
      <w:r w:rsidRPr="00DF4338">
        <w:rPr>
          <w:rStyle w:val="ittext"/>
          <w:rFonts w:asciiTheme="minorBidi" w:hAnsiTheme="minorBidi" w:cstheme="minorBidi"/>
          <w:sz w:val="24"/>
          <w:szCs w:val="24"/>
        </w:rPr>
        <w:t>Aseh</w:t>
      </w:r>
      <w:r w:rsidRPr="00DF4338">
        <w:rPr>
          <w:rFonts w:asciiTheme="minorBidi" w:hAnsiTheme="minorBidi" w:cstheme="minorBidi"/>
          <w:sz w:val="24"/>
          <w:szCs w:val="24"/>
        </w:rPr>
        <w:t xml:space="preserve"> 164), all of the afflictions are required by Torah law: “It has come down to us by way of tradition that washing, anointing, wearing [leather] shoes, and sexual relations are forbidden [by Torah law], and that one is obligated to desist from all of these activities.” The A</w:t>
      </w:r>
      <w:r>
        <w:rPr>
          <w:rFonts w:asciiTheme="minorBidi" w:hAnsiTheme="minorBidi" w:cstheme="minorBidi"/>
          <w:sz w:val="24"/>
          <w:szCs w:val="24"/>
        </w:rPr>
        <w:t>h</w:t>
      </w:r>
      <w:r w:rsidRPr="00DF4338">
        <w:rPr>
          <w:rFonts w:asciiTheme="minorBidi" w:hAnsiTheme="minorBidi" w:cstheme="minorBidi"/>
          <w:sz w:val="24"/>
          <w:szCs w:val="24"/>
        </w:rPr>
        <w:t>aronim have suggested various explanations for the leniency regarding washing, according to the Rambam’s understanding that the prohibition is required by Torah law. For example, some say that Torah law only forbids a person to wash his entire body, and therefore washing one’s face is forbidden by rabbinic decree, and is therefore permitted in the case of a king and a queen. There is also room to consider whether the principle of “half the legal quantity” applies to washing. However, that requires a more lengthy analysis.</w:t>
      </w:r>
    </w:p>
    <w:p w:rsidR="00DF4338" w:rsidRDefault="00DF4338" w:rsidP="002543BF">
      <w:pPr>
        <w:pStyle w:val="body"/>
        <w:tabs>
          <w:tab w:val="clear" w:pos="1134"/>
        </w:tabs>
        <w:suppressAutoHyphens/>
        <w:spacing w:line="240" w:lineRule="auto"/>
        <w:rPr>
          <w:rFonts w:asciiTheme="minorBidi" w:hAnsiTheme="minorBidi" w:cstheme="minorBidi"/>
          <w:sz w:val="24"/>
          <w:szCs w:val="24"/>
        </w:rPr>
      </w:pPr>
    </w:p>
    <w:p w:rsidR="00DF4338" w:rsidRDefault="00DF4338" w:rsidP="002543BF">
      <w:pPr>
        <w:pStyle w:val="body"/>
        <w:tabs>
          <w:tab w:val="clear" w:pos="1134"/>
        </w:tabs>
        <w:suppressAutoHyphens/>
        <w:spacing w:line="240" w:lineRule="auto"/>
        <w:ind w:firstLine="0"/>
        <w:rPr>
          <w:rFonts w:asciiTheme="minorBidi" w:hAnsiTheme="minorBidi" w:cstheme="minorBidi"/>
          <w:sz w:val="24"/>
          <w:szCs w:val="24"/>
        </w:rPr>
      </w:pPr>
    </w:p>
    <w:p w:rsidR="00DF4338" w:rsidRPr="00DF4338" w:rsidRDefault="00DF4338" w:rsidP="002543BF">
      <w:pPr>
        <w:pStyle w:val="body"/>
        <w:tabs>
          <w:tab w:val="clear" w:pos="1134"/>
        </w:tabs>
        <w:suppressAutoHyphens/>
        <w:spacing w:line="240" w:lineRule="auto"/>
        <w:ind w:firstLine="0"/>
        <w:rPr>
          <w:rFonts w:asciiTheme="minorBidi" w:hAnsiTheme="minorBidi" w:cstheme="minorBidi"/>
          <w:sz w:val="24"/>
          <w:szCs w:val="24"/>
        </w:rPr>
      </w:pPr>
      <w:r>
        <w:rPr>
          <w:rFonts w:asciiTheme="minorBidi" w:hAnsiTheme="minorBidi" w:cstheme="minorBidi"/>
          <w:sz w:val="24"/>
          <w:szCs w:val="24"/>
        </w:rPr>
        <w:t xml:space="preserve">(Excerpted from Rav Binyamin Tabory, </w:t>
      </w:r>
      <w:hyperlink r:id="rId6" w:history="1">
        <w:r w:rsidRPr="00DF4338">
          <w:rPr>
            <w:rStyle w:val="Hyperlink"/>
            <w:rFonts w:asciiTheme="minorBidi" w:hAnsiTheme="minorBidi" w:cstheme="minorBidi"/>
            <w:i/>
            <w:iCs/>
            <w:sz w:val="24"/>
            <w:szCs w:val="24"/>
          </w:rPr>
          <w:t>The Weekly Mitzva</w:t>
        </w:r>
      </w:hyperlink>
      <w:r>
        <w:rPr>
          <w:rFonts w:asciiTheme="minorBidi" w:hAnsiTheme="minorBidi" w:cstheme="minorBidi"/>
          <w:i/>
          <w:iCs/>
          <w:sz w:val="24"/>
          <w:szCs w:val="24"/>
        </w:rPr>
        <w:t xml:space="preserve"> </w:t>
      </w:r>
      <w:r>
        <w:rPr>
          <w:rFonts w:asciiTheme="minorBidi" w:hAnsiTheme="minorBidi" w:cstheme="minorBidi"/>
          <w:sz w:val="24"/>
          <w:szCs w:val="24"/>
        </w:rPr>
        <w:t>[Maggid, 2015].)</w:t>
      </w:r>
      <w:bookmarkEnd w:id="0"/>
    </w:p>
    <w:sectPr w:rsidR="00DF4338" w:rsidRPr="00DF4338" w:rsidSect="00DF4338">
      <w:pgSz w:w="11907" w:h="16839" w:code="9"/>
      <w:pgMar w:top="1440" w:right="1800" w:bottom="1440" w:left="18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Soft Pro">
    <w:charset w:val="00"/>
    <w:family w:val="auto"/>
    <w:pitch w:val="variable"/>
    <w:sig w:usb0="0000280F" w:usb1="80000000" w:usb2="00000008" w:usb3="00000000" w:csb0="00000063" w:csb1="00000000"/>
  </w:font>
  <w:font w:name="ArnoKoren">
    <w:altName w:val="Times New Roman"/>
    <w:panose1 w:val="00000000000000000000"/>
    <w:charset w:val="00"/>
    <w:family w:val="auto"/>
    <w:notTrueType/>
    <w:pitch w:val="default"/>
    <w:sig w:usb0="00000003" w:usb1="00000000" w:usb2="00000000" w:usb3="00000000" w:csb0="00000001" w:csb1="00000000"/>
  </w:font>
  <w:font w:name="MFFrankRuhl">
    <w:panose1 w:val="00000000000000000000"/>
    <w:charset w:val="B1"/>
    <w:family w:val="auto"/>
    <w:notTrueType/>
    <w:pitch w:val="default"/>
    <w:sig w:usb0="00000801" w:usb1="00000000" w:usb2="00000000" w:usb3="00000000" w:csb0="00000020" w:csb1="00000000"/>
  </w:font>
  <w:font w:name="Adobe Garamond Pro">
    <w:panose1 w:val="00000000000000000000"/>
    <w:charset w:val="00"/>
    <w:family w:val="roman"/>
    <w:notTrueType/>
    <w:pitch w:val="variable"/>
    <w:sig w:usb0="00000007" w:usb1="00000001" w:usb2="00000000" w:usb3="00000000" w:csb0="00000093" w:csb1="00000000"/>
  </w:font>
  <w:font w:name="ArnoKoren-Italic">
    <w:altName w:val="Times New Roman"/>
    <w:panose1 w:val="00000000000000000000"/>
    <w:charset w:val="00"/>
    <w:family w:val="auto"/>
    <w:notTrueType/>
    <w:pitch w:val="default"/>
    <w:sig w:usb0="00000003" w:usb1="00000000" w:usb2="00000000" w:usb3="00000000" w:csb0="00000001" w:csb1="00000000"/>
  </w:font>
  <w:font w:name="ArnoKorenSemiBold">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3A"/>
    <w:rsid w:val="00062099"/>
    <w:rsid w:val="002543BF"/>
    <w:rsid w:val="004D3F0D"/>
    <w:rsid w:val="006653F9"/>
    <w:rsid w:val="009A7F4B"/>
    <w:rsid w:val="00AB7083"/>
    <w:rsid w:val="00D2533A"/>
    <w:rsid w:val="00DF43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after="0" w:line="288" w:lineRule="auto"/>
      <w:textAlignment w:val="center"/>
    </w:pPr>
    <w:rPr>
      <w:rFonts w:ascii="WinSoft Pro" w:hAnsi="WinSoft Pro" w:cs="WinSoft Pro"/>
      <w:color w:val="000000"/>
      <w:sz w:val="24"/>
      <w:szCs w:val="24"/>
      <w:lang w:bidi="ar-YE"/>
    </w:rPr>
  </w:style>
  <w:style w:type="paragraph" w:customStyle="1" w:styleId="01Smalltitlepage">
    <w:name w:val="01 Small title page"/>
    <w:basedOn w:val="NoParagraphStyle"/>
    <w:uiPriority w:val="99"/>
    <w:pPr>
      <w:keepLines/>
      <w:suppressAutoHyphens/>
      <w:bidi w:val="0"/>
      <w:jc w:val="center"/>
      <w:textAlignment w:val="baseline"/>
    </w:pPr>
    <w:rPr>
      <w:rFonts w:ascii="ArnoKoren" w:hAnsi="ArnoKoren" w:cs="ArnoKoren"/>
      <w:sz w:val="32"/>
      <w:szCs w:val="32"/>
      <w:lang w:bidi="he-IL"/>
    </w:rPr>
  </w:style>
  <w:style w:type="paragraph" w:customStyle="1" w:styleId="04AuthorsName">
    <w:name w:val="04 Author's Name"/>
    <w:basedOn w:val="NoParagraphStyle"/>
    <w:uiPriority w:val="99"/>
    <w:pPr>
      <w:keepLines/>
      <w:suppressAutoHyphens/>
      <w:bidi w:val="0"/>
      <w:jc w:val="center"/>
      <w:textAlignment w:val="baseline"/>
    </w:pPr>
    <w:rPr>
      <w:rFonts w:ascii="ArnoKoren" w:hAnsi="ArnoKoren" w:cs="ArnoKoren"/>
      <w:sz w:val="56"/>
      <w:szCs w:val="56"/>
      <w:lang w:bidi="he-IL"/>
    </w:rPr>
  </w:style>
  <w:style w:type="paragraph" w:customStyle="1" w:styleId="body">
    <w:name w:val="body"/>
    <w:basedOn w:val="NoParagraphStyle"/>
    <w:uiPriority w:val="99"/>
    <w:pPr>
      <w:tabs>
        <w:tab w:val="left" w:pos="1134"/>
      </w:tabs>
      <w:bidi w:val="0"/>
      <w:spacing w:line="270" w:lineRule="atLeast"/>
      <w:ind w:firstLine="567"/>
      <w:jc w:val="both"/>
      <w:textAlignment w:val="baseline"/>
    </w:pPr>
    <w:rPr>
      <w:rFonts w:ascii="ArnoKoren" w:hAnsi="ArnoKoren" w:cs="ArnoKoren"/>
      <w:sz w:val="22"/>
      <w:szCs w:val="22"/>
      <w:lang w:bidi="he-IL"/>
    </w:rPr>
  </w:style>
  <w:style w:type="paragraph" w:customStyle="1" w:styleId="bodyfirst">
    <w:name w:val="body first"/>
    <w:basedOn w:val="body"/>
    <w:next w:val="body"/>
    <w:uiPriority w:val="99"/>
    <w:pPr>
      <w:spacing w:before="260"/>
      <w:ind w:firstLine="0"/>
    </w:pPr>
  </w:style>
  <w:style w:type="paragraph" w:customStyle="1" w:styleId="bodycenter">
    <w:name w:val="body center"/>
    <w:basedOn w:val="bodyfirst"/>
    <w:uiPriority w:val="99"/>
    <w:pPr>
      <w:tabs>
        <w:tab w:val="left" w:pos="567"/>
        <w:tab w:val="left" w:pos="1701"/>
        <w:tab w:val="left" w:pos="2268"/>
      </w:tabs>
      <w:spacing w:before="0"/>
      <w:jc w:val="center"/>
    </w:pPr>
  </w:style>
  <w:style w:type="paragraph" w:customStyle="1" w:styleId="copyright">
    <w:name w:val="copyright"/>
    <w:basedOn w:val="body"/>
    <w:uiPriority w:val="99"/>
    <w:pPr>
      <w:keepLines/>
      <w:suppressAutoHyphens/>
      <w:spacing w:after="130" w:line="260" w:lineRule="atLeast"/>
      <w:ind w:firstLine="0"/>
      <w:jc w:val="right"/>
    </w:pPr>
    <w:rPr>
      <w:sz w:val="21"/>
      <w:szCs w:val="21"/>
    </w:rPr>
  </w:style>
  <w:style w:type="paragraph" w:customStyle="1" w:styleId="hebrewbody">
    <w:name w:val="hebrew body"/>
    <w:basedOn w:val="body"/>
    <w:uiPriority w:val="99"/>
    <w:pPr>
      <w:tabs>
        <w:tab w:val="clear" w:pos="11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bidi/>
      <w:ind w:firstLine="227"/>
    </w:pPr>
    <w:rPr>
      <w:rFonts w:ascii="MFFrankRuhl" w:cs="MFFrankRuhl"/>
      <w:spacing w:val="2"/>
    </w:rPr>
  </w:style>
  <w:style w:type="paragraph" w:customStyle="1" w:styleId="florence">
    <w:name w:val="florence"/>
    <w:basedOn w:val="NoParagraphStyle"/>
    <w:uiPriority w:val="99"/>
    <w:pPr>
      <w:tabs>
        <w:tab w:val="left" w:pos="567"/>
        <w:tab w:val="left" w:pos="1134"/>
        <w:tab w:val="left" w:pos="1701"/>
        <w:tab w:val="left" w:pos="2268"/>
      </w:tabs>
      <w:bidi w:val="0"/>
      <w:spacing w:before="240" w:after="240" w:line="270" w:lineRule="atLeast"/>
      <w:jc w:val="center"/>
      <w:textAlignment w:val="baseline"/>
    </w:pPr>
    <w:rPr>
      <w:rFonts w:ascii="Adobe Garamond Pro" w:hAnsi="Adobe Garamond Pro" w:cs="Adobe Garamond Pro"/>
      <w:sz w:val="22"/>
      <w:szCs w:val="22"/>
      <w:lang w:bidi="he-IL"/>
    </w:rPr>
  </w:style>
  <w:style w:type="paragraph" w:customStyle="1" w:styleId="ChapterStyle">
    <w:name w:val="Chapter Style"/>
    <w:basedOn w:val="NoParagraphStyle"/>
    <w:next w:val="ChapterTitle"/>
    <w:uiPriority w:val="99"/>
    <w:pPr>
      <w:keepLines/>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bidi w:val="0"/>
      <w:spacing w:line="520" w:lineRule="atLeast"/>
      <w:textAlignment w:val="baseline"/>
    </w:pPr>
    <w:rPr>
      <w:rFonts w:ascii="ArnoKoren-Italic" w:hAnsi="ArnoKoren-Italic" w:cs="ArnoKoren-Italic"/>
      <w:i/>
      <w:iCs/>
      <w:sz w:val="36"/>
      <w:szCs w:val="36"/>
      <w:lang w:val="en-GB" w:bidi="he-IL"/>
    </w:rPr>
  </w:style>
  <w:style w:type="paragraph" w:customStyle="1" w:styleId="ChapterTitle">
    <w:name w:val="Chapter Title"/>
    <w:basedOn w:val="ChapterStyle"/>
    <w:uiPriority w:val="99"/>
    <w:pPr>
      <w:pageBreakBefore w:val="0"/>
      <w:spacing w:before="180" w:after="1440" w:line="560" w:lineRule="atLeast"/>
    </w:pPr>
    <w:rPr>
      <w:rFonts w:ascii="ArnoKoren" w:hAnsi="ArnoKoren" w:cs="ArnoKoren"/>
      <w:sz w:val="56"/>
      <w:szCs w:val="56"/>
      <w:lang w:val="en-US"/>
    </w:rPr>
  </w:style>
  <w:style w:type="paragraph" w:customStyle="1" w:styleId="TOCentry">
    <w:name w:val="TOC entry"/>
    <w:basedOn w:val="NoParagraphStyle"/>
    <w:uiPriority w:val="99"/>
    <w:pPr>
      <w:tabs>
        <w:tab w:val="left" w:pos="560"/>
        <w:tab w:val="right" w:leader="dot" w:pos="5680"/>
      </w:tabs>
      <w:suppressAutoHyphens/>
      <w:bidi w:val="0"/>
      <w:spacing w:before="40" w:line="260" w:lineRule="atLeast"/>
      <w:ind w:left="300"/>
      <w:jc w:val="center"/>
    </w:pPr>
    <w:rPr>
      <w:rFonts w:ascii="ArnoKoren" w:hAnsi="ArnoKoren" w:cs="ArnoKoren"/>
      <w:sz w:val="22"/>
      <w:szCs w:val="22"/>
      <w:lang w:bidi="he-IL"/>
    </w:rPr>
  </w:style>
  <w:style w:type="paragraph" w:customStyle="1" w:styleId="TOCCS1">
    <w:name w:val="TOC CS 1"/>
    <w:basedOn w:val="TOCentry"/>
    <w:uiPriority w:val="99"/>
    <w:pPr>
      <w:spacing w:before="120"/>
      <w:ind w:left="0"/>
    </w:pPr>
    <w:rPr>
      <w:rFonts w:ascii="ArnoKoren-Italic" w:hAnsi="ArnoKoren-Italic" w:cs="ArnoKoren-Italic"/>
      <w:i/>
      <w:iCs/>
    </w:rPr>
  </w:style>
  <w:style w:type="paragraph" w:customStyle="1" w:styleId="TOCbodytext">
    <w:name w:val="TOC body text"/>
    <w:basedOn w:val="NoParagraphStyle"/>
    <w:uiPriority w:val="99"/>
    <w:pPr>
      <w:keepLines/>
      <w:suppressAutoHyphens/>
      <w:spacing w:before="200" w:line="320" w:lineRule="atLeast"/>
      <w:jc w:val="center"/>
      <w:textAlignment w:val="baseline"/>
    </w:pPr>
    <w:rPr>
      <w:rFonts w:ascii="Adobe Garamond Pro" w:hAnsi="Adobe Garamond Pro" w:cs="Adobe Garamond Pro"/>
      <w:sz w:val="26"/>
      <w:szCs w:val="26"/>
      <w:lang w:bidi="he-IL"/>
    </w:rPr>
  </w:style>
  <w:style w:type="paragraph" w:customStyle="1" w:styleId="TOCpart">
    <w:name w:val="TOC part"/>
    <w:basedOn w:val="TOCbodytext"/>
    <w:uiPriority w:val="99"/>
    <w:pPr>
      <w:keepNext/>
      <w:bidi w:val="0"/>
      <w:spacing w:before="280"/>
    </w:pPr>
    <w:rPr>
      <w:rFonts w:ascii="ArnoKorenSemiBold" w:hAnsi="ArnoKorenSemiBold" w:cs="ArnoKorenSemiBold"/>
      <w:b/>
      <w:bCs/>
      <w:spacing w:val="8"/>
    </w:rPr>
  </w:style>
  <w:style w:type="paragraph" w:customStyle="1" w:styleId="TOCCS">
    <w:name w:val="TOC CS"/>
    <w:basedOn w:val="TOCentry"/>
    <w:uiPriority w:val="99"/>
    <w:pPr>
      <w:spacing w:before="0"/>
      <w:ind w:left="0"/>
    </w:pPr>
  </w:style>
  <w:style w:type="paragraph" w:customStyle="1" w:styleId="hebrewTitle">
    <w:name w:val="hebrew Title"/>
    <w:basedOn w:val="body"/>
    <w:uiPriority w:val="99"/>
    <w:pPr>
      <w:tabs>
        <w:tab w:val="clear" w:pos="11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bidi/>
      <w:spacing w:line="520" w:lineRule="atLeast"/>
      <w:ind w:firstLine="0"/>
    </w:pPr>
    <w:rPr>
      <w:rFonts w:ascii="MFFrankRuhl" w:cs="MFFrankRuhl"/>
      <w:spacing w:val="3"/>
      <w:sz w:val="36"/>
      <w:szCs w:val="36"/>
    </w:rPr>
  </w:style>
  <w:style w:type="paragraph" w:customStyle="1" w:styleId="hebrewbodyFirst">
    <w:name w:val="hebrew body First"/>
    <w:basedOn w:val="body"/>
    <w:uiPriority w:val="99"/>
    <w:pPr>
      <w:tabs>
        <w:tab w:val="clear" w:pos="11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bidi/>
      <w:ind w:firstLine="0"/>
    </w:pPr>
    <w:rPr>
      <w:rFonts w:ascii="MFFrankRuhl" w:cs="MFFrankRuhl"/>
      <w:spacing w:val="2"/>
    </w:rPr>
  </w:style>
  <w:style w:type="paragraph" w:customStyle="1" w:styleId="chapterfirst">
    <w:name w:val="chapter first"/>
    <w:basedOn w:val="bodyfirst"/>
    <w:uiPriority w:val="99"/>
    <w:pPr>
      <w:spacing w:before="720"/>
    </w:pPr>
  </w:style>
  <w:style w:type="paragraph" w:customStyle="1" w:styleId="bodyright">
    <w:name w:val="body right"/>
    <w:basedOn w:val="bodyfirst"/>
    <w:uiPriority w:val="99"/>
    <w:pPr>
      <w:jc w:val="right"/>
    </w:pPr>
  </w:style>
  <w:style w:type="paragraph" w:customStyle="1" w:styleId="Part">
    <w:name w:val="Part"/>
    <w:basedOn w:val="ChapterStyle"/>
    <w:uiPriority w:val="99"/>
    <w:pPr>
      <w:pageBreakBefore w:val="0"/>
      <w:spacing w:before="180" w:line="600" w:lineRule="atLeast"/>
    </w:pPr>
    <w:rPr>
      <w:rFonts w:ascii="ArnoKoren" w:hAnsi="ArnoKoren" w:cs="ArnoKoren"/>
      <w:sz w:val="56"/>
      <w:szCs w:val="56"/>
      <w:lang w:val="en-US"/>
    </w:rPr>
  </w:style>
  <w:style w:type="paragraph" w:customStyle="1" w:styleId="extract">
    <w:name w:val="extract"/>
    <w:basedOn w:val="bodyfirst"/>
    <w:uiPriority w:val="99"/>
    <w:pPr>
      <w:tabs>
        <w:tab w:val="left" w:pos="1701"/>
        <w:tab w:val="left" w:pos="2268"/>
        <w:tab w:val="left" w:pos="2835"/>
        <w:tab w:val="left" w:pos="3402"/>
        <w:tab w:val="left" w:pos="3969"/>
        <w:tab w:val="left" w:pos="4535"/>
        <w:tab w:val="left" w:pos="5102"/>
        <w:tab w:val="left" w:pos="5669"/>
      </w:tabs>
      <w:spacing w:before="0"/>
      <w:ind w:left="567" w:firstLine="567"/>
    </w:pPr>
  </w:style>
  <w:style w:type="paragraph" w:customStyle="1" w:styleId="extractfirst">
    <w:name w:val="extract first"/>
    <w:basedOn w:val="extract"/>
    <w:next w:val="extract"/>
    <w:uiPriority w:val="99"/>
    <w:pPr>
      <w:spacing w:before="270"/>
      <w:ind w:firstLine="0"/>
    </w:pPr>
  </w:style>
  <w:style w:type="character" w:customStyle="1" w:styleId="BoldItalic">
    <w:name w:val="BoldItalic"/>
    <w:uiPriority w:val="99"/>
    <w:rPr>
      <w:b/>
      <w:bCs/>
      <w:i/>
      <w:iCs/>
      <w:color w:val="000000"/>
    </w:rPr>
  </w:style>
  <w:style w:type="character" w:customStyle="1" w:styleId="ittext">
    <w:name w:val="it text"/>
    <w:uiPriority w:val="99"/>
    <w:rPr>
      <w:i/>
      <w:iCs/>
      <w:color w:val="000000"/>
      <w:w w:val="100"/>
    </w:rPr>
  </w:style>
  <w:style w:type="character" w:customStyle="1" w:styleId="Smallcaps">
    <w:name w:val="Small_caps"/>
    <w:uiPriority w:val="99"/>
    <w:rPr>
      <w:color w:val="000000"/>
    </w:rPr>
  </w:style>
  <w:style w:type="character" w:customStyle="1" w:styleId="IT">
    <w:name w:val="IT"/>
    <w:uiPriority w:val="99"/>
    <w:rPr>
      <w:rFonts w:ascii="ArnoKoren-Italic" w:hAnsi="ArnoKoren-Italic" w:cs="ArnoKoren-Italic"/>
      <w:i/>
      <w:iCs/>
    </w:rPr>
  </w:style>
  <w:style w:type="character" w:customStyle="1" w:styleId="TOCItalic">
    <w:name w:val="TOC Italic"/>
    <w:uiPriority w:val="99"/>
  </w:style>
  <w:style w:type="character" w:customStyle="1" w:styleId="RH">
    <w:name w:val="RH"/>
    <w:uiPriority w:val="99"/>
  </w:style>
  <w:style w:type="character" w:customStyle="1" w:styleId="SuperItalic">
    <w:name w:val="SuperItalic"/>
    <w:uiPriority w:val="99"/>
    <w:rPr>
      <w:i/>
      <w:iCs/>
      <w:w w:val="100"/>
      <w:vertAlign w:val="superscript"/>
    </w:rPr>
  </w:style>
  <w:style w:type="character" w:customStyle="1" w:styleId="CTfirstword">
    <w:name w:val="CT first word"/>
    <w:uiPriority w:val="99"/>
  </w:style>
  <w:style w:type="character" w:customStyle="1" w:styleId="FirstLetter">
    <w:name w:val="First Letter"/>
    <w:uiPriority w:val="99"/>
    <w:rPr>
      <w:rFonts w:ascii="ArnoKoren" w:hAnsi="ArnoKoren" w:cs="ArnoKoren"/>
      <w:position w:val="0"/>
      <w:sz w:val="170"/>
      <w:szCs w:val="170"/>
    </w:rPr>
  </w:style>
  <w:style w:type="character" w:customStyle="1" w:styleId="optical">
    <w:name w:val="optical"/>
    <w:uiPriority w:val="99"/>
  </w:style>
  <w:style w:type="character" w:styleId="Hyperlink">
    <w:name w:val="Hyperlink"/>
    <w:basedOn w:val="DefaultParagraphFont"/>
    <w:uiPriority w:val="99"/>
    <w:unhideWhenUsed/>
    <w:rsid w:val="00DF4338"/>
    <w:rPr>
      <w:color w:val="0000FF" w:themeColor="hyperlink"/>
      <w:u w:val="single"/>
    </w:rPr>
  </w:style>
  <w:style w:type="paragraph" w:styleId="BlockText">
    <w:name w:val="Block Text"/>
    <w:basedOn w:val="Normal"/>
    <w:link w:val="BlockTextChar"/>
    <w:rsid w:val="00062099"/>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062099"/>
    <w:rPr>
      <w:rFonts w:ascii="Courier New" w:eastAsia="Times New Roman" w:hAnsi="Courier New" w:cs="Miriam"/>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after="0" w:line="288" w:lineRule="auto"/>
      <w:textAlignment w:val="center"/>
    </w:pPr>
    <w:rPr>
      <w:rFonts w:ascii="WinSoft Pro" w:hAnsi="WinSoft Pro" w:cs="WinSoft Pro"/>
      <w:color w:val="000000"/>
      <w:sz w:val="24"/>
      <w:szCs w:val="24"/>
      <w:lang w:bidi="ar-YE"/>
    </w:rPr>
  </w:style>
  <w:style w:type="paragraph" w:customStyle="1" w:styleId="01Smalltitlepage">
    <w:name w:val="01 Small title page"/>
    <w:basedOn w:val="NoParagraphStyle"/>
    <w:uiPriority w:val="99"/>
    <w:pPr>
      <w:keepLines/>
      <w:suppressAutoHyphens/>
      <w:bidi w:val="0"/>
      <w:jc w:val="center"/>
      <w:textAlignment w:val="baseline"/>
    </w:pPr>
    <w:rPr>
      <w:rFonts w:ascii="ArnoKoren" w:hAnsi="ArnoKoren" w:cs="ArnoKoren"/>
      <w:sz w:val="32"/>
      <w:szCs w:val="32"/>
      <w:lang w:bidi="he-IL"/>
    </w:rPr>
  </w:style>
  <w:style w:type="paragraph" w:customStyle="1" w:styleId="04AuthorsName">
    <w:name w:val="04 Author's Name"/>
    <w:basedOn w:val="NoParagraphStyle"/>
    <w:uiPriority w:val="99"/>
    <w:pPr>
      <w:keepLines/>
      <w:suppressAutoHyphens/>
      <w:bidi w:val="0"/>
      <w:jc w:val="center"/>
      <w:textAlignment w:val="baseline"/>
    </w:pPr>
    <w:rPr>
      <w:rFonts w:ascii="ArnoKoren" w:hAnsi="ArnoKoren" w:cs="ArnoKoren"/>
      <w:sz w:val="56"/>
      <w:szCs w:val="56"/>
      <w:lang w:bidi="he-IL"/>
    </w:rPr>
  </w:style>
  <w:style w:type="paragraph" w:customStyle="1" w:styleId="body">
    <w:name w:val="body"/>
    <w:basedOn w:val="NoParagraphStyle"/>
    <w:uiPriority w:val="99"/>
    <w:pPr>
      <w:tabs>
        <w:tab w:val="left" w:pos="1134"/>
      </w:tabs>
      <w:bidi w:val="0"/>
      <w:spacing w:line="270" w:lineRule="atLeast"/>
      <w:ind w:firstLine="567"/>
      <w:jc w:val="both"/>
      <w:textAlignment w:val="baseline"/>
    </w:pPr>
    <w:rPr>
      <w:rFonts w:ascii="ArnoKoren" w:hAnsi="ArnoKoren" w:cs="ArnoKoren"/>
      <w:sz w:val="22"/>
      <w:szCs w:val="22"/>
      <w:lang w:bidi="he-IL"/>
    </w:rPr>
  </w:style>
  <w:style w:type="paragraph" w:customStyle="1" w:styleId="bodyfirst">
    <w:name w:val="body first"/>
    <w:basedOn w:val="body"/>
    <w:next w:val="body"/>
    <w:uiPriority w:val="99"/>
    <w:pPr>
      <w:spacing w:before="260"/>
      <w:ind w:firstLine="0"/>
    </w:pPr>
  </w:style>
  <w:style w:type="paragraph" w:customStyle="1" w:styleId="bodycenter">
    <w:name w:val="body center"/>
    <w:basedOn w:val="bodyfirst"/>
    <w:uiPriority w:val="99"/>
    <w:pPr>
      <w:tabs>
        <w:tab w:val="left" w:pos="567"/>
        <w:tab w:val="left" w:pos="1701"/>
        <w:tab w:val="left" w:pos="2268"/>
      </w:tabs>
      <w:spacing w:before="0"/>
      <w:jc w:val="center"/>
    </w:pPr>
  </w:style>
  <w:style w:type="paragraph" w:customStyle="1" w:styleId="copyright">
    <w:name w:val="copyright"/>
    <w:basedOn w:val="body"/>
    <w:uiPriority w:val="99"/>
    <w:pPr>
      <w:keepLines/>
      <w:suppressAutoHyphens/>
      <w:spacing w:after="130" w:line="260" w:lineRule="atLeast"/>
      <w:ind w:firstLine="0"/>
      <w:jc w:val="right"/>
    </w:pPr>
    <w:rPr>
      <w:sz w:val="21"/>
      <w:szCs w:val="21"/>
    </w:rPr>
  </w:style>
  <w:style w:type="paragraph" w:customStyle="1" w:styleId="hebrewbody">
    <w:name w:val="hebrew body"/>
    <w:basedOn w:val="body"/>
    <w:uiPriority w:val="99"/>
    <w:pPr>
      <w:tabs>
        <w:tab w:val="clear" w:pos="11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bidi/>
      <w:ind w:firstLine="227"/>
    </w:pPr>
    <w:rPr>
      <w:rFonts w:ascii="MFFrankRuhl" w:cs="MFFrankRuhl"/>
      <w:spacing w:val="2"/>
    </w:rPr>
  </w:style>
  <w:style w:type="paragraph" w:customStyle="1" w:styleId="florence">
    <w:name w:val="florence"/>
    <w:basedOn w:val="NoParagraphStyle"/>
    <w:uiPriority w:val="99"/>
    <w:pPr>
      <w:tabs>
        <w:tab w:val="left" w:pos="567"/>
        <w:tab w:val="left" w:pos="1134"/>
        <w:tab w:val="left" w:pos="1701"/>
        <w:tab w:val="left" w:pos="2268"/>
      </w:tabs>
      <w:bidi w:val="0"/>
      <w:spacing w:before="240" w:after="240" w:line="270" w:lineRule="atLeast"/>
      <w:jc w:val="center"/>
      <w:textAlignment w:val="baseline"/>
    </w:pPr>
    <w:rPr>
      <w:rFonts w:ascii="Adobe Garamond Pro" w:hAnsi="Adobe Garamond Pro" w:cs="Adobe Garamond Pro"/>
      <w:sz w:val="22"/>
      <w:szCs w:val="22"/>
      <w:lang w:bidi="he-IL"/>
    </w:rPr>
  </w:style>
  <w:style w:type="paragraph" w:customStyle="1" w:styleId="ChapterStyle">
    <w:name w:val="Chapter Style"/>
    <w:basedOn w:val="NoParagraphStyle"/>
    <w:next w:val="ChapterTitle"/>
    <w:uiPriority w:val="99"/>
    <w:pPr>
      <w:keepLines/>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bidi w:val="0"/>
      <w:spacing w:line="520" w:lineRule="atLeast"/>
      <w:textAlignment w:val="baseline"/>
    </w:pPr>
    <w:rPr>
      <w:rFonts w:ascii="ArnoKoren-Italic" w:hAnsi="ArnoKoren-Italic" w:cs="ArnoKoren-Italic"/>
      <w:i/>
      <w:iCs/>
      <w:sz w:val="36"/>
      <w:szCs w:val="36"/>
      <w:lang w:val="en-GB" w:bidi="he-IL"/>
    </w:rPr>
  </w:style>
  <w:style w:type="paragraph" w:customStyle="1" w:styleId="ChapterTitle">
    <w:name w:val="Chapter Title"/>
    <w:basedOn w:val="ChapterStyle"/>
    <w:uiPriority w:val="99"/>
    <w:pPr>
      <w:pageBreakBefore w:val="0"/>
      <w:spacing w:before="180" w:after="1440" w:line="560" w:lineRule="atLeast"/>
    </w:pPr>
    <w:rPr>
      <w:rFonts w:ascii="ArnoKoren" w:hAnsi="ArnoKoren" w:cs="ArnoKoren"/>
      <w:sz w:val="56"/>
      <w:szCs w:val="56"/>
      <w:lang w:val="en-US"/>
    </w:rPr>
  </w:style>
  <w:style w:type="paragraph" w:customStyle="1" w:styleId="TOCentry">
    <w:name w:val="TOC entry"/>
    <w:basedOn w:val="NoParagraphStyle"/>
    <w:uiPriority w:val="99"/>
    <w:pPr>
      <w:tabs>
        <w:tab w:val="left" w:pos="560"/>
        <w:tab w:val="right" w:leader="dot" w:pos="5680"/>
      </w:tabs>
      <w:suppressAutoHyphens/>
      <w:bidi w:val="0"/>
      <w:spacing w:before="40" w:line="260" w:lineRule="atLeast"/>
      <w:ind w:left="300"/>
      <w:jc w:val="center"/>
    </w:pPr>
    <w:rPr>
      <w:rFonts w:ascii="ArnoKoren" w:hAnsi="ArnoKoren" w:cs="ArnoKoren"/>
      <w:sz w:val="22"/>
      <w:szCs w:val="22"/>
      <w:lang w:bidi="he-IL"/>
    </w:rPr>
  </w:style>
  <w:style w:type="paragraph" w:customStyle="1" w:styleId="TOCCS1">
    <w:name w:val="TOC CS 1"/>
    <w:basedOn w:val="TOCentry"/>
    <w:uiPriority w:val="99"/>
    <w:pPr>
      <w:spacing w:before="120"/>
      <w:ind w:left="0"/>
    </w:pPr>
    <w:rPr>
      <w:rFonts w:ascii="ArnoKoren-Italic" w:hAnsi="ArnoKoren-Italic" w:cs="ArnoKoren-Italic"/>
      <w:i/>
      <w:iCs/>
    </w:rPr>
  </w:style>
  <w:style w:type="paragraph" w:customStyle="1" w:styleId="TOCbodytext">
    <w:name w:val="TOC body text"/>
    <w:basedOn w:val="NoParagraphStyle"/>
    <w:uiPriority w:val="99"/>
    <w:pPr>
      <w:keepLines/>
      <w:suppressAutoHyphens/>
      <w:spacing w:before="200" w:line="320" w:lineRule="atLeast"/>
      <w:jc w:val="center"/>
      <w:textAlignment w:val="baseline"/>
    </w:pPr>
    <w:rPr>
      <w:rFonts w:ascii="Adobe Garamond Pro" w:hAnsi="Adobe Garamond Pro" w:cs="Adobe Garamond Pro"/>
      <w:sz w:val="26"/>
      <w:szCs w:val="26"/>
      <w:lang w:bidi="he-IL"/>
    </w:rPr>
  </w:style>
  <w:style w:type="paragraph" w:customStyle="1" w:styleId="TOCpart">
    <w:name w:val="TOC part"/>
    <w:basedOn w:val="TOCbodytext"/>
    <w:uiPriority w:val="99"/>
    <w:pPr>
      <w:keepNext/>
      <w:bidi w:val="0"/>
      <w:spacing w:before="280"/>
    </w:pPr>
    <w:rPr>
      <w:rFonts w:ascii="ArnoKorenSemiBold" w:hAnsi="ArnoKorenSemiBold" w:cs="ArnoKorenSemiBold"/>
      <w:b/>
      <w:bCs/>
      <w:spacing w:val="8"/>
    </w:rPr>
  </w:style>
  <w:style w:type="paragraph" w:customStyle="1" w:styleId="TOCCS">
    <w:name w:val="TOC CS"/>
    <w:basedOn w:val="TOCentry"/>
    <w:uiPriority w:val="99"/>
    <w:pPr>
      <w:spacing w:before="0"/>
      <w:ind w:left="0"/>
    </w:pPr>
  </w:style>
  <w:style w:type="paragraph" w:customStyle="1" w:styleId="hebrewTitle">
    <w:name w:val="hebrew Title"/>
    <w:basedOn w:val="body"/>
    <w:uiPriority w:val="99"/>
    <w:pPr>
      <w:tabs>
        <w:tab w:val="clear" w:pos="11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bidi/>
      <w:spacing w:line="520" w:lineRule="atLeast"/>
      <w:ind w:firstLine="0"/>
    </w:pPr>
    <w:rPr>
      <w:rFonts w:ascii="MFFrankRuhl" w:cs="MFFrankRuhl"/>
      <w:spacing w:val="3"/>
      <w:sz w:val="36"/>
      <w:szCs w:val="36"/>
    </w:rPr>
  </w:style>
  <w:style w:type="paragraph" w:customStyle="1" w:styleId="hebrewbodyFirst">
    <w:name w:val="hebrew body First"/>
    <w:basedOn w:val="body"/>
    <w:uiPriority w:val="99"/>
    <w:pPr>
      <w:tabs>
        <w:tab w:val="clear" w:pos="11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bidi/>
      <w:ind w:firstLine="0"/>
    </w:pPr>
    <w:rPr>
      <w:rFonts w:ascii="MFFrankRuhl" w:cs="MFFrankRuhl"/>
      <w:spacing w:val="2"/>
    </w:rPr>
  </w:style>
  <w:style w:type="paragraph" w:customStyle="1" w:styleId="chapterfirst">
    <w:name w:val="chapter first"/>
    <w:basedOn w:val="bodyfirst"/>
    <w:uiPriority w:val="99"/>
    <w:pPr>
      <w:spacing w:before="720"/>
    </w:pPr>
  </w:style>
  <w:style w:type="paragraph" w:customStyle="1" w:styleId="bodyright">
    <w:name w:val="body right"/>
    <w:basedOn w:val="bodyfirst"/>
    <w:uiPriority w:val="99"/>
    <w:pPr>
      <w:jc w:val="right"/>
    </w:pPr>
  </w:style>
  <w:style w:type="paragraph" w:customStyle="1" w:styleId="Part">
    <w:name w:val="Part"/>
    <w:basedOn w:val="ChapterStyle"/>
    <w:uiPriority w:val="99"/>
    <w:pPr>
      <w:pageBreakBefore w:val="0"/>
      <w:spacing w:before="180" w:line="600" w:lineRule="atLeast"/>
    </w:pPr>
    <w:rPr>
      <w:rFonts w:ascii="ArnoKoren" w:hAnsi="ArnoKoren" w:cs="ArnoKoren"/>
      <w:sz w:val="56"/>
      <w:szCs w:val="56"/>
      <w:lang w:val="en-US"/>
    </w:rPr>
  </w:style>
  <w:style w:type="paragraph" w:customStyle="1" w:styleId="extract">
    <w:name w:val="extract"/>
    <w:basedOn w:val="bodyfirst"/>
    <w:uiPriority w:val="99"/>
    <w:pPr>
      <w:tabs>
        <w:tab w:val="left" w:pos="1701"/>
        <w:tab w:val="left" w:pos="2268"/>
        <w:tab w:val="left" w:pos="2835"/>
        <w:tab w:val="left" w:pos="3402"/>
        <w:tab w:val="left" w:pos="3969"/>
        <w:tab w:val="left" w:pos="4535"/>
        <w:tab w:val="left" w:pos="5102"/>
        <w:tab w:val="left" w:pos="5669"/>
      </w:tabs>
      <w:spacing w:before="0"/>
      <w:ind w:left="567" w:firstLine="567"/>
    </w:pPr>
  </w:style>
  <w:style w:type="paragraph" w:customStyle="1" w:styleId="extractfirst">
    <w:name w:val="extract first"/>
    <w:basedOn w:val="extract"/>
    <w:next w:val="extract"/>
    <w:uiPriority w:val="99"/>
    <w:pPr>
      <w:spacing w:before="270"/>
      <w:ind w:firstLine="0"/>
    </w:pPr>
  </w:style>
  <w:style w:type="character" w:customStyle="1" w:styleId="BoldItalic">
    <w:name w:val="BoldItalic"/>
    <w:uiPriority w:val="99"/>
    <w:rPr>
      <w:b/>
      <w:bCs/>
      <w:i/>
      <w:iCs/>
      <w:color w:val="000000"/>
    </w:rPr>
  </w:style>
  <w:style w:type="character" w:customStyle="1" w:styleId="ittext">
    <w:name w:val="it text"/>
    <w:uiPriority w:val="99"/>
    <w:rPr>
      <w:i/>
      <w:iCs/>
      <w:color w:val="000000"/>
      <w:w w:val="100"/>
    </w:rPr>
  </w:style>
  <w:style w:type="character" w:customStyle="1" w:styleId="Smallcaps">
    <w:name w:val="Small_caps"/>
    <w:uiPriority w:val="99"/>
    <w:rPr>
      <w:color w:val="000000"/>
    </w:rPr>
  </w:style>
  <w:style w:type="character" w:customStyle="1" w:styleId="IT">
    <w:name w:val="IT"/>
    <w:uiPriority w:val="99"/>
    <w:rPr>
      <w:rFonts w:ascii="ArnoKoren-Italic" w:hAnsi="ArnoKoren-Italic" w:cs="ArnoKoren-Italic"/>
      <w:i/>
      <w:iCs/>
    </w:rPr>
  </w:style>
  <w:style w:type="character" w:customStyle="1" w:styleId="TOCItalic">
    <w:name w:val="TOC Italic"/>
    <w:uiPriority w:val="99"/>
  </w:style>
  <w:style w:type="character" w:customStyle="1" w:styleId="RH">
    <w:name w:val="RH"/>
    <w:uiPriority w:val="99"/>
  </w:style>
  <w:style w:type="character" w:customStyle="1" w:styleId="SuperItalic">
    <w:name w:val="SuperItalic"/>
    <w:uiPriority w:val="99"/>
    <w:rPr>
      <w:i/>
      <w:iCs/>
      <w:w w:val="100"/>
      <w:vertAlign w:val="superscript"/>
    </w:rPr>
  </w:style>
  <w:style w:type="character" w:customStyle="1" w:styleId="CTfirstword">
    <w:name w:val="CT first word"/>
    <w:uiPriority w:val="99"/>
  </w:style>
  <w:style w:type="character" w:customStyle="1" w:styleId="FirstLetter">
    <w:name w:val="First Letter"/>
    <w:uiPriority w:val="99"/>
    <w:rPr>
      <w:rFonts w:ascii="ArnoKoren" w:hAnsi="ArnoKoren" w:cs="ArnoKoren"/>
      <w:position w:val="0"/>
      <w:sz w:val="170"/>
      <w:szCs w:val="170"/>
    </w:rPr>
  </w:style>
  <w:style w:type="character" w:customStyle="1" w:styleId="optical">
    <w:name w:val="optical"/>
    <w:uiPriority w:val="99"/>
  </w:style>
  <w:style w:type="character" w:styleId="Hyperlink">
    <w:name w:val="Hyperlink"/>
    <w:basedOn w:val="DefaultParagraphFont"/>
    <w:uiPriority w:val="99"/>
    <w:unhideWhenUsed/>
    <w:rsid w:val="00DF4338"/>
    <w:rPr>
      <w:color w:val="0000FF" w:themeColor="hyperlink"/>
      <w:u w:val="single"/>
    </w:rPr>
  </w:style>
  <w:style w:type="paragraph" w:styleId="BlockText">
    <w:name w:val="Block Text"/>
    <w:basedOn w:val="Normal"/>
    <w:link w:val="BlockTextChar"/>
    <w:rsid w:val="00062099"/>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062099"/>
    <w:rPr>
      <w:rFonts w:ascii="Courier New" w:eastAsia="Times New Roman"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orenpub.com/maggid_en_usd/the-weekly-mitzv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F7A5-15E6-4D63-A20B-A35BDD7E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Reuven Ziegler, Koren Publishers Jerusalem</dc:creator>
  <cp:lastModifiedBy>tmpUser</cp:lastModifiedBy>
  <cp:revision>2</cp:revision>
  <dcterms:created xsi:type="dcterms:W3CDTF">2019-10-03T08:31:00Z</dcterms:created>
  <dcterms:modified xsi:type="dcterms:W3CDTF">2019-10-03T08:31:00Z</dcterms:modified>
</cp:coreProperties>
</file>